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3A20" w14:textId="77777777" w:rsidR="00110685" w:rsidRDefault="00110685" w:rsidP="00110685">
      <w:pPr>
        <w:pStyle w:val="Heading1"/>
        <w:numPr>
          <w:ilvl w:val="0"/>
          <w:numId w:val="0"/>
        </w:numPr>
      </w:pPr>
      <w:r>
        <w:t>1 Introduction</w:t>
      </w:r>
    </w:p>
    <w:p w14:paraId="5EA6AD33" w14:textId="77777777" w:rsidR="00110685" w:rsidRDefault="00110685" w:rsidP="00110685">
      <w:r>
        <w:t>Maintenance work orders serve two purposes. They record completed activities for operational traceability, and, when viewed collectively, they preserve practical experience about recurring faults, affected components, inspection findings, and corrective actions. Their value for analysis is nevertheless constrained by the way the information is written. Entries are usually brief, created under time pressure, and shaped by local abbreviations, inconsistent spelling, compressed grammar, and legacy field limits. Records describing closely related events may therefore look different at the lexical level, whereas identical abbreviations may carry different meanings in different contexts. These characteristics make direct search unreliable and complicate the extraction of structured knowledge.</w:t>
      </w:r>
    </w:p>
    <w:p w14:paraId="3B4F539F" w14:textId="77777777" w:rsidR="00110685" w:rsidRDefault="00110685" w:rsidP="00110685">
      <w:r>
        <w:t>The potential use of historical records must also be separated from technical authority. A previous action can direct attention to a comparable case and show what was recorded at that time, but it cannot establish that the same action is applicable to another aircraft, component configuration, or operating condition. Maintenance work remains governed by current approved data and qualified judgement. This distinction is reflected in both 14 CFR 43.13 and European continuing-airworthiness requirements, which place responsibility on the use of applicable maintenance instructions and acceptable methods [1, 2]. The purpose of the work presented here is therefore not to automate maintenance approval. It is to make past evidence easier to locate, interpret, and audit before a human decision is made.</w:t>
      </w:r>
    </w:p>
    <w:p w14:paraId="6D47C949" w14:textId="77777777" w:rsidR="00110685" w:rsidRDefault="00110685" w:rsidP="00110685">
      <w:pPr>
        <w:pStyle w:val="Heading2"/>
        <w:numPr>
          <w:ilvl w:val="0"/>
          <w:numId w:val="0"/>
        </w:numPr>
      </w:pPr>
      <w:r>
        <w:t>1.1 Context and motivation</w:t>
      </w:r>
    </w:p>
    <w:p w14:paraId="7601DD24" w14:textId="77777777" w:rsidR="00110685" w:rsidRDefault="00110685" w:rsidP="00110685">
      <w:proofErr w:type="spellStart"/>
      <w:r>
        <w:t>MaintNet</w:t>
      </w:r>
      <w:proofErr w:type="spellEnd"/>
      <w:r>
        <w:t xml:space="preserve"> was introduced as an open resource for predictive-maintenance language across several industrial domains, including aviation [3]. The aviation portion used in this thesis contains 6,169 paired </w:t>
      </w:r>
      <w:proofErr w:type="gramStart"/>
      <w:r>
        <w:t>problem</w:t>
      </w:r>
      <w:proofErr w:type="gramEnd"/>
      <w:r>
        <w:t xml:space="preserve"> and action records. These entries are particularly demanding for natural-language processing because punctuation often acts as a separator, casing is inconsistent, specialized abbreviations are frequent, and parts of an expression may be missing because the original fields are short. The problem and action fields are limited to 60 and 55 characters, respectively, in the supplied source representation. Surface correction can reduce variation in what is present, but it cannot recover information that was never recorded. This constraint affects every later stage and prevents normalization from being treated as reconstruction of a complete maintenance narrative.</w:t>
      </w:r>
    </w:p>
    <w:p w14:paraId="408DB65F" w14:textId="77777777" w:rsidR="00110685" w:rsidRDefault="00110685" w:rsidP="00110685">
      <w:r>
        <w:t xml:space="preserve">Research on technical language processing has shown that maintenance text can support classification, entity recognition, similarity analysis, and knowledge discovery [4]. More recent resources focus directly on the two central linguistic tasks considered here. </w:t>
      </w:r>
      <w:proofErr w:type="spellStart"/>
      <w:r>
        <w:t>MaintNorm</w:t>
      </w:r>
      <w:proofErr w:type="spellEnd"/>
      <w:r>
        <w:t xml:space="preserve"> provides a maintenance-specific </w:t>
      </w:r>
      <w:r>
        <w:lastRenderedPageBreak/>
        <w:t xml:space="preserve">corpus and benchmark for lexical normalization, while </w:t>
      </w:r>
      <w:proofErr w:type="spellStart"/>
      <w:r>
        <w:t>MaintIE</w:t>
      </w:r>
      <w:proofErr w:type="spellEnd"/>
      <w:r>
        <w:t xml:space="preserve"> defines a fine-grained information-extraction schema and benchmark for maintenance short text [5, 6]. These studies demonstrate the importance of domain-specific data and evaluation. A planning-support workflow, however, requires the outputs to remain connected. A normalized phrase must still refer to its source wording; an extracted action must remain bound to its component and issue; and a retrieved action must be presented as part of one historical case rather than assembled from unrelated fragments.</w:t>
      </w:r>
    </w:p>
    <w:p w14:paraId="179A43F0" w14:textId="77777777" w:rsidR="00110685" w:rsidRDefault="00110685" w:rsidP="00110685">
      <w:r>
        <w:t xml:space="preserve">This thesis responds to that integration problem through an evidence-grounded pipeline. Normalization is used to examine and reduce lexical variation. Information extraction converts short narratives into typed entities and directed relations. The resulting model predictions are organized as a silver knowledge graph and as complete historical cases with record-level provenance. Retrieval then ranks cases from the problem description alone, keeping the query record's action hidden during evaluation. </w:t>
      </w:r>
      <w:proofErr w:type="spellStart"/>
      <w:r>
        <w:t>AviMaint</w:t>
      </w:r>
      <w:proofErr w:type="spellEnd"/>
      <w:r>
        <w:t xml:space="preserve">-DSS presents the ranked evidence, alternatives, outcome information, and uncertainty to the user. The design deliberately </w:t>
      </w:r>
      <w:proofErr w:type="spellStart"/>
      <w:r>
        <w:t>favours</w:t>
      </w:r>
      <w:proofErr w:type="spellEnd"/>
      <w:r>
        <w:t xml:space="preserve"> traceability over free-form generation: a displayed action can be traced to a source record, and the system may abstain when its evidence is weak.</w:t>
      </w:r>
    </w:p>
    <w:p w14:paraId="142D1778" w14:textId="77777777" w:rsidR="00110685" w:rsidRDefault="00110685" w:rsidP="00110685">
      <w:pPr>
        <w:pStyle w:val="Heading2"/>
        <w:numPr>
          <w:ilvl w:val="0"/>
          <w:numId w:val="0"/>
        </w:numPr>
      </w:pPr>
      <w:r>
        <w:t>1.2 Problem statement</w:t>
      </w:r>
    </w:p>
    <w:p w14:paraId="20EA22CC" w14:textId="77777777" w:rsidR="00110685" w:rsidRDefault="00110685" w:rsidP="00110685">
      <w:r>
        <w:t>The research problem arises from four connected but distinct uncertainties. Lexical uncertainty occurs when spelling variants, abbreviations, and compressed expressions prevent equivalent terms from matching. Structural uncertainty occurs when the text does not explicitly reveal which issue belongs to which component, which action targets which item, or which observation follows an intervention. Evidential uncertainty is introduced when an extractor is applied to the full corpus: the resulting entities, relations, graph, and case attributes are model-derived silver data rather than verified gold annotations. Applicability uncertainty remains even after a relevant historical case has been retrieved, because the recorded action may be incomplete, unsuccessful, outdated, or unsuitable for the current aircraft configuration.</w:t>
      </w:r>
    </w:p>
    <w:p w14:paraId="5145BB88" w14:textId="77777777" w:rsidR="00110685" w:rsidRDefault="00110685" w:rsidP="00110685">
      <w:r>
        <w:t>These uncertainties cannot be evaluated by one end-to-end score. Strong agreement with an expert-normalized reference does not necessarily improve entity or relation extraction. High entity recognition performance does not guarantee that the directed relations between entities are correct. A high retrieval score under an action-family proxy measures recovery of historically associated evidence, not the technical correctness of that evidence. Similarly, confidence calibrated against historical agreement should not be interpreted as a probability of maintenance success. Each stage is therefore evaluated against evidence appropriate to its function, and the status of that evidence is retained when results are interpreted.</w:t>
      </w:r>
    </w:p>
    <w:p w14:paraId="7B383EEC" w14:textId="77777777" w:rsidR="00110685" w:rsidRDefault="00110685" w:rsidP="00110685">
      <w:r>
        <w:lastRenderedPageBreak/>
        <w:t xml:space="preserve">A further methodological risk is information leakage. A retrieval system could appear accurate if a query's recorded action, a near-duplicate from the same cluster, or a test-informed parameter were allowed to influence ranking. The evaluation design addresses this risk through cluster-safe partitions, problem-only queries, validation-based selection, locked test sets, and explicit separation of development results from final evidence. This structure supports reproducibility and limits the claims to what the experiments </w:t>
      </w:r>
      <w:proofErr w:type="gramStart"/>
      <w:r>
        <w:t>actually measure</w:t>
      </w:r>
      <w:proofErr w:type="gramEnd"/>
      <w:r>
        <w:t>.</w:t>
      </w:r>
    </w:p>
    <w:p w14:paraId="37D2E0DE" w14:textId="77777777" w:rsidR="00110685" w:rsidRDefault="00110685" w:rsidP="00110685">
      <w:pPr>
        <w:pStyle w:val="Heading2"/>
        <w:numPr>
          <w:ilvl w:val="0"/>
          <w:numId w:val="0"/>
        </w:numPr>
      </w:pPr>
      <w:r>
        <w:t>1.3 Aim, objectives, and research questions</w:t>
      </w:r>
    </w:p>
    <w:p w14:paraId="30096550" w14:textId="77777777" w:rsidR="00110685" w:rsidRDefault="00110685" w:rsidP="00110685">
      <w:r>
        <w:t>The aim of this thesis is to design and evaluate an auditable natural-language-processing pipeline that converts noisy aviation maintenance work orders into structured, retrievable historical evidence and presents that evidence as bounded support for human maintenance planning.</w:t>
      </w:r>
    </w:p>
    <w:p w14:paraId="73807E88" w14:textId="77777777" w:rsidR="00110685" w:rsidRDefault="00110685" w:rsidP="00110685">
      <w:r>
        <w:t>The aim is operationalized through the following objectives:</w:t>
      </w:r>
    </w:p>
    <w:p w14:paraId="23832AC2" w14:textId="77777777" w:rsidR="00110685" w:rsidRDefault="00110685" w:rsidP="00110685">
      <w:pPr>
        <w:pStyle w:val="ListParagraph"/>
        <w:numPr>
          <w:ilvl w:val="0"/>
          <w:numId w:val="6"/>
        </w:numPr>
      </w:pPr>
      <w:r>
        <w:t>Compare six text representations using validation-only selection and a locked normalization test;</w:t>
      </w:r>
    </w:p>
    <w:p w14:paraId="7A0C17FC" w14:textId="77777777" w:rsidR="00110685" w:rsidRDefault="00110685" w:rsidP="00110685">
      <w:pPr>
        <w:pStyle w:val="ListParagraph"/>
        <w:numPr>
          <w:ilvl w:val="0"/>
          <w:numId w:val="6"/>
        </w:numPr>
      </w:pPr>
      <w:r>
        <w:t>define a compact aviation-maintenance schema and construct frozen gold data for entity and relation extraction;</w:t>
      </w:r>
    </w:p>
    <w:p w14:paraId="3D0111A3" w14:textId="77777777" w:rsidR="00110685" w:rsidRDefault="00110685" w:rsidP="00110685">
      <w:pPr>
        <w:pStyle w:val="ListParagraph"/>
        <w:numPr>
          <w:ilvl w:val="0"/>
          <w:numId w:val="6"/>
        </w:numPr>
      </w:pPr>
      <w:r>
        <w:t xml:space="preserve">measure whether normalization changes downstream </w:t>
      </w:r>
      <w:proofErr w:type="spellStart"/>
      <w:r>
        <w:t>SpERT</w:t>
      </w:r>
      <w:proofErr w:type="spellEnd"/>
      <w:r>
        <w:t xml:space="preserve"> performance under representation-matched training and evaluation;</w:t>
      </w:r>
    </w:p>
    <w:p w14:paraId="6D0E740D" w14:textId="77777777" w:rsidR="00110685" w:rsidRDefault="00110685" w:rsidP="00110685">
      <w:pPr>
        <w:pStyle w:val="ListParagraph"/>
        <w:numPr>
          <w:ilvl w:val="0"/>
          <w:numId w:val="6"/>
        </w:numPr>
      </w:pPr>
      <w:r>
        <w:t xml:space="preserve">compare feature-based, recurrent-neural, transformer-pipeline, and joint span-based extraction models on frozen internal data and the separate </w:t>
      </w:r>
      <w:proofErr w:type="spellStart"/>
      <w:r>
        <w:t>MaintIE</w:t>
      </w:r>
      <w:proofErr w:type="spellEnd"/>
      <w:r>
        <w:t xml:space="preserve"> benchmark;</w:t>
      </w:r>
    </w:p>
    <w:p w14:paraId="5E870EC2" w14:textId="77777777" w:rsidR="00110685" w:rsidRDefault="00110685" w:rsidP="00110685">
      <w:pPr>
        <w:pStyle w:val="ListParagraph"/>
        <w:numPr>
          <w:ilvl w:val="0"/>
          <w:numId w:val="6"/>
        </w:numPr>
      </w:pPr>
      <w:r>
        <w:t>construct a provenance-preserving silver graph and historical-case library from full-corpus predictions;</w:t>
      </w:r>
    </w:p>
    <w:p w14:paraId="7E4E0203" w14:textId="77777777" w:rsidR="00110685" w:rsidRDefault="00110685" w:rsidP="00110685">
      <w:pPr>
        <w:pStyle w:val="ListParagraph"/>
        <w:numPr>
          <w:ilvl w:val="0"/>
          <w:numId w:val="6"/>
        </w:numPr>
      </w:pPr>
      <w:r>
        <w:t>evaluate problem-only case retrieval, ranking, robustness, calibration, and manual evidence quality without using the query's hidden action; and</w:t>
      </w:r>
    </w:p>
    <w:p w14:paraId="11B02F9E" w14:textId="77777777" w:rsidR="00110685" w:rsidRDefault="00110685" w:rsidP="00110685">
      <w:pPr>
        <w:pStyle w:val="ListParagraph"/>
        <w:numPr>
          <w:ilvl w:val="0"/>
          <w:numId w:val="6"/>
        </w:numPr>
      </w:pPr>
      <w:r>
        <w:t>demonstrate how historical evidence can be presented with alternatives, outcome status, uncertainty, and an explicit human decision point.</w:t>
      </w:r>
    </w:p>
    <w:p w14:paraId="2F1F840F" w14:textId="77777777" w:rsidR="00110685" w:rsidRDefault="00110685" w:rsidP="00110685">
      <w:r>
        <w:t>The five research questions follow the order of the pipeline. Each question is stated together with the population used to evaluate it, the concise answer supported by that evidence, and the boundary within which the answer may be interpreted. This format keeps the questions readable while making the connection between the research aim, the experiments, and the later conclusions explicit.</w:t>
      </w:r>
    </w:p>
    <w:p w14:paraId="671A0E1C" w14:textId="77777777" w:rsidR="00110685" w:rsidRDefault="00110685" w:rsidP="00110685">
      <w:r w:rsidRPr="00110685">
        <w:rPr>
          <w:b/>
          <w:bCs/>
        </w:rPr>
        <w:lastRenderedPageBreak/>
        <w:t>RQ1</w:t>
      </w:r>
      <w:r>
        <w:t xml:space="preserve"> - Lexical normalization</w:t>
      </w:r>
    </w:p>
    <w:p w14:paraId="6D9C4021" w14:textId="77777777" w:rsidR="00110685" w:rsidRDefault="00110685" w:rsidP="00110685">
      <w:r>
        <w:t>Research question. Which of the six text representations most effectively reduces lexical error against the expert-cleaned reference while preserving protected aviation tokens?</w:t>
      </w:r>
    </w:p>
    <w:p w14:paraId="1E552AC6" w14:textId="77777777" w:rsidR="00110685" w:rsidRDefault="00110685" w:rsidP="00110685">
      <w:r>
        <w:t>Evidence and concise answer. System selection used 926 validation records, after which the six representations were evaluated once on a locked test of 741 records. ByT5 achieved the strongest descriptive reference agreement (WER = 0.0147), whereas the validation-selected Selective ByT5 system achieved WER = 0.0219 and preserved 100% of the protected aviation tokens.</w:t>
      </w:r>
    </w:p>
    <w:p w14:paraId="4456C047" w14:textId="77777777" w:rsidR="00110685" w:rsidRDefault="00110685" w:rsidP="00110685">
      <w:r>
        <w:t>Interpretation boundary. These values measure agreement with the available normalized reference; they do not establish that a rewritten expression is technically complete or operationally correct. The complete evaluation is reported in Chapter 4.</w:t>
      </w:r>
    </w:p>
    <w:p w14:paraId="4F1B2F2C" w14:textId="77777777" w:rsidR="00110685" w:rsidRDefault="00110685" w:rsidP="00110685">
      <w:r w:rsidRPr="00110685">
        <w:rPr>
          <w:b/>
          <w:bCs/>
        </w:rPr>
        <w:t>RQ2</w:t>
      </w:r>
      <w:r>
        <w:t xml:space="preserve"> - Normalization and downstream extraction</w:t>
      </w:r>
    </w:p>
    <w:p w14:paraId="60ED7A7B" w14:textId="77777777" w:rsidR="00110685" w:rsidRDefault="00110685" w:rsidP="00110685">
      <w:r>
        <w:t xml:space="preserve">Research question. How does the selected text representation affect entity and relation extraction when </w:t>
      </w:r>
      <w:proofErr w:type="spellStart"/>
      <w:r>
        <w:t>SpERT</w:t>
      </w:r>
      <w:proofErr w:type="spellEnd"/>
      <w:r>
        <w:t xml:space="preserve"> is trained and evaluated on representation-matched frozen data?</w:t>
      </w:r>
    </w:p>
    <w:p w14:paraId="1180B62D" w14:textId="77777777" w:rsidR="00110685" w:rsidRDefault="00110685" w:rsidP="00110685">
      <w:r>
        <w:t>Evidence and concise answer. The comparison used the same frozen split for every representation: 1,275 training records, 100 development records, and 225 test records. Raw text retained the highest entity and relation micro-F1, while Selective ByT5 improved relation macro-F1. Lower normalization error therefore did not translate into a general improvement in downstream extraction.</w:t>
      </w:r>
    </w:p>
    <w:p w14:paraId="11D988A2" w14:textId="77777777" w:rsidR="00110685" w:rsidRDefault="00110685" w:rsidP="00110685">
      <w:r>
        <w:t xml:space="preserve">Interpretation boundary. The result is an internal, representation-matched comparison </w:t>
      </w:r>
      <w:proofErr w:type="gramStart"/>
      <w:r>
        <w:t>on</w:t>
      </w:r>
      <w:proofErr w:type="gramEnd"/>
      <w:r>
        <w:t xml:space="preserve"> one frozen test population and should not be generalized to every extractor or maintenance corpus. The complete evaluation is reported in Chapter 6.</w:t>
      </w:r>
    </w:p>
    <w:p w14:paraId="615B6FBD" w14:textId="77777777" w:rsidR="00110685" w:rsidRDefault="00110685" w:rsidP="00110685">
      <w:r w:rsidRPr="00110685">
        <w:rPr>
          <w:b/>
          <w:bCs/>
        </w:rPr>
        <w:t>RQ3</w:t>
      </w:r>
      <w:r>
        <w:t xml:space="preserve"> - Information-extraction architectures</w:t>
      </w:r>
    </w:p>
    <w:p w14:paraId="0BDA8B0B" w14:textId="77777777" w:rsidR="00110685" w:rsidRDefault="00110685" w:rsidP="00110685">
      <w:r>
        <w:t xml:space="preserve">Research question. How do feature-based, recurrent-neural, transformer-pipeline, and joint span-based models compare, and is the resulting ranking pattern reproduced on the </w:t>
      </w:r>
      <w:proofErr w:type="spellStart"/>
      <w:r>
        <w:t>MaintIE</w:t>
      </w:r>
      <w:proofErr w:type="spellEnd"/>
      <w:r>
        <w:t xml:space="preserve"> benchmark?</w:t>
      </w:r>
    </w:p>
    <w:p w14:paraId="5A14CF41" w14:textId="77777777" w:rsidR="00110685" w:rsidRDefault="00110685" w:rsidP="00110685">
      <w:r>
        <w:t xml:space="preserve">Evidence and concise answer. The four model families were evaluated on the frozen internal 225-record test; separately trained systems were also assessed on the </w:t>
      </w:r>
      <w:proofErr w:type="spellStart"/>
      <w:r>
        <w:t>MaintIE</w:t>
      </w:r>
      <w:proofErr w:type="spellEnd"/>
      <w:r>
        <w:t xml:space="preserve"> 108-record test. Joint </w:t>
      </w:r>
      <w:proofErr w:type="spellStart"/>
      <w:r>
        <w:t>SpERT</w:t>
      </w:r>
      <w:proofErr w:type="spellEnd"/>
      <w:r>
        <w:t xml:space="preserve"> achieved the strongest entity and relation micro-F1 in both evaluations, although results for rare entity and relation labels remained less certain because their </w:t>
      </w:r>
      <w:proofErr w:type="gramStart"/>
      <w:r>
        <w:t>supports were</w:t>
      </w:r>
      <w:proofErr w:type="gramEnd"/>
      <w:r>
        <w:t xml:space="preserve"> small.</w:t>
      </w:r>
    </w:p>
    <w:p w14:paraId="6B5FDB89" w14:textId="77777777" w:rsidR="00110685" w:rsidRDefault="00110685" w:rsidP="00110685">
      <w:r>
        <w:t xml:space="preserve">Interpretation boundary. The </w:t>
      </w:r>
      <w:proofErr w:type="spellStart"/>
      <w:r>
        <w:t>MaintIE</w:t>
      </w:r>
      <w:proofErr w:type="spellEnd"/>
      <w:r>
        <w:t xml:space="preserve"> experiment is a separately trained benchmark evaluation, not zero-shot transfer, and the two test sets should not be treated as interchangeable populations. The complete evaluation is reported in Chapter 6.</w:t>
      </w:r>
    </w:p>
    <w:p w14:paraId="5775F853" w14:textId="77777777" w:rsidR="00110685" w:rsidRDefault="00110685" w:rsidP="00110685">
      <w:r w:rsidRPr="00110685">
        <w:rPr>
          <w:b/>
          <w:bCs/>
        </w:rPr>
        <w:lastRenderedPageBreak/>
        <w:t>RQ4</w:t>
      </w:r>
      <w:r>
        <w:t xml:space="preserve"> - Historical-case retrieval</w:t>
      </w:r>
    </w:p>
    <w:p w14:paraId="63C4752C" w14:textId="77777777" w:rsidR="00110685" w:rsidRDefault="00110685" w:rsidP="00110685">
      <w:r>
        <w:t>Research question. To what extent can problem-only, cluster-safe retrieval recover recorded action evidence, and how robust is the fixed protocol to plausible degradation of the query text?</w:t>
      </w:r>
    </w:p>
    <w:p w14:paraId="02CFFDD8" w14:textId="77777777" w:rsidR="00110685" w:rsidRDefault="00110685" w:rsidP="00110685">
      <w:r>
        <w:t xml:space="preserve">Evidence and concise answer. Final evidence comprises 828 evaluable locked test queries, a 100-query manual review, and a supplementary fixed-protocol robustness study. The final BM25 configuration achieved Hit@1 = 0.7899 and </w:t>
      </w:r>
      <w:proofErr w:type="gramStart"/>
      <w:r>
        <w:t>Hit</w:t>
      </w:r>
      <w:proofErr w:type="gramEnd"/>
      <w:r>
        <w:t>@5 = 0.9952. Performance remained comparatively stable under the tested spelling and truncation perturbations, but macro action-family recall was only 0.2802.</w:t>
      </w:r>
    </w:p>
    <w:p w14:paraId="0049E751" w14:textId="77777777" w:rsidR="00110685" w:rsidRDefault="00110685" w:rsidP="00110685">
      <w:r>
        <w:t>Interpretation boundary. The experiment measures recovery of historically associated evidence. It does not prove action applicability, technical correctness, or statistically secure superiority over the majority baseline. The complete evaluation is reported in Chapter 8.</w:t>
      </w:r>
    </w:p>
    <w:p w14:paraId="2E3BC979" w14:textId="77777777" w:rsidR="00110685" w:rsidRDefault="00110685" w:rsidP="00110685">
      <w:r w:rsidRPr="00110685">
        <w:rPr>
          <w:b/>
          <w:bCs/>
        </w:rPr>
        <w:t>RQ5</w:t>
      </w:r>
      <w:r>
        <w:t xml:space="preserve"> - Auditable planning support</w:t>
      </w:r>
    </w:p>
    <w:p w14:paraId="46ACF686" w14:textId="77777777" w:rsidR="00110685" w:rsidRDefault="00110685" w:rsidP="00110685">
      <w:r>
        <w:t>Research question. How can retrieved historical cases be presented as planning support while preserving provenance, alternatives, uncertainty, and human maintenance authority?</w:t>
      </w:r>
    </w:p>
    <w:p w14:paraId="747A5EE0" w14:textId="77777777" w:rsidR="00110685" w:rsidRDefault="00110685" w:rsidP="00110685">
      <w:r>
        <w:t xml:space="preserve">Evidence and concise answer. The answer draws on the prototype functions, the evidence contract, calibration results, manual review, and the explicit limitations of the implemented workflow. </w:t>
      </w:r>
      <w:proofErr w:type="spellStart"/>
      <w:r>
        <w:t>AviMaint</w:t>
      </w:r>
      <w:proofErr w:type="spellEnd"/>
      <w:r>
        <w:t>-DSS demonstrates that ranked historical cases can be presented with their source records, alternative cases, recorded outcomes, confidence information, and an abstention path rather than as an automatically approved procedure.</w:t>
      </w:r>
    </w:p>
    <w:p w14:paraId="15969C4E" w14:textId="77777777" w:rsidR="00110685" w:rsidRDefault="00110685" w:rsidP="00110685">
      <w:r>
        <w:t>Interpretation boundary. The prototype has not undergone operational usability, safety, cybersecurity, regulatory, or deployment validation; qualified personnel and current approved maintenance data remain authoritative. The complete evaluation is reported in Chapter 8.</w:t>
      </w:r>
    </w:p>
    <w:p w14:paraId="4DF72996" w14:textId="77777777" w:rsidR="00110685" w:rsidRDefault="00110685" w:rsidP="00110685">
      <w:pPr>
        <w:pStyle w:val="Heading2"/>
        <w:numPr>
          <w:ilvl w:val="0"/>
          <w:numId w:val="0"/>
        </w:numPr>
      </w:pPr>
      <w:r>
        <w:t>1.4 Scope and safety boundary</w:t>
      </w:r>
    </w:p>
    <w:p w14:paraId="1E0343C0" w14:textId="77777777" w:rsidR="00110685" w:rsidRDefault="00110685" w:rsidP="00110685">
      <w:r>
        <w:t xml:space="preserve">The empirical scope is limited to English aviation problem and action records from the supplied </w:t>
      </w:r>
      <w:proofErr w:type="spellStart"/>
      <w:r>
        <w:t>MaintNet</w:t>
      </w:r>
      <w:proofErr w:type="spellEnd"/>
      <w:r>
        <w:t xml:space="preserve"> data and to the associated annotated and reference-normalized subsets. The technical scope covers lexical normalization; entity and relation extraction; silver knowledge-graph and case construction; lexical, dense, and structured retrieval; fusion and reranking; outcome-aware filtering; diversification; confidence presentation; and a local decision-support prototype. ByT5 is used only for lexical normalization. Dense encoders and cross-encoders are used only for retrieval or ranking. Direct generation of maintenance procedures by a large language model is excluded, as is the construction of a new procedure by merging steps from different historical cases.</w:t>
      </w:r>
    </w:p>
    <w:p w14:paraId="7E4AD192" w14:textId="77777777" w:rsidR="00110685" w:rsidRDefault="00110685" w:rsidP="00110685">
      <w:r>
        <w:lastRenderedPageBreak/>
        <w:t>The meaning of each evidence type is restricted. Expert-cleaned or manually annotated data support direct benchmark claims on the corresponding frozen population. Development results support model or threshold selection but are not final performance estimates. Full-corpus entities, relations, graph links, and case attributes are silver outputs and remain subject to model error. Retrieval labels and calibration targets represent agreement with historical records or reviewer judgements under the study protocol; they do not prove technical applicability, safety, or regulatory acceptability.</w:t>
      </w:r>
    </w:p>
    <w:p w14:paraId="1756D06B" w14:textId="77777777" w:rsidR="00110685" w:rsidRDefault="00110685" w:rsidP="00110685">
      <w:proofErr w:type="spellStart"/>
      <w:r>
        <w:t>AviMaint</w:t>
      </w:r>
      <w:proofErr w:type="spellEnd"/>
      <w:r>
        <w:t>-DSS is consequently an evidence-navigation prototype rather than an approved procedure source. It does not establish airworthiness, choose an authorized maintenance instruction, verify aircraft effectivity, certify a component, calculate an operational failure rate, or release an aircraft to service. Planning fields such as parts, tools, time, cost, due date, applicability, and reference status are workflow information entered or confirmed by a user. Qualified personnel remain responsible for checking aircraft identity and configuration, current approved maintenance data, authorization requirements, and release-to-service conditions.</w:t>
      </w:r>
    </w:p>
    <w:p w14:paraId="78864E71" w14:textId="77777777" w:rsidR="00110685" w:rsidRDefault="00110685" w:rsidP="00110685">
      <w:pPr>
        <w:pStyle w:val="Heading2"/>
        <w:numPr>
          <w:ilvl w:val="0"/>
          <w:numId w:val="0"/>
        </w:numPr>
      </w:pPr>
      <w:r>
        <w:t>1.5 Contributions</w:t>
      </w:r>
    </w:p>
    <w:p w14:paraId="537C4062" w14:textId="77777777" w:rsidR="00110685" w:rsidRDefault="00110685" w:rsidP="00110685">
      <w:r>
        <w:t>The first contribution is a controlled comparison of six text representations with a transparent selection policy. Validation results are used to select the official system, and a locked 741-record test is used only for final evaluation. This separation makes it possible to report ByT5 as the descriptive test leader while retaining Selective ByT5 as the preselected system and recognizing its complete preservation of protected aviation tokens.</w:t>
      </w:r>
    </w:p>
    <w:p w14:paraId="60BEC8D7" w14:textId="77777777" w:rsidR="00110685" w:rsidRDefault="00110685" w:rsidP="00110685">
      <w:r>
        <w:t xml:space="preserve">The second contribution is a representation-matched downstream experiment. Five </w:t>
      </w:r>
      <w:proofErr w:type="spellStart"/>
      <w:r>
        <w:t>SpERT</w:t>
      </w:r>
      <w:proofErr w:type="spellEnd"/>
      <w:r>
        <w:t xml:space="preserve"> conditions use identical 1,275/100/225 train, development, and test partitions. The result provides direct evidence that lower normalization error does not automatically produce higher extraction micro-F1, while also showing that selective normalization can affect macro-level relation performance.</w:t>
      </w:r>
    </w:p>
    <w:p w14:paraId="122BC6C3" w14:textId="77777777" w:rsidR="00110685" w:rsidRDefault="00110685" w:rsidP="00110685">
      <w:r>
        <w:t xml:space="preserve">The third contribution is a task-specific nine-entity, eleven-relation schema and a controlled comparison of four extraction architectures: a CRF with logistic regression, a </w:t>
      </w:r>
      <w:proofErr w:type="spellStart"/>
      <w:r>
        <w:t>BiLSTM</w:t>
      </w:r>
      <w:proofErr w:type="spellEnd"/>
      <w:r>
        <w:t xml:space="preserve">-CRF with neural relation classification, a </w:t>
      </w:r>
      <w:proofErr w:type="spellStart"/>
      <w:r>
        <w:t>DistilBERT</w:t>
      </w:r>
      <w:proofErr w:type="spellEnd"/>
      <w:r>
        <w:t xml:space="preserve"> pipeline, and joint span-based </w:t>
      </w:r>
      <w:proofErr w:type="spellStart"/>
      <w:r>
        <w:t>SpERT</w:t>
      </w:r>
      <w:proofErr w:type="spellEnd"/>
      <w:r>
        <w:t xml:space="preserve">. The study reports frozen internal results, class-level </w:t>
      </w:r>
      <w:proofErr w:type="spellStart"/>
      <w:r>
        <w:t>behaviour</w:t>
      </w:r>
      <w:proofErr w:type="spellEnd"/>
      <w:r>
        <w:t xml:space="preserve">, and a separately trained evaluation on </w:t>
      </w:r>
      <w:proofErr w:type="spellStart"/>
      <w:r>
        <w:t>MaintIE</w:t>
      </w:r>
      <w:proofErr w:type="spellEnd"/>
      <w:r>
        <w:t>. This design permits comparison across model families while keeping rare-class uncertainty visible.</w:t>
      </w:r>
    </w:p>
    <w:p w14:paraId="3474D479" w14:textId="77777777" w:rsidR="00110685" w:rsidRDefault="00110685" w:rsidP="00110685">
      <w:r>
        <w:t xml:space="preserve">The fourth contribution is a provenance-preserving route from extraction output to planning support. Model-derived structure is kept as silver evidence, complete cases remain linked to their source records, and retrieval is evaluated on cluster-safe problem-only queries. The final protocol combines quantitative ranking measures, robustness tests, calibration analysis, and manual review. </w:t>
      </w:r>
      <w:proofErr w:type="spellStart"/>
      <w:r>
        <w:t>AviMaint</w:t>
      </w:r>
      <w:proofErr w:type="spellEnd"/>
      <w:r>
        <w:t>-</w:t>
      </w:r>
      <w:r>
        <w:lastRenderedPageBreak/>
        <w:t>DSS uses these results to present historical alternatives and uncertainty without claiming to generate approved maintenance decisions.</w:t>
      </w:r>
    </w:p>
    <w:p w14:paraId="0107F130" w14:textId="77777777" w:rsidR="00110685" w:rsidRDefault="00110685" w:rsidP="00110685">
      <w:pPr>
        <w:pStyle w:val="Heading2"/>
        <w:numPr>
          <w:ilvl w:val="0"/>
          <w:numId w:val="0"/>
        </w:numPr>
      </w:pPr>
      <w:r>
        <w:t>1.6 Thesis structure</w:t>
      </w:r>
    </w:p>
    <w:p w14:paraId="28BC8000" w14:textId="77777777" w:rsidR="00110685" w:rsidRDefault="00110685" w:rsidP="00110685">
      <w:r>
        <w:t>The thesis is organized around the flow of evidence shown in Figure 1.1. It uses an integrated experimental structure: the method, evaluation protocol, results, error analysis, and RQ-specific interpretation are presented together in the chapter concerned. There is therefore no detached chapter containing all results. Chapter 9 subsequently brings the stage-level findings together and examines what they mean for the complete pipeline.</w:t>
      </w:r>
    </w:p>
    <w:p w14:paraId="6287575E" w14:textId="77777777" w:rsidR="00110685" w:rsidRDefault="00110685" w:rsidP="00110685">
      <w:r>
        <w:t>Foundations and research design (Chapters 1–3). Chapter 1 defines the research problem, questions, scope, safety boundary, and contributions. Chapter 2 develops the theoretical and empirical background for maintenance-language normalization, information extraction, retrieval, and decision support. Chapter 3 records the corpus lineage, annotation process, cluster-safe partitions, frozen evaluation populations, metrics, and evidence-status vocabulary used throughout the experiments.</w:t>
      </w:r>
    </w:p>
    <w:p w14:paraId="7D2F8E8B" w14:textId="77777777" w:rsidR="00110685" w:rsidRDefault="00110685" w:rsidP="00110685">
      <w:r>
        <w:t xml:space="preserve">Controlled language-processing studies (Chapters 4–6). Chapter 4 evaluates the six normalization representations and answers RQ1. Chapter 5 defines the aviation-maintenance entity–relation schema and documents construction and quality control of the gold corpus. Chapter 6 contains both the representation-matched downstream experiment for RQ2 and the four-family information-extraction comparison for RQ3, including the separate </w:t>
      </w:r>
      <w:proofErr w:type="spellStart"/>
      <w:r>
        <w:t>MaintIE</w:t>
      </w:r>
      <w:proofErr w:type="spellEnd"/>
      <w:r>
        <w:t xml:space="preserve"> benchmark.</w:t>
      </w:r>
    </w:p>
    <w:p w14:paraId="247C677A" w14:textId="77777777" w:rsidR="00110685" w:rsidRDefault="00110685" w:rsidP="00110685">
      <w:r>
        <w:t>Evidence integration (Chapter 7). The strongest verified extraction configuration is applied to the full aviation corpus. Its model-derived entities and relations are retained as silver evidence and converted into a lightweight knowledge graph and a provenance-preserving library of complete historical cases. The case library supplies source-linked candidates, while the silver graph supports inspection and exploratory structured matching. The frozen RQ4 ranking itself is lexical and does not use graph features; neither product represents expert-verified facts.</w:t>
      </w:r>
    </w:p>
    <w:p w14:paraId="539A8C42" w14:textId="77777777" w:rsidR="00110685" w:rsidRDefault="00110685" w:rsidP="00110685">
      <w:r>
        <w:t xml:space="preserve">Retrieval and prototype evaluation (Chapter 8). Cluster-safe, problem-only retrieval is evaluated against the frozen protocol, followed by robustness, calibration, and manual-review analyses. The same chapter explains how </w:t>
      </w:r>
      <w:proofErr w:type="spellStart"/>
      <w:r>
        <w:t>AviMaint</w:t>
      </w:r>
      <w:proofErr w:type="spellEnd"/>
      <w:r>
        <w:t>-DSS presents retrieved cases, alternatives, outcomes, uncertainty, and abstention, thereby answering RQ4 and RQ5 within the stated safety boundary.</w:t>
      </w:r>
    </w:p>
    <w:p w14:paraId="6B03B11E" w14:textId="77777777" w:rsidR="00110685" w:rsidRDefault="00110685" w:rsidP="00110685">
      <w:r>
        <w:t>Cross-stage synthesis (Chapters 9–10). Chapter 9 compares the findings across normalization, extraction, case construction, and retrieval; discusses limitations and validity threats; and identifies the vali</w:t>
      </w:r>
      <w:r>
        <w:lastRenderedPageBreak/>
        <w:t>dation still required before operational use. Chapter 10 gives the final answers to RQ1–RQ5 and summarizes the contribution and future work. The appendices retain the detailed schema, class-level results, evidence contract, and artifact register needed for reproducibility.</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