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6F9A" w14:textId="77777777" w:rsidR="00110685" w:rsidRDefault="00110685" w:rsidP="00810279">
      <w:pPr>
        <w:pStyle w:val="Heading1"/>
        <w:numPr>
          <w:ilvl w:val="0"/>
          <w:numId w:val="0"/>
        </w:numPr>
      </w:pPr>
      <w:r>
        <w:t>2 Literature Review</w:t>
      </w:r>
    </w:p>
    <w:p w14:paraId="0E922510" w14:textId="77777777" w:rsidR="00110685" w:rsidRDefault="00110685" w:rsidP="00110685">
      <w:r>
        <w:t>This chapter reviews the research that frames the thesis rather than describing the implementation itself. Its purpose is to compare what earlier work has established about maintenance language, lexical normalization, information extraction, knowledge representation, retrieval, and selective decision support. Detailed model mechanics, equations, training settings, and the experiments conducted for this thesis are developed in Chapters 3–8. Keeping that material outside the literature review makes the distinction between prior knowledge and the present contribution explicit.</w:t>
      </w:r>
    </w:p>
    <w:p w14:paraId="17A4A08B" w14:textId="77777777" w:rsidR="00110685" w:rsidRDefault="00110685" w:rsidP="00110685">
      <w:r>
        <w:t xml:space="preserve">The review follows the same chain through which an operational narrative becomes retrievable evidence. A short maintenance record first </w:t>
      </w:r>
      <w:proofErr w:type="gramStart"/>
      <w:r>
        <w:t>has to</w:t>
      </w:r>
      <w:proofErr w:type="gramEnd"/>
      <w:r>
        <w:t xml:space="preserve"> be interpreted despite abbreviations and damaged spelling; relevant entities and relations must then be recovered; the extracted content must be </w:t>
      </w:r>
      <w:r w:rsidR="000168AD">
        <w:t>organized</w:t>
      </w:r>
      <w:r>
        <w:t xml:space="preserve"> as a case; and a retrieval method must return comparable historical material without presenting it as an approved instruction. The literature is therefore assessed not only by headline performance, but also by its data provenance, evaluation population, treatment of uncertainty, and suitability for a traceable human-review workflow. Figure 2.1 sketches the sequence of research traditions and the </w:t>
      </w:r>
      <w:proofErr w:type="gramStart"/>
      <w:r>
        <w:t>gap</w:t>
      </w:r>
      <w:proofErr w:type="gramEnd"/>
      <w:r>
        <w:t xml:space="preserve"> this integrated evaluation addresses.</w:t>
      </w:r>
    </w:p>
    <w:p w14:paraId="3026D7C8" w14:textId="77777777" w:rsidR="00110685" w:rsidRDefault="00110685" w:rsidP="00810279">
      <w:pPr>
        <w:pStyle w:val="Heading2"/>
        <w:numPr>
          <w:ilvl w:val="0"/>
          <w:numId w:val="0"/>
        </w:numPr>
      </w:pPr>
      <w:r>
        <w:t>2.1 Review scope and comparison criteria</w:t>
      </w:r>
    </w:p>
    <w:p w14:paraId="5D30D298" w14:textId="77777777" w:rsidR="00110685" w:rsidRDefault="00110685" w:rsidP="00110685">
      <w:r>
        <w:t>The selected literature combines foundational methods with studies that directly address industrial or aviation maintenance text. Foundational publications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judge whether those methods transfer to short, noisy and safety-relevant records [3, 4, 5, 6, 12, 13].</w:t>
      </w:r>
    </w:p>
    <w:p w14:paraId="350C013D" w14:textId="77777777" w:rsidR="00110685" w:rsidRDefault="00110685" w:rsidP="00110685">
      <w:r>
        <w:t xml:space="preserve">Four comparison criteria guide the review. First, the data context determines whether a method was studied </w:t>
      </w:r>
      <w:proofErr w:type="gramStart"/>
      <w:r>
        <w:t>on</w:t>
      </w:r>
      <w:proofErr w:type="gramEnd"/>
      <w:r>
        <w:t xml:space="preserve">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289849D8" w14:textId="77777777" w:rsidR="00110685" w:rsidRDefault="00110685" w:rsidP="00110685">
      <w:r>
        <w:t xml:space="preserve">The review is intentionally selective rather than </w:t>
      </w:r>
      <w:r w:rsidR="00BB5A16">
        <w:t>encyclopedic</w:t>
      </w:r>
      <w:r>
        <w:t xml:space="preserve">. It </w:t>
      </w:r>
      <w:r w:rsidR="00BB5A16">
        <w:t>prioritizes</w:t>
      </w:r>
      <w:r>
        <w:t xml:space="preserve"> methods implemented or meaningfully tested in this thesis and studies that clarify the main design choices. Regulatory sources are used only to define the system boundary: continuing-airworthiness and maintenance-performance rules reinforce that approved data and </w:t>
      </w:r>
      <w:r w:rsidR="00BB5A16">
        <w:t>authorized</w:t>
      </w:r>
      <w:r>
        <w:t xml:space="preserve"> personnel remain decisive [1, 2]. They are not used to claim regulatory conformity of the prototype.</w:t>
      </w:r>
    </w:p>
    <w:p w14:paraId="75559E49" w14:textId="77777777" w:rsidR="00110685" w:rsidRDefault="00110685" w:rsidP="00810279">
      <w:pPr>
        <w:pStyle w:val="Heading2"/>
        <w:numPr>
          <w:ilvl w:val="0"/>
          <w:numId w:val="0"/>
        </w:numPr>
      </w:pPr>
      <w:r>
        <w:t>2.2 Maintenance language and technical NLP</w:t>
      </w:r>
    </w:p>
    <w:p w14:paraId="70A646E9" w14:textId="77777777" w:rsidR="00110685" w:rsidRDefault="00110685" w:rsidP="00110685">
      <w:r>
        <w:t xml:space="preserve">Maintenance work orders are written for operational continuity, not for natural-language processing. They commonly compress an observed condition, location, component, action and outcome into a few fragments. Local abbreviations, omitted function words, part identifiers, </w:t>
      </w:r>
      <w:r w:rsidR="00BB5A16">
        <w:t>capitalization</w:t>
      </w:r>
      <w:r>
        <w:t xml:space="preserve"> shifts and repeated templates may all occur in a single line. Brundage et al. [4] describe this setting as technical language processing: the challenge is not simply informal grammar, but a </w:t>
      </w:r>
      <w:r w:rsidR="00BB5A16">
        <w:t>specialized</w:t>
      </w:r>
      <w:r>
        <w:t xml:space="preserve"> register in which meaning is carried by domain conventions and asset-specific vocabulary.</w:t>
      </w:r>
    </w:p>
    <w:p w14:paraId="35FB442B" w14:textId="77777777" w:rsidR="00110685" w:rsidRDefault="00110685" w:rsidP="00110685">
      <w:r>
        <w:t xml:space="preserve">Earlier maintenance keyword-extraction benchmarks [14] and aviation entity-recognition studies [15] show that the choice of labels, domain and target text matters as much as the encoder. A later aviation-maintenance model combines a BERT encoder, bidirectional sequence modelling and CRF decoding </w:t>
      </w:r>
      <w:r>
        <w:lastRenderedPageBreak/>
        <w:t xml:space="preserve">[16]; it informs the architectural context here, not a score-to-score comparison with the distinct </w:t>
      </w:r>
      <w:proofErr w:type="spellStart"/>
      <w:r>
        <w:t>AviMaint</w:t>
      </w:r>
      <w:proofErr w:type="spellEnd"/>
      <w:r>
        <w:t xml:space="preserve"> data.</w:t>
      </w:r>
    </w:p>
    <w:p w14:paraId="0372F247" w14:textId="77777777" w:rsidR="00110685" w:rsidRDefault="00110685" w:rsidP="00110685">
      <w:proofErr w:type="spellStart"/>
      <w:r>
        <w:t>MaintNet</w:t>
      </w:r>
      <w:proofErr w:type="spellEnd"/>
      <w:r>
        <w:t xml:space="preserve"> provides one of the clearest open research contexts for this problem. </w:t>
      </w:r>
      <w:proofErr w:type="spellStart"/>
      <w:r>
        <w:t>Akhbardeh</w:t>
      </w:r>
      <w:proofErr w:type="spellEnd"/>
      <w:r>
        <w:t xml:space="preserve"> et al. [3, 12] assembled language resources and tools around predictive-maintenance records, making it possible to study recurring technical expressions at a scale that smaller proprietary collections do not permit. The cleaned </w:t>
      </w:r>
      <w:proofErr w:type="spellStart"/>
      <w:r>
        <w:t>MaintNet</w:t>
      </w:r>
      <w:proofErr w:type="spellEnd"/>
      <w:r>
        <w:t xml:space="preserve"> aviation repository used in the present project improves accessibility to this material, but it does not remove the need to document subsequent filtering, duplicate control, annotations, or split construction [17]. A publicly available corpus is therefore a starting point rather than a complete experimental protocol.</w:t>
      </w:r>
    </w:p>
    <w:p w14:paraId="6BC53A4C" w14:textId="77777777" w:rsidR="00110685" w:rsidRDefault="00110685" w:rsidP="00110685">
      <w:r>
        <w:t>The same shorthand can be useful to an experienced engineer and difficult for an automated system. A code that looks like noise to a general-language model may identify a component or procedure, while an apparently harmless spelling correction may alter that identifier. Conversely, leaving all text untouched can fragment retrieval because equivalent defects appear under several spellings. The literature therefore supports two simultaneous requirements: models must reduce lexical variation, and they must preserve forms whose technical meaning cannot safely be inferred from surface regularity alone [4, 5].</w:t>
      </w:r>
    </w:p>
    <w:p w14:paraId="085A71C5" w14:textId="77777777" w:rsidR="00110685" w:rsidRDefault="00110685" w:rsidP="00110685">
      <w:r>
        <w:t>Recent maintenance-language studies have also explored similarity and topic structure as routes to reusable operational knowledge. Sundaram and Zeid [13], for example, apply text similarity and topic modelling to work orders in a prognostics and health-management setting. Such work shows that maintenance narratives can support grouping and search, yet similarity alone does not identify which phrase describes the problem, which describes an action, or whether the retrieved action is applicable to a new aircraft state. This distinction motivates the structured extraction and evidence-bound retrieval stages considered later in the thesis.</w:t>
      </w:r>
    </w:p>
    <w:p w14:paraId="10CB454C" w14:textId="77777777" w:rsidR="00110685" w:rsidRDefault="00110685" w:rsidP="00110685">
      <w:r>
        <w:t>Taken together, prior studies establish that maintenance narratives contain reusable information but resist direct reuse. Their central limitation for this project is not a lack of individual algorithms; it is the absence of a common evaluation chain that follows evidence from noisy text through extraction into a traceable historical case. The thesis consequently treats the record identity and its provenance as persistent objects across stages instead of viewing normalization, extraction and retrieval as independent demonstrations.</w:t>
      </w:r>
    </w:p>
    <w:p w14:paraId="612E26F6" w14:textId="77777777" w:rsidR="00110685" w:rsidRDefault="00110685" w:rsidP="00810279">
      <w:pPr>
        <w:pStyle w:val="Heading2"/>
        <w:numPr>
          <w:ilvl w:val="0"/>
          <w:numId w:val="0"/>
        </w:numPr>
      </w:pPr>
      <w:r>
        <w:t>2.3 Lexical normalization for noisy technical text</w:t>
      </w:r>
    </w:p>
    <w:p w14:paraId="4299879B" w14:textId="77777777" w:rsidR="00110685" w:rsidRDefault="00110685" w:rsidP="00110685">
      <w:r>
        <w:t xml:space="preserve">Lexical normalization maps a non-standard expression to a more regular form while attempting to preserve meaning. In </w:t>
      </w:r>
      <w:proofErr w:type="gramStart"/>
      <w:r>
        <w:t>general</w:t>
      </w:r>
      <w:proofErr w:type="gramEnd"/>
      <w:r>
        <w:t xml:space="preserve"> noisy-text research, evaluation commonly compares a system output </w:t>
      </w:r>
      <w:r>
        <w:lastRenderedPageBreak/>
        <w:t xml:space="preserve">with a reference string, and shared tasks such as </w:t>
      </w:r>
      <w:proofErr w:type="spellStart"/>
      <w:r>
        <w:t>MultiLexNorm</w:t>
      </w:r>
      <w:proofErr w:type="spellEnd"/>
      <w:r>
        <w:t xml:space="preserve"> show that the problem spans languages and noise types [18]. General benchmarks, however, do not reproduce the risk profile of maintenance data: replacing an informal spelling and rewriting a component identifier are both string transformations, but the operational consequences of an error are very different.</w:t>
      </w:r>
    </w:p>
    <w:p w14:paraId="16F40FCA" w14:textId="77777777" w:rsidR="00110685" w:rsidRDefault="00110685" w:rsidP="00110685">
      <w:r>
        <w:t xml:space="preserve">Fine-tuning ByT5 for multilingual lexical normalization was also examined in </w:t>
      </w:r>
      <w:proofErr w:type="spellStart"/>
      <w:r>
        <w:t>MultiLexNorm</w:t>
      </w:r>
      <w:proofErr w:type="spellEnd"/>
      <w:r>
        <w:t xml:space="preserve"> work [19]. That result motivates the byte-level candidate, but industrial tokens and protected aircraft identifiers require a separate local test; the final representation is selected on validation data rather than borrowed from a different corpus.</w:t>
      </w:r>
    </w:p>
    <w:p w14:paraId="2C0E80FD" w14:textId="77777777" w:rsidR="00110685" w:rsidRPr="00810279" w:rsidRDefault="00110685" w:rsidP="00BB5A16">
      <w:pPr>
        <w:rPr>
          <w:rStyle w:val="Emphasis"/>
        </w:rPr>
      </w:pPr>
      <w:r>
        <w:t xml:space="preserve">Rule-based and dictionary-based systems remain valuable because their decisions are inspectable. A curated mapping can expand a known abbreviation or correct a frequent local misspelling, and a protected list can prevent changes to specified technical forms. The weakness is coverage. Rules written for observed patterns may not </w:t>
      </w:r>
      <w:proofErr w:type="spellStart"/>
      <w:r>
        <w:t>generalise</w:t>
      </w:r>
      <w:proofErr w:type="spellEnd"/>
      <w:r>
        <w:t xml:space="preserve"> to new variants, while frequency replacement ignores context and can choose the wrong expansion for an ambiguous token. These approaches therefore provide meaningful baselines and safeguards, but </w:t>
      </w:r>
      <w:proofErr w:type="gramStart"/>
      <w:r>
        <w:t>the literature</w:t>
      </w:r>
      <w:proofErr w:type="gramEnd"/>
      <w:r>
        <w:t xml:space="preserve"> does not support </w:t>
      </w:r>
      <w:proofErr w:type="gramStart"/>
      <w:r>
        <w:t>assuming that</w:t>
      </w:r>
      <w:proofErr w:type="gramEnd"/>
      <w:r>
        <w:t xml:space="preserve"> more dictionary coverage necessarily produces better text. </w:t>
      </w:r>
    </w:p>
    <w:p w14:paraId="43774420" w14:textId="77777777" w:rsidR="00110685" w:rsidRDefault="00110685" w:rsidP="00110685">
      <w:r>
        <w:t>Sequence-to-sequence models frame normalization as conditional generation. T5 unifies language tasks by expressing them as text-to-text transformations, while ByT5 performs the transformation directly over bytes rather than relying on a fixed token vocabulary [20, 21]. Byte-level modelling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517D4DC6" w14:textId="77777777" w:rsidR="00110685" w:rsidRDefault="00110685" w:rsidP="00110685">
      <w:proofErr w:type="spellStart"/>
      <w:r>
        <w:t>MaintNorm</w:t>
      </w:r>
      <w:proofErr w:type="spellEnd"/>
      <w:r>
        <w:t xml:space="preserve"> is particularly relevant because it supplies a corpus and benchmark designed for industrial maintenance short text rather than social-media noise [5]. Its contribution is both empirical and methodological: it makes normalization and </w:t>
      </w:r>
      <w:proofErr w:type="gramStart"/>
      <w:r>
        <w:t>masking</w:t>
      </w:r>
      <w:proofErr w:type="gramEnd"/>
      <w:r>
        <w:t xml:space="preserve"> decisions observable within a domain corpus. Its scope nevertheless remains a benchmark for a defined dataset and task. It does not establish that the representation with the best reference agreement will also </w:t>
      </w:r>
      <w:r w:rsidR="00BB5A16">
        <w:t>maximize</w:t>
      </w:r>
      <w:r>
        <w:t xml:space="preserve"> entity or relation extraction on a different aviation corpus.</w:t>
      </w:r>
    </w:p>
    <w:p w14:paraId="4F1D9014" w14:textId="77777777" w:rsidR="00110685" w:rsidRDefault="00110685" w:rsidP="00110685">
      <w:r>
        <w:t>This downstream question is often overlooked. Reference metrics reward similarity to a cleaned target, whereas an extractor may benefit from regular patterns already present in the 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and the extraction split, labels and model remain fixed.</w:t>
      </w:r>
    </w:p>
    <w:p w14:paraId="3C2D1F5D" w14:textId="77777777" w:rsidR="00110685" w:rsidRDefault="00110685" w:rsidP="00110685">
      <w:r>
        <w:lastRenderedPageBreak/>
        <w:t>The literature suggests that preservation should be treated as a separate objective rather than hidden inside an average edit score. Selective processing offers one solution: accept a learned transformation only when evidence is sufficient and a safety rule is satisfied, otherwise retain the original input. This design does not turn confidence into a probability of correctness. It creates an explicit trade-off between coverage and intervention, which can be chosen on validation data and then evaluated once on a sealed test [22].</w:t>
      </w:r>
    </w:p>
    <w:p w14:paraId="2A19134B" w14:textId="77777777" w:rsidR="00110685" w:rsidRDefault="00110685" w:rsidP="00810279">
      <w:pPr>
        <w:pStyle w:val="Heading2"/>
        <w:numPr>
          <w:ilvl w:val="0"/>
          <w:numId w:val="0"/>
        </w:numPr>
      </w:pPr>
      <w:r>
        <w:t>2.4 Information extraction from maintenance narratives</w:t>
      </w:r>
    </w:p>
    <w:p w14:paraId="1F05FC4A" w14:textId="77777777" w:rsidR="00110685" w:rsidRDefault="00110685" w:rsidP="00110685">
      <w:r>
        <w:t xml:space="preserve">Information extraction converts free text into typed spans and relations. In maintenance records, useful entities include the affected item, location, abnormal condition, action, observation and outcome; relations express how those elements belong together. The task differs from document classification because the system must recover boundaries and links within a short record. It also differs from generic named-entity recognition because many labels </w:t>
      </w:r>
      <w:proofErr w:type="gramStart"/>
      <w:r>
        <w:t>are</w:t>
      </w:r>
      <w:proofErr w:type="gramEnd"/>
      <w:r>
        <w:t xml:space="preserve"> functional roles rather than conventional names.</w:t>
      </w:r>
    </w:p>
    <w:p w14:paraId="43AC66C5" w14:textId="77777777" w:rsidR="00110685" w:rsidRDefault="00110685" w:rsidP="00110685">
      <w:r>
        <w:t xml:space="preserve">The sequence-tagging lineage runs from chunk-label encodings [23] through LSTM memory cells [24], </w:t>
      </w:r>
      <w:proofErr w:type="spellStart"/>
      <w:r>
        <w:t>subword</w:t>
      </w:r>
      <w:proofErr w:type="spellEnd"/>
      <w:r>
        <w:t xml:space="preserve">-aware embeddings [25] and transformer self-attention [26]. Domain-adaptive pretraining [27] is relevant when technical vocabulary differs from a general-language training corpus, although it was not an additional evaluated extraction tier here. These sources motivate, rather than supply, the results of the local CRF, </w:t>
      </w:r>
      <w:proofErr w:type="spellStart"/>
      <w:r>
        <w:t>BiLSTM</w:t>
      </w:r>
      <w:proofErr w:type="spellEnd"/>
      <w:r>
        <w:t xml:space="preserve">, </w:t>
      </w:r>
      <w:proofErr w:type="spellStart"/>
      <w:r>
        <w:t>DistilBERT</w:t>
      </w:r>
      <w:proofErr w:type="spellEnd"/>
      <w:r>
        <w:t xml:space="preserve"> and </w:t>
      </w:r>
      <w:proofErr w:type="spellStart"/>
      <w:r>
        <w:t>SpERT</w:t>
      </w:r>
      <w:proofErr w:type="spellEnd"/>
      <w:r>
        <w:t xml:space="preserve"> comparisons.</w:t>
      </w:r>
    </w:p>
    <w:p w14:paraId="47EF5CC5" w14:textId="77777777" w:rsidR="00110685" w:rsidRDefault="00110685" w:rsidP="00110685">
      <w:r>
        <w:t>Generative extraction surveys and zero-shot entity-recognition experiments describe alternatives to the supervised span-and-relation design [28, 29]. Generation may produce plausible material unsupported by the source [30]; REBEL exemplifies generation-based relation extraction [31]. The present thesis retains source spans, relation direction and case provenance, and does not attribute its frozen IE metrics to any of these unevaluated alternatives.</w:t>
      </w:r>
    </w:p>
    <w:p w14:paraId="44C6DD2A" w14:textId="77777777" w:rsidR="00110685" w:rsidRDefault="00110685" w:rsidP="00110685">
      <w:r>
        <w:t xml:space="preserve">Conditional random fields provide a strong structured baseline for entity recognition. A CRF scores complete label sequences rather than classifying tokens independently, allowing transition constraints to </w:t>
      </w:r>
      <w:proofErr w:type="spellStart"/>
      <w:r>
        <w:t>favour</w:t>
      </w:r>
      <w:proofErr w:type="spellEnd"/>
      <w:r>
        <w:t xml:space="preserve"> coherent BIO tag patterns [8]. When supplied with lexical, orthographic, affix, shape and </w:t>
      </w:r>
      <w:proofErr w:type="spellStart"/>
      <w:r>
        <w:t>neighbouring</w:t>
      </w:r>
      <w:proofErr w:type="spellEnd"/>
      <w:r>
        <w:t xml:space="preserve">-token features, the model can exploit regularities that are common in templated work orders. It is transparent enough to inspect, but its coverage is limited by the chosen features and by the amount of context represented in them. Chapter 6 explains the scoring function, feature groups, </w:t>
      </w:r>
      <w:proofErr w:type="spellStart"/>
      <w:r>
        <w:t>regularisation</w:t>
      </w:r>
      <w:proofErr w:type="spellEnd"/>
      <w:r>
        <w:t xml:space="preserve"> and Viterbi decoding used in this thesis. Table 6.1 </w:t>
      </w:r>
      <w:proofErr w:type="gramStart"/>
      <w:r>
        <w:t>contrasts</w:t>
      </w:r>
      <w:proofErr w:type="gramEnd"/>
      <w:r>
        <w:t xml:space="preserve"> the four evaluated extraction families where they are compared.</w:t>
      </w:r>
    </w:p>
    <w:p w14:paraId="1C1F67CE" w14:textId="77777777" w:rsidR="00110685" w:rsidRDefault="00110685" w:rsidP="00110685">
      <w:r>
        <w:lastRenderedPageBreak/>
        <w:t>Neural sequence models reduce dependence on manually specified features. Bidirectional LSTMs combine left and right context, and a CRF output layer can retain sequence consistency [32, 33]. These models learn task-specific patterns from the labelled corpus, but they still depend strongly on sample size and class balance. In a small technical dataset, a recurrent model trained from limited supervision may not acquire the broad contextual knowledge available to a pretrained transformer.</w:t>
      </w:r>
    </w:p>
    <w:p w14:paraId="7BDE119D" w14:textId="77777777" w:rsidR="00110685" w:rsidRDefault="00110685" w:rsidP="00110685">
      <w:r>
        <w:t xml:space="preserve">BERT introduced deep bidirectional pretraining based on masked language modelling and self-attention, enabling task-specific fine-tuning from contextual representations [10]. </w:t>
      </w:r>
      <w:proofErr w:type="spellStart"/>
      <w:r>
        <w:t>DistilBERT</w:t>
      </w:r>
      <w:proofErr w:type="spellEnd"/>
      <w:r>
        <w:t xml:space="preserve"> transfers much of that capability into a smaller student model through knowledge distillation [34]. For maintenance extraction, this creates a useful middle ground between a feature-based baseline and a larger joint architecture. Pretraining improves contextual coverage, but it does not eliminate domain shift, boundary ambiguity or the scarcity of certain relation types.</w:t>
      </w:r>
    </w:p>
    <w:p w14:paraId="1156B4B1" w14:textId="77777777" w:rsidR="00110685" w:rsidRDefault="00110685" w:rsidP="00110685">
      <w:r>
        <w:t xml:space="preserve">Pipeline extraction first predicts entities and then classifies candidate pairs. Its modularity makes errors easy to locate, yet a missed or mistyped entity removes every dependent relation. </w:t>
      </w:r>
      <w:proofErr w:type="spellStart"/>
      <w:r>
        <w:t>SpERT</w:t>
      </w:r>
      <w:proofErr w:type="spellEnd"/>
      <w:r>
        <w:t xml:space="preserve"> addresses this dependency differently by enumerating candidate spans and jointly scoring span types and relations from transformer representations [11]. The model can share evidence between the two tasks and reason over span pairs directly. Its advantages come with higher computational cost, sensitivity to maximum span width and negative sampling, and a larger candidate space.</w:t>
      </w:r>
    </w:p>
    <w:p w14:paraId="465E9922" w14:textId="77777777" w:rsidR="00110685" w:rsidRDefault="00110685" w:rsidP="00110685">
      <w:proofErr w:type="spellStart"/>
      <w:r>
        <w:t>MaintIE</w:t>
      </w:r>
      <w:proofErr w:type="spellEnd"/>
      <w:r>
        <w:t xml:space="preserve"> provides a domain benchmark and fine-grained schema for maintenance short text, offering a stronger point of comparison than general named-entity datasets [6]. It demonstrates that maintenance information can be represented with detailed entities and relations, but external transfer </w:t>
      </w:r>
      <w:proofErr w:type="gramStart"/>
      <w:r>
        <w:t>has to</w:t>
      </w:r>
      <w:proofErr w:type="gramEnd"/>
      <w:r>
        <w:t xml:space="preserve"> be interpreted carefully. A model trained and tested on </w:t>
      </w:r>
      <w:proofErr w:type="spellStart"/>
      <w:r>
        <w:t>MaintIE</w:t>
      </w:r>
      <w:proofErr w:type="spellEnd"/>
      <w:r>
        <w:t xml:space="preserve"> measures performance under that benchmark; a model separately trained on a local aviation schema answers a different question. The present thesis therefore reports an internal frozen comparison and a separately trained external benchmark rather than describing the latter as zero-shot validation.</w:t>
      </w:r>
    </w:p>
    <w:p w14:paraId="362574FC" w14:textId="77777777" w:rsidR="00110685" w:rsidRDefault="00110685" w:rsidP="00110685">
      <w:r>
        <w:t xml:space="preserve">Annotation design is inseparable from model evaluation. Boundary conventions, overlapping concepts, relation direction and the treatment of implicit information determine what counts as a correct output. Fort et al. [35] </w:t>
      </w:r>
      <w:proofErr w:type="spellStart"/>
      <w:r>
        <w:t>emphasise</w:t>
      </w:r>
      <w:proofErr w:type="spellEnd"/>
      <w:r>
        <w:t xml:space="preserve"> the need for explicit named-entity annotation methodology, while Bayerl and Paul [36] show that agreement depends on task and annotation conditions. A single-reviewer correction workflow can produce a usable gold corpus, but without independent double annotation it cannot support an inter-annotator agreement claim. This limitation </w:t>
      </w:r>
      <w:proofErr w:type="gramStart"/>
      <w:r>
        <w:t>has to</w:t>
      </w:r>
      <w:proofErr w:type="gramEnd"/>
      <w:r>
        <w:t xml:space="preserve"> remain visible even when model-level scores are high.</w:t>
      </w:r>
    </w:p>
    <w:p w14:paraId="5605B3E6" w14:textId="77777777" w:rsidR="00110685" w:rsidRDefault="00110685" w:rsidP="00110685">
      <w:r>
        <w:t xml:space="preserve">No single aggregate F1 score adequately describes this setting. Micro-F1 is dominated by frequent labels; macro-F1 gives every class equal weight and therefore exposes weakness on rare types. Exact </w:t>
      </w:r>
      <w:r>
        <w:lastRenderedPageBreak/>
        <w:t xml:space="preserve">span matching is stricter than partial overlap, and a relation is correct only when its argument spans, types and direction match the evaluation rule. Confidence intervals and class support are necessary because a perfect score on a relation with one or two instances is not equivalent to stable performance </w:t>
      </w:r>
      <w:proofErr w:type="gramStart"/>
      <w:r>
        <w:t>on</w:t>
      </w:r>
      <w:proofErr w:type="gramEnd"/>
      <w:r>
        <w:t xml:space="preserve"> a common class [37].</w:t>
      </w:r>
    </w:p>
    <w:p w14:paraId="33D35BEB" w14:textId="77777777" w:rsidR="00110685" w:rsidRDefault="00110685" w:rsidP="00810279">
      <w:pPr>
        <w:pStyle w:val="Heading2"/>
        <w:numPr>
          <w:ilvl w:val="0"/>
          <w:numId w:val="0"/>
        </w:numPr>
      </w:pPr>
      <w:r>
        <w:t>2.5 Knowledge representation and case-based reasoning</w:t>
      </w:r>
    </w:p>
    <w:p w14:paraId="4E7A0649" w14:textId="77777777" w:rsidR="00110685" w:rsidRDefault="00110685" w:rsidP="00110685">
      <w:r>
        <w:t xml:space="preserve">Extracted entities and relations become easier to inspect, link and reuse when they are </w:t>
      </w:r>
      <w:proofErr w:type="spellStart"/>
      <w:r>
        <w:t>organised</w:t>
      </w:r>
      <w:proofErr w:type="spellEnd"/>
      <w:r>
        <w:t xml:space="preserve"> into a stable representation. A knowledge graph offers typed nodes and edges, while a case representation groups the problem, historical action, outcome and provenance belonging to one record. These structures serve different purposes: the graph supports aggregation and exploration across records; the case preserves a retrievable unit of experience.</w:t>
      </w:r>
    </w:p>
    <w:p w14:paraId="3A4FF609" w14:textId="77777777" w:rsidR="00110685" w:rsidRDefault="00110685" w:rsidP="00110685">
      <w:r>
        <w:t>Provenance models provide a useful distinction between a record and an inference derived from that record [38]. In this study, the graph's typed nodes and edges remain silver predictions linked to source identifiers; a graph traversal does not independently verify the engineering validity of a proposed action.</w:t>
      </w:r>
    </w:p>
    <w:p w14:paraId="289E971B" w14:textId="77777777" w:rsidR="00110685" w:rsidRDefault="00110685" w:rsidP="00110685">
      <w:r>
        <w:t xml:space="preserve">Case-based reasoning frames problem solving as retrieving and adapting earlier cases [7]. Its appeal in maintenance is practical: a reviewer can inspect what happened in a comparable historical record instead of accepting a generated answer without provenance. The classical cycle also includes reuse, revision and retention. The prototype in this thesis implements retrieval and evidence presentation, but it does not validate technical adaptation or automatically retain a new approved case. Calling it a complete autonomous case-based reasoner would therefore overstate the implemented scope. In a different aircraft-maintenance context, Lin et al. [39] </w:t>
      </w:r>
      <w:proofErr w:type="gramStart"/>
      <w:r>
        <w:t>combine</w:t>
      </w:r>
      <w:proofErr w:type="gramEnd"/>
      <w:r>
        <w:t xml:space="preserve"> case-based reasoning and latent semantic indexing for civil-aircraft structural repair; their work is a domain precedent, not an evaluation baseline for these short work-order narratives.</w:t>
      </w:r>
    </w:p>
    <w:p w14:paraId="6717A67F" w14:textId="77777777" w:rsidR="00110685" w:rsidRDefault="00110685" w:rsidP="00110685">
      <w:r>
        <w:t xml:space="preserve">Graph construction from model predictions introduces a further evidence layer. </w:t>
      </w:r>
      <w:proofErr w:type="spellStart"/>
      <w:r>
        <w:t>Canonicalisation</w:t>
      </w:r>
      <w:proofErr w:type="spellEnd"/>
      <w:r>
        <w:t xml:space="preserve"> can merge lexical variants, and support counts can reveal repeated relations. Nevertheless, a repeated silver edge is still derived from model output. Frequency may raise confidence that a pattern is common in the corpus, but it does not prove that the underlying maintenance action was correct, applicable or </w:t>
      </w:r>
      <w:proofErr w:type="spellStart"/>
      <w:r>
        <w:t>authorised</w:t>
      </w:r>
      <w:proofErr w:type="spellEnd"/>
      <w:r>
        <w:t>. Provenance back to source records is therefore more important than presenting the graph as a verified engineering knowledge base.</w:t>
      </w:r>
    </w:p>
    <w:p w14:paraId="115B3F1D" w14:textId="77777777" w:rsidR="00110685" w:rsidRDefault="00110685" w:rsidP="00110685">
      <w:proofErr w:type="gramStart"/>
      <w:r>
        <w:t>The literature</w:t>
      </w:r>
      <w:proofErr w:type="gramEnd"/>
      <w:r>
        <w:t xml:space="preserve"> does not provide </w:t>
      </w:r>
      <w:proofErr w:type="gramStart"/>
      <w:r>
        <w:t>a universal</w:t>
      </w:r>
      <w:proofErr w:type="gramEnd"/>
      <w:r>
        <w:t xml:space="preserve"> maintenance ontology that can simply be imported into every fleet and documentation environment. Schemas reflect the task, source language and intended decisions. A defensible local schema should consequently define entity boundaries, </w:t>
      </w:r>
      <w:proofErr w:type="gramStart"/>
      <w:r>
        <w:t>permitted</w:t>
      </w:r>
      <w:proofErr w:type="gramEnd"/>
      <w:r>
        <w:t xml:space="preserve"> relation </w:t>
      </w:r>
      <w:r>
        <w:lastRenderedPageBreak/>
        <w:t>pairs and direction, while reporting how rare classes are supported. External benchmarks can test portability, but they cannot replace an internal schema audit aligned with the actual work-order narratives.</w:t>
      </w:r>
    </w:p>
    <w:p w14:paraId="7491015E" w14:textId="77777777" w:rsidR="00110685" w:rsidRDefault="00110685" w:rsidP="00810279">
      <w:pPr>
        <w:pStyle w:val="Heading2"/>
        <w:numPr>
          <w:ilvl w:val="0"/>
          <w:numId w:val="0"/>
        </w:numPr>
      </w:pPr>
      <w:proofErr w:type="gramStart"/>
      <w:r>
        <w:t>2.6 Historical-case</w:t>
      </w:r>
      <w:proofErr w:type="gramEnd"/>
      <w:r>
        <w:t xml:space="preserve"> retrieval and evaluation</w:t>
      </w:r>
    </w:p>
    <w:p w14:paraId="79EE5813" w14:textId="77777777" w:rsidR="00110685" w:rsidRDefault="00110685" w:rsidP="00110685">
      <w:r>
        <w:t>Historical-case retrieval can be approached lexically, semantically or through a combination of rankers. BM25 remains a strong lexical baseline because it balances term frequency, document length and inverse document frequency [9]. In short technical records, exact component codes and distinctive fault phrases can be highly informative. Lexical ranking is also inspectable: a reviewer can often understand why a shared term produced a match.</w:t>
      </w:r>
    </w:p>
    <w:p w14:paraId="47B5C484" w14:textId="77777777" w:rsidR="00110685" w:rsidRDefault="00110685" w:rsidP="00110685">
      <w:r>
        <w:t>Dense retrieval represents queries and cases as vectors. Sentence-BERT makes semantic similarity practical by producing fixed-dimensional sentence embeddings that can be compared efficiently [40]. This can connect paraphrases that share few exact words, but embedding similarity may also smooth over differences that are operationally important. A semantically related record is not necessarily a relevant precedent if the asset state, location or action context differs.</w:t>
      </w:r>
    </w:p>
    <w:p w14:paraId="2340E049" w14:textId="77777777" w:rsidR="00110685" w:rsidRDefault="00110685" w:rsidP="00110685">
      <w:r>
        <w:t xml:space="preserve">Structured retrieval does not treat every word of a case as an interchangeable bag of terms. A field-aware ranker can </w:t>
      </w:r>
      <w:proofErr w:type="gramStart"/>
      <w:r>
        <w:t>weight</w:t>
      </w:r>
      <w:proofErr w:type="gramEnd"/>
      <w:r>
        <w:t xml:space="preserve"> a problem description differently from an item, location, or fault field; Robertson et al. [41] describe a BM25 extension for multiple weighted fields. A knowledge-based alternative compares typed entities and links, making a shared issue–item configuration visible even when the wording differs. In </w:t>
      </w:r>
      <w:proofErr w:type="spellStart"/>
      <w:r>
        <w:t>AviMaint</w:t>
      </w:r>
      <w:proofErr w:type="spellEnd"/>
      <w:r>
        <w:t>-DSS, structure-aware matching is an exploratory channel built from model-predicted historical fields. Missing or incorrect silver relations can therefore suppress an otherwise relevant match. These features support inspection and experiments, but the locked RQ4 result comes from canonical BM25 without a structural contribution to its score.</w:t>
      </w:r>
    </w:p>
    <w:p w14:paraId="0AE90C51" w14:textId="77777777" w:rsidR="00110685" w:rsidRDefault="00110685" w:rsidP="00110685">
      <w:r>
        <w:t>Hybrid systems attempt to combine complementary evidence. Reciprocal rank fusion merges ranked lists without requiring their raw scores to be on a common scale [42]. Such fusion can improve robustness when lexical and semantic rankers fail on different queries, but each additional component adds tuning choices and makes the final ranking harder to explain. A hybrid method should therefore be accepted only when it improves a fixed evaluation target on development data and retains clean provenance at presentation time.</w:t>
      </w:r>
    </w:p>
    <w:p w14:paraId="298A30F5" w14:textId="77777777" w:rsidR="00110685" w:rsidRDefault="00110685" w:rsidP="00110685">
      <w:r>
        <w:t xml:space="preserve">Evaluation </w:t>
      </w:r>
      <w:proofErr w:type="gramStart"/>
      <w:r>
        <w:t>has to</w:t>
      </w:r>
      <w:proofErr w:type="gramEnd"/>
      <w:r>
        <w:t xml:space="preserve"> match the retrieval claim. </w:t>
      </w:r>
      <w:proofErr w:type="spellStart"/>
      <w:r>
        <w:t>Hit@k</w:t>
      </w:r>
      <w:proofErr w:type="spellEnd"/>
      <w:r>
        <w:t xml:space="preserve"> asks whether a relevant historical family appears within the first k positions, mean reciprocal rank rewards a relevant item appearing early, and </w:t>
      </w:r>
      <w:proofErr w:type="spellStart"/>
      <w:r>
        <w:t>nDCG</w:t>
      </w:r>
      <w:proofErr w:type="spellEnd"/>
      <w:r>
        <w:t xml:space="preserve"> accounts for graded relevance and position [43]. These metrics do not establish that the retrieved maintenance action is correct. They measure agreement with the relevance definition and population used by the experiment.</w:t>
      </w:r>
    </w:p>
    <w:p w14:paraId="3584DCF4" w14:textId="77777777" w:rsidR="00110685" w:rsidRDefault="00110685" w:rsidP="00110685">
      <w:r>
        <w:lastRenderedPageBreak/>
        <w:t xml:space="preserve">The relevance definition is especially consequential in a silver case library. If action-family labels are obtained from historical records or assisted labelling, </w:t>
      </w:r>
      <w:proofErr w:type="spellStart"/>
      <w:r>
        <w:t>Hit@k</w:t>
      </w:r>
      <w:proofErr w:type="spellEnd"/>
      <w:r>
        <w:t xml:space="preserve"> measures recovery of 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451D4E16" w14:textId="77777777" w:rsidR="00110685" w:rsidRDefault="00110685" w:rsidP="00110685">
      <w:r>
        <w:t>Robustness analysis tests whether a fixed protocol remains stable under plausible input degradation. Truncation reflects incomplete narratives, while controlled spelling noise reflects typographical variation. Such tests are informative only if the clean result exactly reproduces the frozen evaluation and no ranking parameter is changed after observing the perturbations. A post-hoc robustness study must also be labelled supplementary rather than retroactively presented as preregistered confirmatory evidence.</w:t>
      </w:r>
    </w:p>
    <w:p w14:paraId="10498CD8" w14:textId="77777777" w:rsidR="00110685" w:rsidRDefault="00110685" w:rsidP="00110685">
      <w:r>
        <w:t xml:space="preserve">Sundaram and Zeid [13] show the practical value of text similarity and topic modelling for maintenance work orders. Their work supports the general feasibility of retrieving related technical records, but the gap between similarity and decision support remains. An operational interface needs to show the original evidence, its source, alternatives and uncertainty; </w:t>
      </w:r>
      <w:proofErr w:type="gramStart"/>
      <w:r>
        <w:t>otherwise</w:t>
      </w:r>
      <w:proofErr w:type="gramEnd"/>
      <w:r>
        <w:t xml:space="preserve"> a ranking metric can be mistaken for an instruction-generation capability.</w:t>
      </w:r>
    </w:p>
    <w:p w14:paraId="70ACEEB1" w14:textId="77777777" w:rsidR="00110685" w:rsidRDefault="00110685" w:rsidP="00810279">
      <w:pPr>
        <w:pStyle w:val="Heading2"/>
        <w:numPr>
          <w:ilvl w:val="0"/>
          <w:numId w:val="0"/>
        </w:numPr>
      </w:pPr>
      <w:r>
        <w:t>2.7 Selective and human-</w:t>
      </w:r>
      <w:proofErr w:type="spellStart"/>
      <w:r>
        <w:t>centred</w:t>
      </w:r>
      <w:proofErr w:type="spellEnd"/>
      <w:r>
        <w:t xml:space="preserve"> decision support</w:t>
      </w:r>
    </w:p>
    <w:p w14:paraId="354DED4B" w14:textId="77777777" w:rsidR="00110685" w:rsidRDefault="00110685" w:rsidP="00110685">
      <w:r>
        <w:t>Decision support should distinguish between making a prediction and deciding when to present it. Selective prediction introduces a reject option so that the system can withhold an output when its confidence or evidence is insufficient [22]. The relevant trade-off is coverage against conditional risk: increasing the threshold may reduce the number of displayed cases and improve the average reliability of those retained, but only when the score is meaningfully ordered.</w:t>
      </w:r>
    </w:p>
    <w:p w14:paraId="09952CCB" w14:textId="77777777" w:rsidR="00110685" w:rsidRDefault="00110685" w:rsidP="00110685">
      <w:r>
        <w:t>Selective classification formalizes the choice to withhold an answer when risk is too high for the available coverage [44]. Conformal prediction offers a different route to statistical coverage under its assumptions [45], but no conformal guarantee is claimed for this system. Research on human interaction with automation warns that apparent fluency can invite misuse or over-reliance [46]. The EASA machine-learning concept paper and NIST AI Risk Management Framework provide governance context [47, 48]; neither is treated as proof that this prototype is certified.</w:t>
      </w:r>
    </w:p>
    <w:p w14:paraId="3AE4135B" w14:textId="77777777" w:rsidR="00110685" w:rsidRDefault="00110685" w:rsidP="00110685">
      <w:r>
        <w:t xml:space="preserve">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w:t>
      </w:r>
      <w:r>
        <w:lastRenderedPageBreak/>
        <w:t xml:space="preserve">the Brier score evaluates squared probabilistic error [50]. In this thesis these measures concern historical retrieval agreement; they must not be interpreted as </w:t>
      </w:r>
      <w:proofErr w:type="gramStart"/>
      <w:r>
        <w:t>probabilities</w:t>
      </w:r>
      <w:proofErr w:type="gramEnd"/>
      <w:r>
        <w:t xml:space="preserve"> that a maintenance action is safe or approved.</w:t>
      </w:r>
    </w:p>
    <w:p w14:paraId="5AC758F5" w14:textId="77777777" w:rsidR="00110685" w:rsidRDefault="00110685" w:rsidP="00110685">
      <w:r>
        <w:t>Human-</w:t>
      </w:r>
      <w:proofErr w:type="spellStart"/>
      <w:r>
        <w:t>centred</w:t>
      </w:r>
      <w:proofErr w:type="spellEnd"/>
      <w:r>
        <w:t xml:space="preserve"> presentation therefore requires more than a confidence badge. A reviewer should be able to inspect the original problem narrative, the retrieved historical action, outcome, source identity and competing alternatives. Low-support cases should be visibly separated from stronger evidence. These design choices make the system auditable and discourage automation bias, although interface transparency cannot compensate for an invalid model or an unrepresentative corpus.</w:t>
      </w:r>
    </w:p>
    <w:p w14:paraId="2CAC931C" w14:textId="77777777" w:rsidR="00110685" w:rsidRDefault="00110685" w:rsidP="00110685">
      <w:r>
        <w:t xml:space="preserve">The aviation setting imposes a firm boundary on the claims. Maintenance must be performed with current approved data and under the applicable continuing-airworthiness and performance rules [1, 2]. A research prototype that retrieves historical work orders is therefore an evidence browser for qualified review, not a source of approval or a substitute for manuals, engineering instructions or </w:t>
      </w:r>
      <w:proofErr w:type="spellStart"/>
      <w:r>
        <w:t>authorised</w:t>
      </w:r>
      <w:proofErr w:type="spellEnd"/>
      <w:r>
        <w:t xml:space="preserve"> judgement.</w:t>
      </w:r>
    </w:p>
    <w:p w14:paraId="7394666C" w14:textId="77777777" w:rsidR="00110685" w:rsidRDefault="00110685" w:rsidP="00810279">
      <w:pPr>
        <w:pStyle w:val="Heading2"/>
        <w:numPr>
          <w:ilvl w:val="0"/>
          <w:numId w:val="0"/>
        </w:numPr>
      </w:pPr>
      <w:r>
        <w:t>2.8 Critical synthesis of prior work</w:t>
      </w:r>
    </w:p>
    <w:p w14:paraId="1F2A217E" w14:textId="77777777" w:rsidR="00110685" w:rsidRDefault="00110685" w:rsidP="00110685">
      <w:r>
        <w:t xml:space="preserve">Across the reviewed literature, each technical stage is well motivated in isolation. Maintenance-language research establishes the value and irregularity of the source material; </w:t>
      </w:r>
      <w:proofErr w:type="gramStart"/>
      <w:r>
        <w:t>normalization work</w:t>
      </w:r>
      <w:proofErr w:type="gramEnd"/>
      <w:r>
        <w:t xml:space="preserve">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2E5393C0" w14:textId="77777777" w:rsidR="00110685" w:rsidRDefault="00110685" w:rsidP="00110685">
      <w:r>
        <w:t xml:space="preserve">Three recurring weaknesses are particularly relevant. First, data populations are often difficult to compare across studies, and duplicate or near-duplicate records can inflate apparent </w:t>
      </w:r>
      <w:proofErr w:type="spellStart"/>
      <w:r>
        <w:t>generalisation</w:t>
      </w:r>
      <w:proofErr w:type="spellEnd"/>
      <w:r>
        <w:t>. Second, upstream intrinsic improvements are sometimes assumed to benefit downstream tasks without a matched experiment. Third, an accurate retrieval label can be presented too readily as decision quality even when relevance is silver, proxy-based or established by a single reviewer. These weaknesses shape the experimental controls used in Chapters 3–8.</w:t>
      </w:r>
    </w:p>
    <w:p w14:paraId="5757F056" w14:textId="77777777" w:rsidR="00110685" w:rsidRDefault="00110685" w:rsidP="00110685">
      <w:r>
        <w:t xml:space="preserve">The literature also reveals a tension between </w:t>
      </w:r>
      <w:proofErr w:type="spellStart"/>
      <w:r>
        <w:t>generalisation</w:t>
      </w:r>
      <w:proofErr w:type="spellEnd"/>
      <w:r>
        <w:t xml:space="preserve">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63ABE6EF" w14:textId="77777777" w:rsidR="00110685" w:rsidRDefault="00110685" w:rsidP="00110685">
      <w:r>
        <w:lastRenderedPageBreak/>
        <w:t>A further gap concerns interpretive continuity. Published work often reports a model metric without following how that output is transformed, aggregated and shown to a user. In the present study, record IDs, split assignments and provenance are retained across the pipeline. This permits a reviewer to trace a displayed case back to the historical narrative and permits the thesis to state exactly which layer—gold, locked test, silver extraction, calibration or manual review—supports each claim.</w:t>
      </w:r>
    </w:p>
    <w:p w14:paraId="54C75AE8" w14:textId="77777777" w:rsidR="00110685" w:rsidRDefault="00110685" w:rsidP="00810279">
      <w:pPr>
        <w:pStyle w:val="Heading2"/>
        <w:numPr>
          <w:ilvl w:val="0"/>
          <w:numId w:val="0"/>
        </w:numPr>
      </w:pPr>
      <w:r>
        <w:t>2.9 Research gap and connection to RQ1–RQ5</w:t>
      </w:r>
    </w:p>
    <w:p w14:paraId="7EF74853" w14:textId="77777777" w:rsidR="00110685" w:rsidRDefault="00110685" w:rsidP="00110685">
      <w:r>
        <w:t>The research gap is therefore an evidence-controlled, end-to-end study of noisy aviation maintenance narratives. The project does not seek an autonomous maintenance recommender. It asks how normalization affects both reference agreement and extraction, how alternative extractors recover the local schema, how those predictions can form a traceable silver case library, and how a fixed retrieval protocol can present useful historical evidence with explicit uncertainty and abstention.</w:t>
      </w:r>
    </w:p>
    <w:p w14:paraId="6F9E9462" w14:textId="77777777" w:rsidR="00110685" w:rsidRDefault="00110685" w:rsidP="00110685">
      <w:r>
        <w:t>RQ1 asks which of six representations best matches the expert-cleaned normalization reference while preserving protected aviation terms. System selection uses 926 validation records, and the chosen representation is evaluated once on the locked 741-record test. Downstream extraction is deliberately asked as a separate question so intrinsic string agreement cannot be taken as its answer. Table 2.1 maps each gap to its corresponding research question and evidence population.</w:t>
      </w:r>
    </w:p>
    <w:p w14:paraId="31AF53BC" w14:textId="77777777" w:rsidR="00110685" w:rsidRDefault="00110685" w:rsidP="00110685">
      <w:r>
        <w:t xml:space="preserve">RQ2 asks how text representation affects downstream extraction when the same </w:t>
      </w:r>
      <w:proofErr w:type="spellStart"/>
      <w:r>
        <w:t>SpERT</w:t>
      </w:r>
      <w:proofErr w:type="spellEnd"/>
      <w:r>
        <w:t xml:space="preserve"> design is trained and evaluated on each version of the same 1,275/100/225 record partition. Strict entity and relation micro-F1 answer the main question; macro-F1 reveals whether the effect differs for the less frequent relation types.</w:t>
      </w:r>
    </w:p>
    <w:p w14:paraId="2E2C2EF0" w14:textId="77777777" w:rsidR="00110685" w:rsidRDefault="00110685" w:rsidP="00110685">
      <w:r>
        <w:t xml:space="preserve">RQ3 compares feature-based CRF, recurrent </w:t>
      </w:r>
      <w:proofErr w:type="spellStart"/>
      <w:r>
        <w:t>BiLSTM</w:t>
      </w:r>
      <w:proofErr w:type="spellEnd"/>
      <w:r>
        <w:t xml:space="preserve">-CRF, distilled-transformer pipeline and joint </w:t>
      </w:r>
      <w:proofErr w:type="spellStart"/>
      <w:r>
        <w:t>SpERT</w:t>
      </w:r>
      <w:proofErr w:type="spellEnd"/>
      <w:r>
        <w:t xml:space="preserve"> extraction under a common local schema and frozen split, with a separately trained </w:t>
      </w:r>
      <w:proofErr w:type="spellStart"/>
      <w:r>
        <w:t>MaintIE</w:t>
      </w:r>
      <w:proofErr w:type="spellEnd"/>
      <w:r>
        <w:t xml:space="preserve"> benchmark for architectural context. The downstream silver graph and historical case library are research outputs of the selected extractor, not an unmeasured sixth research question; their provenance and prediction status are documented in Chapter 7.</w:t>
      </w:r>
    </w:p>
    <w:p w14:paraId="70116648" w14:textId="77777777" w:rsidR="00110685" w:rsidRDefault="00110685" w:rsidP="00110685">
      <w:r>
        <w:t>RQ4 evaluates whether problem-only queries recover a matching historical action family near the top of a frozen ranking. The action is hidden from the query, all ranking parameters are fixed before final evaluation, and results are reported for the 828 evaluable queries. Macro action-family recall and supplementary perturbation tests are included to expose imbalance and robustness limits.</w:t>
      </w:r>
    </w:p>
    <w:p w14:paraId="668DC1BA" w14:textId="77777777" w:rsidR="00110685" w:rsidRDefault="00110685" w:rsidP="00110685">
      <w:r>
        <w:t xml:space="preserve">RQ5 concerns evidence presentation rather than maintenance approval. It evaluates calibrated display rules, abstention </w:t>
      </w:r>
      <w:proofErr w:type="spellStart"/>
      <w:r>
        <w:t>behaviour</w:t>
      </w:r>
      <w:proofErr w:type="spellEnd"/>
      <w:r>
        <w:t xml:space="preserve"> and a one-reviewer manual assessment of whether returned cases provide </w:t>
      </w:r>
      <w:r>
        <w:lastRenderedPageBreak/>
        <w:t xml:space="preserve">usable historical-action evidence. The answer remains </w:t>
      </w:r>
      <w:proofErr w:type="gramStart"/>
      <w:r>
        <w:t>bounded</w:t>
      </w:r>
      <w:proofErr w:type="gramEnd"/>
      <w:r>
        <w:t xml:space="preserve"> by the reviewer, corpus and rubric, and it does not establish technical correctness or safety.</w:t>
      </w:r>
    </w:p>
    <w:p w14:paraId="1CC59339" w14:textId="77777777" w:rsidR="00110685" w:rsidRDefault="00110685" w:rsidP="00810279">
      <w:pPr>
        <w:pStyle w:val="Heading2"/>
        <w:numPr>
          <w:ilvl w:val="0"/>
          <w:numId w:val="0"/>
        </w:numPr>
      </w:pPr>
      <w:r>
        <w:t>2.10 Chapter summary</w:t>
      </w:r>
    </w:p>
    <w:p w14:paraId="62ADC34D" w14:textId="77777777" w:rsidR="00810279" w:rsidRDefault="00110685" w:rsidP="00110685">
      <w:proofErr w:type="gramStart"/>
      <w:r>
        <w:t>The literature</w:t>
      </w:r>
      <w:proofErr w:type="gramEnd"/>
      <w:r>
        <w:t xml:space="preserve"> supports every major component of the pipeline, but it also shows why the components cannot be evaluated with one undifferentiated accuracy claim. Maintenance text requires domain-aware preservation; normalization needs both intrinsic and downstream assessment; extraction requires class-level evidence; silver structures require provenance; retrieval needs a fixed relevance contract; and confidence must be separated from safety. Chapter 3 now turns these conclusions into the data lineage, split rules, evidence vocabulary and leakage controls used throughout the experiments.</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