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1F07" w14:textId="77777777" w:rsidR="00110685" w:rsidRDefault="00110685" w:rsidP="00810279">
      <w:pPr>
        <w:pStyle w:val="Heading1"/>
        <w:numPr>
          <w:ilvl w:val="0"/>
          <w:numId w:val="0"/>
        </w:numPr>
      </w:pPr>
      <w:r>
        <w:t>3 Data and Research Design</w:t>
      </w:r>
    </w:p>
    <w:p w14:paraId="1B804568" w14:textId="77777777" w:rsidR="00110685" w:rsidRDefault="00110685" w:rsidP="00810279">
      <w:pPr>
        <w:pStyle w:val="Heading2"/>
        <w:numPr>
          <w:ilvl w:val="0"/>
          <w:numId w:val="0"/>
        </w:numPr>
      </w:pPr>
      <w:r>
        <w:t>3.1 Data sources and evidence layers</w:t>
      </w:r>
    </w:p>
    <w:p w14:paraId="22F375FC" w14:textId="77777777" w:rsidR="00110685" w:rsidRDefault="00110685" w:rsidP="00110685">
      <w:r>
        <w:t xml:space="preserve">The project contains evidence layers with different authority. The 6,169 source records are observed historical text; the 5,124-record paired normalization subset supports the cluster-safe 3,457/926/741 split; the 1,600-record IE corpus is manually corrected gold data; full-corpus </w:t>
      </w:r>
      <w:proofErr w:type="spellStart"/>
      <w:r>
        <w:t>SpERT</w:t>
      </w:r>
      <w:proofErr w:type="spellEnd"/>
      <w:r>
        <w:t xml:space="preserve"> output and the graph are silver; and the 828-query retrieval test plus 100-query manual review form a separate historical-evidence layer. Figure 3.1 visualizes the permitted derivations and claims, while Table 3.1 records the corresponding datasets, roles, and statuses.</w:t>
      </w:r>
    </w:p>
    <w:p w14:paraId="642379FC" w14:textId="77777777" w:rsidR="00110685" w:rsidRDefault="00110685" w:rsidP="00110685">
      <w:r>
        <w:t>Arrows indicate derivation, not increasing certainty. Each downstream layer retains the limitations of its source and adds its own modelling assumptions.</w:t>
      </w:r>
    </w:p>
    <w:p w14:paraId="6E956E22" w14:textId="77777777" w:rsidR="00110685" w:rsidRDefault="00110685" w:rsidP="00810279">
      <w:pPr>
        <w:pStyle w:val="Heading2"/>
        <w:numPr>
          <w:ilvl w:val="0"/>
          <w:numId w:val="0"/>
        </w:numPr>
      </w:pPr>
      <w:proofErr w:type="spellStart"/>
      <w:r>
        <w:t>3.2 MaintNet</w:t>
      </w:r>
      <w:proofErr w:type="spellEnd"/>
      <w:r>
        <w:t xml:space="preserve"> corpus profile</w:t>
      </w:r>
    </w:p>
    <w:p w14:paraId="75AF0A0E" w14:textId="77777777" w:rsidR="00110685" w:rsidRDefault="00110685" w:rsidP="00110685">
      <w:r>
        <w:t xml:space="preserve">The supplied aviation corpus contains 6,169 rows and 3,595 distinct problem strings together with 2,881 distinct action strings in the normalization analysis. Repetition is operationally meaningful—recurring problems and actions reveal common patterns—but it is statistically hazardous. Exact and near-duplicate records can leak between training and evaluation, inflate frequency-based support, and make retrieval appear stronger than it is. The project therefore </w:t>
      </w:r>
      <w:proofErr w:type="gramStart"/>
      <w:r>
        <w:t>retains</w:t>
      </w:r>
      <w:proofErr w:type="gramEnd"/>
      <w:r>
        <w:t xml:space="preserve"> record counts for descriptive analysis while using evidence clusters for recommender splitting and support aggregation.</w:t>
      </w:r>
    </w:p>
    <w:p w14:paraId="5721B717" w14:textId="77777777" w:rsidR="00110685" w:rsidRDefault="00110685" w:rsidP="00110685">
      <w:r>
        <w:t>The source text is constrained. The problem field is limited to 60 characters and the action field to 55 characters; 405 problem strings and 945 action strings reach those exact widths. Some endings are therefore ambiguous: a final token may be complete, abbreviated, or physically truncated. The corpus also contains punctuation artifacts, apostrophe tokenization, directional shorthand, numbers expressed as words, and multiple records with highly similar component and issue descriptions. These features motivate both byte-level normalization and character-level retrieval.</w:t>
      </w:r>
    </w:p>
    <w:p w14:paraId="4379DEDF" w14:textId="77777777" w:rsidR="00110685" w:rsidRDefault="00110685" w:rsidP="00110685">
      <w:r>
        <w:t>The 6,169-record structured export used by the downstream system contains source identifiers, combined text, extracted item strings, issue strings, and action strings. This export is not treated as an independent ground truth because several columns derive from model output. It is used to build the silver case layer and to support dashboard indexing. The original text and identifiers remain the provenance anchor.</w:t>
      </w:r>
    </w:p>
    <w:p w14:paraId="3567F1F8" w14:textId="77777777" w:rsidR="00110685" w:rsidRDefault="00110685" w:rsidP="00810279">
      <w:pPr>
        <w:pStyle w:val="Heading2"/>
        <w:numPr>
          <w:ilvl w:val="0"/>
          <w:numId w:val="0"/>
        </w:numPr>
      </w:pPr>
      <w:r>
        <w:t>3.3 End-to-end research design</w:t>
      </w:r>
    </w:p>
    <w:p w14:paraId="6FBA9294" w14:textId="77777777" w:rsidR="00110685" w:rsidRDefault="00110685" w:rsidP="00110685">
      <w:r>
        <w:t xml:space="preserve">The research follows a staged design. Normalization selection is completed on validation data and evaluated once on the locked 741-record test. Representation effects are tested through a matched </w:t>
      </w:r>
      <w:proofErr w:type="spellStart"/>
      <w:r>
        <w:t>SpERT</w:t>
      </w:r>
      <w:proofErr w:type="spellEnd"/>
      <w:r>
        <w:t xml:space="preserve"> ablation. Four IE architectures are compared on the same frozen 225-record test and separately on </w:t>
      </w:r>
      <w:proofErr w:type="spellStart"/>
      <w:r>
        <w:t>MaintIE</w:t>
      </w:r>
      <w:proofErr w:type="spellEnd"/>
      <w:r>
        <w:t xml:space="preserve">. Operational </w:t>
      </w:r>
      <w:proofErr w:type="spellStart"/>
      <w:r>
        <w:t>SpERT</w:t>
      </w:r>
      <w:proofErr w:type="spellEnd"/>
      <w:r>
        <w:t xml:space="preserve"> predictions are then converted into a silver graph and case library. Final retrieval uses problem-only queries, cluster-safe evidence, canonical BM25, </w:t>
      </w:r>
      <w:proofErr w:type="spellStart"/>
      <w:r w:rsidR="00F9653C" w:rsidRPr="00F9653C">
        <w:t>τ_rank</w:t>
      </w:r>
      <w:proofErr w:type="spellEnd"/>
      <w:r>
        <w:t xml:space="preserve"> = 0.15, and cluster-expanded aggregation; the query action remains hidden.</w:t>
      </w:r>
    </w:p>
    <w:p w14:paraId="63962FA6" w14:textId="77777777" w:rsidR="00110685" w:rsidRDefault="00110685" w:rsidP="00110685">
      <w:r>
        <w:t>The stages remain distinct in interpretation. Reference agreement does not prove semantic correctness; the matched ablation measures downstream IE rather than assuming it; gold-test IE F1 does not validate every silver graph record; and retrieval metrics concern recorded action-family or reviewer-rated usable evidence rather than technical applicability, repair correctness, or authorization.</w:t>
      </w:r>
    </w:p>
    <w:p w14:paraId="13AEE520" w14:textId="77777777" w:rsidR="00110685" w:rsidRDefault="00110685" w:rsidP="00810279">
      <w:pPr>
        <w:pStyle w:val="Heading3"/>
        <w:numPr>
          <w:ilvl w:val="0"/>
          <w:numId w:val="0"/>
        </w:numPr>
      </w:pPr>
      <w:r>
        <w:t xml:space="preserve">3.3.1 Separation of </w:t>
      </w:r>
      <w:proofErr w:type="spellStart"/>
      <w:r>
        <w:t>estimands</w:t>
      </w:r>
      <w:proofErr w:type="spellEnd"/>
      <w:r>
        <w:t xml:space="preserve"> across the pipeline</w:t>
      </w:r>
    </w:p>
    <w:p w14:paraId="3798ACBB" w14:textId="77777777" w:rsidR="00110685" w:rsidRDefault="00110685" w:rsidP="00110685">
      <w:r>
        <w:t>Each experiment estimates a different quantity. The normalization study estimates agreement between a transformed string and an expert-cleaned reference. The IE study estimates recovery of annotated spans and relations. The graph stage reports the amount of silver structure produced by the operational extractor. The retrieval study estimates whether a historical action family associated with a held-out problem is recovered near the top of a ranked list. These quantities are related by the software pipeline, but they are not interchangeable measures of system quality.</w:t>
      </w:r>
    </w:p>
    <w:p w14:paraId="77274CEF" w14:textId="77777777" w:rsidR="00110685" w:rsidRDefault="00110685" w:rsidP="00110685">
      <w:r>
        <w:t xml:space="preserve">This separation prevents an attractive upstream score from being used as evidence for a downstream claim. A reduction in WER does not prove improved relation extraction; high relation F1 does not prove that every full-corpus edge is correct; high Hit@5 does not establish technical applicability. The thesis therefore reports the population, target, and evidence status </w:t>
      </w:r>
      <w:proofErr w:type="gramStart"/>
      <w:r>
        <w:t>beside</w:t>
      </w:r>
      <w:proofErr w:type="gramEnd"/>
      <w:r>
        <w:t xml:space="preserve"> every principal result.</w:t>
      </w:r>
    </w:p>
    <w:p w14:paraId="39BF6635" w14:textId="77777777" w:rsidR="00110685" w:rsidRDefault="00110685" w:rsidP="00110685">
      <w:r>
        <w:t xml:space="preserve">System choices and negative results are retained rather than rewritten after test inspection. Selective ByT5 remains the official RQ1 system because it was selected on validation before the 741-record test. The Selective retrieval protocol and prior-tempering exponent </w:t>
      </w:r>
      <w:proofErr w:type="spellStart"/>
      <w:r>
        <w:t>τ_rank</w:t>
      </w:r>
      <w:proofErr w:type="spellEnd"/>
      <w:r>
        <w:t xml:space="preserve"> = 0.15 were likewise frozen before the 828-query evaluation; later robustness analysis uses the same fixed protocol and is labelled supplementary.</w:t>
      </w:r>
    </w:p>
    <w:p w14:paraId="7EC0E2FB" w14:textId="77777777" w:rsidR="00110685" w:rsidRDefault="00110685" w:rsidP="00810279">
      <w:pPr>
        <w:pStyle w:val="Heading2"/>
        <w:numPr>
          <w:ilvl w:val="0"/>
          <w:numId w:val="0"/>
        </w:numPr>
      </w:pPr>
      <w:r>
        <w:t>3.4 Leakage controls and data partitions</w:t>
      </w:r>
    </w:p>
    <w:p w14:paraId="48D0AE52" w14:textId="77777777" w:rsidR="00110685" w:rsidRDefault="00110685" w:rsidP="00110685">
      <w:r>
        <w:t xml:space="preserve">The reference-based normalization experiment uses 5,124 paired records grouped into 1,840 clusters and split </w:t>
      </w:r>
      <w:proofErr w:type="gramStart"/>
      <w:r>
        <w:t>with seed 42</w:t>
      </w:r>
      <w:proofErr w:type="gramEnd"/>
      <w:r>
        <w:t xml:space="preserve"> into 3,457 training, 926 validation, and 741 locked-test records. Cluster similarity </w:t>
      </w:r>
      <w:r>
        <w:lastRenderedPageBreak/>
        <w:t xml:space="preserve">threshold 0.90 prevents near-duplicate leakage. Selective ByT5 was chosen using validation only; the six systems were then evaluated without training or </w:t>
      </w:r>
      <w:proofErr w:type="gramStart"/>
      <w:r>
        <w:t>retuning</w:t>
      </w:r>
      <w:proofErr w:type="gramEnd"/>
      <w:r>
        <w:t xml:space="preserve"> after the test was opened.</w:t>
      </w:r>
    </w:p>
    <w:p w14:paraId="08BC5270" w14:textId="77777777" w:rsidR="00110685" w:rsidRDefault="00110685" w:rsidP="00110685">
      <w:r>
        <w:t>Active learning can prioritize informative cases for annotation, but sampling decisions must remain separate from frozen evaluation [51]. Agreement between annotators is a separate quality question: the annotation literature distinguishes the reliability of a labeling process from a model's F1 against its resulting reference [35, 36, 52]. The current gold corpus lacks an independently double-annotated subset, so no inter-annotator agreement estimate is reported.</w:t>
      </w:r>
    </w:p>
    <w:p w14:paraId="3BB35393" w14:textId="77777777" w:rsidR="00110685" w:rsidRDefault="00110685" w:rsidP="00810279">
      <w:pPr>
        <w:pStyle w:val="Heading3"/>
        <w:numPr>
          <w:ilvl w:val="0"/>
          <w:numId w:val="0"/>
        </w:numPr>
      </w:pPr>
      <w:r>
        <w:t>3.4.1 Why record-level random splitting is insufficient</w:t>
      </w:r>
    </w:p>
    <w:p w14:paraId="699A13C7" w14:textId="77777777" w:rsidR="00110685" w:rsidRDefault="00110685" w:rsidP="00110685">
      <w:r>
        <w:t>Maintenance corpora contain repeated and near-duplicate records. If two lexical variants of the same underlying case appear in training and test, a model can obtain credit by memorizing the shared wording rather than generalizing to a new case. Cluster-safe splitting assigns all members of an equivalence or near-duplicate cluster to one partition. This makes the unit of independence closer to the operational case rather than the database row. Lee et al. [53] document how duplicated text can contaminate held-out evaluation in language modelling; their task differs from ours, but the shared leakage mechanism motivates assigning near-duplicate maintenance records to the same split.</w:t>
      </w:r>
    </w:p>
    <w:p w14:paraId="56F5B047" w14:textId="77777777" w:rsidR="00110685" w:rsidRDefault="00110685" w:rsidP="00110685">
      <w:r>
        <w:t>The normalization selection used 926 validation records and kept the 741-record test sealed. The downstream representation experiment used the same 1,275/100/225 train/development/test identities for every representation. Retrieval used 4,319/925/925 records, of which 828 test queries had evaluable historical evidence. These populations answer different questions and must never be pooled or described as a single test set.</w:t>
      </w:r>
    </w:p>
    <w:p w14:paraId="2A787EB8" w14:textId="77777777" w:rsidR="00110685" w:rsidRDefault="00110685" w:rsidP="00110685">
      <w:r>
        <w:t>The IE corpus begins with a random pilot. Random rounds increase coverage to approximately 1,100 records, after which rare-class and uncertainty selection enriches training data only. The development set of 100 and test set of 225 are frozen before enrichment. The final training set contains 1,275 records. This design prevents active-learning selection from changing the evaluation distribution. It also means the test set reflects the naturally occurring class imbalance rather than a balanced research sample.</w:t>
      </w:r>
    </w:p>
    <w:p w14:paraId="6BA21409" w14:textId="77777777" w:rsidR="00110685" w:rsidRDefault="00110685" w:rsidP="00110685">
      <w:r>
        <w:t>The recommender uses a separate cluster manifest that groups exact and near-duplicate cases. Query clusters are held out from candidate pools, and candidates must come from allowed training partitions. Fingerprints record the case library and split assignment. Tests verify that recomputed near duplicates do not cross splits, that a changed case library invalidates the manifest, and that query solutions do not augment the problem graph. These controls are necessary because conventional random record splitting would allow nearly identical work orders to appear on both sides of evaluation.</w:t>
      </w:r>
    </w:p>
    <w:p w14:paraId="43E78A24" w14:textId="77777777" w:rsidR="00110685" w:rsidRDefault="00110685" w:rsidP="00810279">
      <w:pPr>
        <w:pStyle w:val="Heading2"/>
        <w:numPr>
          <w:ilvl w:val="0"/>
          <w:numId w:val="0"/>
        </w:numPr>
      </w:pPr>
      <w:r>
        <w:t>3.5 Evaluation principles</w:t>
      </w:r>
    </w:p>
    <w:p w14:paraId="24AB5E12" w14:textId="77777777" w:rsidR="00110685" w:rsidRDefault="00110685" w:rsidP="00110685">
      <w:r>
        <w:t xml:space="preserve">Metrics are selected for each object. Normalization uses WER, CER, exact match, change F1, and protected-token preservation. IE uses </w:t>
      </w:r>
      <w:proofErr w:type="gramStart"/>
      <w:r>
        <w:t>strict typed</w:t>
      </w:r>
      <w:proofErr w:type="gramEnd"/>
      <w:r>
        <w:t xml:space="preserve"> entity and relation micro/macro F1 and per-class results. Retrieval uses </w:t>
      </w:r>
      <w:proofErr w:type="spellStart"/>
      <w:r>
        <w:t>Hit@k</w:t>
      </w:r>
      <w:proofErr w:type="spellEnd"/>
      <w:r>
        <w:t>, MRR, nDCG@5, macro action-family recall, manual-review evidence rates, calibration error, and fixed-protocol degradation deltas.</w:t>
      </w:r>
    </w:p>
    <w:p w14:paraId="5D44ADF5" w14:textId="77777777" w:rsidR="00110685" w:rsidRDefault="00110685" w:rsidP="00110685">
      <w:r>
        <w:t>Support is always reported alongside per-class F1. A rare class can obtain a high score from a handful of examples, while a frequent class determines much of micro-F1. Macro-F1 gives each class equal weight but becomes unstable when support is small. Bootstrap intervals capture test-sample variation conditional on the trained model; seed experiments capture some training variation but are available only for selected IE tiers. Neither replaces external validation.</w:t>
      </w:r>
    </w:p>
    <w:p w14:paraId="2ED26C8B" w14:textId="77777777" w:rsidR="00110685" w:rsidRDefault="00110685" w:rsidP="00110685">
      <w:r>
        <w:t>For final retrieval, Hit@1, Hit@3, Hit@5, MRR, nDCG@5, and macro action-family recall are reported together. Top-k metrics describe whether recorded evidence is recovered; macro recall prevents the dominant Replace family from hiding weak rare-family performance. Calibration and manual review use separate populations and must not be interpreted as safety probabilities or action approval.</w:t>
      </w:r>
    </w:p>
    <w:p w14:paraId="599AD07C" w14:textId="77777777" w:rsidR="00110685" w:rsidRDefault="00110685" w:rsidP="00810279">
      <w:pPr>
        <w:pStyle w:val="Heading2"/>
        <w:numPr>
          <w:ilvl w:val="0"/>
          <w:numId w:val="0"/>
        </w:numPr>
      </w:pPr>
      <w:r>
        <w:t>3.6 Reproducibility and governance</w:t>
      </w:r>
    </w:p>
    <w:p w14:paraId="233D0389" w14:textId="77777777" w:rsidR="00110685" w:rsidRDefault="00110685" w:rsidP="00110685">
      <w:r>
        <w:t xml:space="preserve">The reproducibility package contains configuration files, frozen manifests, data fingerprints, predictions, metric tables, evaluation splits, robustness results, screenshots, and source code. Verification scripts confirm the locked normalization and retrieval artifacts without training or </w:t>
      </w:r>
      <w:proofErr w:type="gramStart"/>
      <w:r>
        <w:t>retuning</w:t>
      </w:r>
      <w:proofErr w:type="gramEnd"/>
      <w:r>
        <w:t>. These records distinguish validation selection, frozen-test evidence, and silver output.</w:t>
      </w:r>
    </w:p>
    <w:p w14:paraId="76BD541E" w14:textId="77777777" w:rsidR="00810279" w:rsidRDefault="00110685" w:rsidP="00110685">
      <w:r>
        <w:t xml:space="preserve">Reproducibility does not eliminate governance obligations. </w:t>
      </w:r>
      <w:proofErr w:type="spellStart"/>
      <w:r>
        <w:t>MaintNet</w:t>
      </w:r>
      <w:proofErr w:type="spellEnd"/>
      <w:r>
        <w:t xml:space="preserve"> is an open research resource, but an operational deployment would require data-protection review, organization-specific access controls, retention rules, model and dataset versioning, approved-data integration, human-factor assessment, and monitoring for distribution shift. Historical actions may reflect obsolete procedures, local practice, or incomplete recording. Provenance makes those risks inspectable; it does not remove them.</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