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5F51" w14:textId="77777777" w:rsidR="00110685" w:rsidRDefault="00110685" w:rsidP="00810279">
      <w:pPr>
        <w:pStyle w:val="Heading1"/>
        <w:numPr>
          <w:ilvl w:val="0"/>
          <w:numId w:val="0"/>
        </w:numPr>
      </w:pPr>
      <w:r>
        <w:t>5 Information Schema and Gold-Corpus Construction</w:t>
      </w:r>
    </w:p>
    <w:p w14:paraId="1E0784FD" w14:textId="77777777" w:rsidR="00110685" w:rsidRDefault="00110685" w:rsidP="00810279">
      <w:pPr>
        <w:pStyle w:val="Heading2"/>
        <w:numPr>
          <w:ilvl w:val="0"/>
          <w:numId w:val="0"/>
        </w:numPr>
      </w:pPr>
      <w:r>
        <w:t>5.1 Schema design principles</w:t>
      </w:r>
    </w:p>
    <w:p w14:paraId="21859A3B" w14:textId="77777777" w:rsidR="00110685" w:rsidRDefault="00110685" w:rsidP="00110685">
      <w:r>
        <w:t xml:space="preserve">The </w:t>
      </w:r>
      <w:proofErr w:type="gramStart"/>
      <w:r>
        <w:t>schema</w:t>
      </w:r>
      <w:proofErr w:type="gramEnd"/>
      <w:r>
        <w:t xml:space="preserve"> is designed around questions a planner or retrieval system can ask of a short record: What item is affected? What static fault or abnormal process is described? What action was taken, on which item, and for which issue? What measurement, location, operating context, outcome, or reference is explicitly recorded? The schema includes only text-visible information. It does not infer an unmentioned component, outcome, causal mechanism, or procedure.</w:t>
      </w:r>
    </w:p>
    <w:p w14:paraId="1D7A8561" w14:textId="77777777" w:rsidR="00110685" w:rsidRDefault="00110685" w:rsidP="00110685">
      <w:r>
        <w:t>Entities use minimal informative spans. Relations are typed, directed, and constrained by source and target signatures. Orphan entities are allowed when the text does not express a valid counterpart. This prevents the annotation process from manufacturing a relation merely because two entities occur in the same record. Missing outcome is encoded as unknown, not positive. ACTION_ON_ITEM states the target of an action but does not imply that the action corrected a problem. ACTION_ADDRESSES_ISSUE and ACTION_INVESTIGATES_ISSUE remain distinct. Tables A.1 and A.2 in Appendix A define the entity inventory and the directed relation inventory with its binding signatures.</w:t>
      </w:r>
    </w:p>
    <w:p w14:paraId="005B99B5" w14:textId="77777777" w:rsidR="00110685" w:rsidRDefault="00110685" w:rsidP="00810279">
      <w:pPr>
        <w:pStyle w:val="Heading2"/>
        <w:numPr>
          <w:ilvl w:val="0"/>
          <w:numId w:val="0"/>
        </w:numPr>
      </w:pPr>
      <w:r>
        <w:t>5.2 Entity inventory</w:t>
      </w:r>
    </w:p>
    <w:p w14:paraId="55246276" w14:textId="77777777" w:rsidR="00110685" w:rsidRDefault="00110685" w:rsidP="00110685">
      <w:r>
        <w:t xml:space="preserve">The FAULT–ABN_PROC distinction separates static state from dynamic </w:t>
      </w:r>
      <w:proofErr w:type="spellStart"/>
      <w:r>
        <w:t>behaviour</w:t>
      </w:r>
      <w:proofErr w:type="spellEnd"/>
      <w:r>
        <w:t xml:space="preserve">. This matters for </w:t>
      </w:r>
      <w:proofErr w:type="gramStart"/>
      <w:r>
        <w:t>retrieval: ‘</w:t>
      </w:r>
      <w:proofErr w:type="gramEnd"/>
      <w:r>
        <w:t>cracked bracket’ and ‘engine running rough’ may involve the same broad system but lead to different evidence. TECH_OBS separates a measurement from an interpretation. A compression reading can be recorded neutrally even when the surrounding text identifies a low-compression fault. OUTCOME is action-linked and requires explicit result language; its absence is not evidence of success.</w:t>
      </w:r>
    </w:p>
    <w:p w14:paraId="6FE21B10" w14:textId="77777777" w:rsidR="00110685" w:rsidRDefault="00110685" w:rsidP="00810279">
      <w:pPr>
        <w:pStyle w:val="Heading2"/>
        <w:numPr>
          <w:ilvl w:val="0"/>
          <w:numId w:val="0"/>
        </w:numPr>
      </w:pPr>
      <w:r>
        <w:t>5.3 Relation inventory</w:t>
      </w:r>
    </w:p>
    <w:p w14:paraId="50352701" w14:textId="77777777" w:rsidR="00110685" w:rsidRDefault="00110685" w:rsidP="00110685">
      <w:r>
        <w:t>Directed type signatures make invalid silver predictions detectable. ISSUE_ON_ITEM must begin at a FAULT or ABN_PROC and point to MAINT_ITEM; reversing the argument order changes the relation. Offline graph validation keeps unknown entity types and incompatible edges out of structured case fields while retaining their source identifiers for audit. The deployed query path does not run a live extraction service.</w:t>
      </w:r>
    </w:p>
    <w:p w14:paraId="22262450" w14:textId="77777777" w:rsidR="00110685" w:rsidRDefault="00110685" w:rsidP="00810279">
      <w:pPr>
        <w:pStyle w:val="Heading2"/>
        <w:numPr>
          <w:ilvl w:val="0"/>
          <w:numId w:val="0"/>
        </w:numPr>
      </w:pPr>
      <w:r>
        <w:t>5.4 Annotation workflow</w:t>
      </w:r>
    </w:p>
    <w:p w14:paraId="2C4BC776" w14:textId="77777777" w:rsidR="00110685" w:rsidRDefault="00110685" w:rsidP="00110685">
      <w:r>
        <w:t xml:space="preserve">The corpus-building workflow starts with a random 300-record pilot. Weak pre-annotations are imported into Label Studio and manually corrected to gold. The correction process can delete false spans, adjust boundaries and types, add missing spans, and create or remove relations. A CRF trained </w:t>
      </w:r>
      <w:proofErr w:type="gramStart"/>
      <w:r>
        <w:t>on</w:t>
      </w:r>
      <w:proofErr w:type="gramEnd"/>
      <w:r>
        <w:t xml:space="preserve"> corrected data then supplies pre-annotations for later rounds. Pre-annotation is an efficiency aid; imported predictions become gold only after review.</w:t>
      </w:r>
    </w:p>
    <w:p w14:paraId="722FCEC2" w14:textId="77777777" w:rsidR="00110685" w:rsidRDefault="00110685" w:rsidP="00810279">
      <w:pPr>
        <w:pStyle w:val="Heading3"/>
        <w:numPr>
          <w:ilvl w:val="0"/>
          <w:numId w:val="0"/>
        </w:numPr>
      </w:pPr>
      <w:r>
        <w:t>5.4.1 Formal annotation object</w:t>
      </w:r>
    </w:p>
    <w:p w14:paraId="2F1BE0F6" w14:textId="77777777" w:rsidR="00110685" w:rsidRDefault="00110685" w:rsidP="00110685">
      <w:r>
        <w:t>An annotated record is represented by typed spans plus directed typed relations, as formalized in Equation 5.1.</w:t>
      </w:r>
    </w:p>
    <w:p w14:paraId="55B96299" w14:textId="77777777" w:rsidR="00110685" w:rsidRDefault="00110685" w:rsidP="00110685">
      <w:r>
        <w:t>Pre-annotation accelerated annotation but did not define the gold label. A human reviewer corrected span boundaries, entity types, and relation links before the record entered the gold corpus. Rare-class enrichment increased coverage for analysis, while the development and test partitions stayed frozen to prevent iterative sampling from changing the evaluation population.</w:t>
      </w:r>
    </w:p>
    <w:p w14:paraId="440874C1" w14:textId="77777777" w:rsidR="00110685" w:rsidRDefault="00110685" w:rsidP="00110685">
      <w:r>
        <w:t>Two random rounds bring the cumulative corpus to 800 records: a 300-record pilot and a 500-record random expansion. The development and test partitions are frozen at that point and are drawn exclusively from these two random batches, which is why the frozen test contains 225 records sampled at random rather than by rare-class enrichment. Subsequent active-learning rounds rank the remaining pool using uncertainty and rare-class signals and add selected cases to training only. The final corpus contains 1,600 records: 1,275 training, 100 development, and 225 test. The frozen test therefore remains a random sample rather than a rare-class-enriched benchmark.</w:t>
      </w:r>
      <w:proofErr w:type="gramStart"/>
      <w:proofErr w:type="gramEnd"/>
      <w:proofErr w:type="gramStart"/>
      <w:proofErr w:type="gramEnd"/>
    </w:p>
    <w:p w14:paraId="1373DC8B" w14:textId="77777777" w:rsidR="00110685" w:rsidRDefault="00110685" w:rsidP="00110685">
      <w:r>
        <w:t>Three subsequent rare-class rounds add 300, 300 and 200 records to training only, taking the cumulative totals to 1,100, 1,400 and 1,600. Of the 1,275 training records, 475 come from the random population and 800 from rare-class enrichment. Early planning figures targeted approximately 1,500; the realized gold corpus contains 1,600 records.</w:t>
      </w:r>
    </w:p>
    <w:p w14:paraId="5EE07E76" w14:textId="77777777" w:rsidR="00110685" w:rsidRDefault="00110685" w:rsidP="004B1887">
      <w:pPr>
        <w:pStyle w:val="Heading2"/>
        <w:numPr>
          <w:ilvl w:val="0"/>
          <w:numId w:val="0"/>
        </w:numPr>
      </w:pPr>
      <w:r>
        <w:t>5.5 Active learning and frozen evaluation sets</w:t>
      </w:r>
    </w:p>
    <w:p w14:paraId="65605705" w14:textId="77777777" w:rsidR="00110685" w:rsidRDefault="00110685" w:rsidP="00110685">
      <w:r>
        <w:t>Rare-class acquisition responds to the heavy skew visible in the pilot. Uncertainty sampling alone tends to select ambiguous examples near the current decision boundary; rare-class weighting additionally searches for likely examples of underrepresented types. This improves training coverage but changes the selected distribution. Keeping the random development and test records fixed prevents the enriched training distribution from becoming the reported evaluation distribution.</w:t>
      </w:r>
    </w:p>
    <w:p w14:paraId="3BF75912" w14:textId="77777777" w:rsidR="00110685" w:rsidRDefault="00110685" w:rsidP="00110685">
      <w:r>
        <w:t xml:space="preserve">Active learning can still create bias. The current model determines which </w:t>
      </w:r>
      <w:proofErr w:type="spellStart"/>
      <w:r>
        <w:t>unlabelled</w:t>
      </w:r>
      <w:proofErr w:type="spellEnd"/>
      <w:r>
        <w:t xml:space="preserve"> records appear uncertain or likely to contain rare labels, so systematic model blind spots can remain undiscovered. Rare-class enrichment may also concentrate idiosyncratic wording. Learning curves and per-class support therefore supplement the final scores, and the thesis avoids claiming that active learning alone caused improvement.</w:t>
      </w:r>
    </w:p>
    <w:p w14:paraId="1B20E3DA" w14:textId="77777777" w:rsidR="00110685" w:rsidRDefault="00110685" w:rsidP="004B1887">
      <w:pPr>
        <w:pStyle w:val="Heading2"/>
        <w:numPr>
          <w:ilvl w:val="0"/>
          <w:numId w:val="0"/>
        </w:numPr>
      </w:pPr>
      <w:r>
        <w:t>5.6 Gold-corpus composition</w:t>
      </w:r>
    </w:p>
    <w:p w14:paraId="294FDCE6" w14:textId="77777777" w:rsidR="00110685" w:rsidRDefault="00110685" w:rsidP="00110685">
      <w:r>
        <w:t>Counts are entity mentions in the complete 1,600-record gold corpus, not records containing at least one cue.</w:t>
      </w:r>
    </w:p>
    <w:p w14:paraId="4A619AC2" w14:textId="77777777" w:rsidR="00110685" w:rsidRDefault="00110685" w:rsidP="00110685">
      <w:r>
        <w:t>Full support visualization appears as Figure B.1. Relation counts are directed typed instances.</w:t>
      </w:r>
    </w:p>
    <w:p w14:paraId="1D7ADC25" w14:textId="77777777" w:rsidR="00110685" w:rsidRDefault="00110685" w:rsidP="00110685">
      <w:r>
        <w:lastRenderedPageBreak/>
        <w:t>The complete 1,600-record gold corpus is strongly imbalanced: MAINT_ITEM contributes 4,460 annotated mentions, whereas REFERENCE contributes 67; ACTION_ON_ITEM has 2,852 annotations and ACTION_USES_ITEM has 62. These are whole-corpus support counts, not test metrics. The frozen 225-record test contains very few REFERENCE and ACTION_FOLLOWS_REFERENCE instances, so a class F1 calculated from a handful of cases must not be interpreted as stable evidence. Table 5.1 and Figure 5.1 report entity support; Table 5.2 reports relation support.</w:t>
      </w:r>
    </w:p>
    <w:p w14:paraId="0D5C3EDA" w14:textId="77777777" w:rsidR="00110685" w:rsidRDefault="00110685" w:rsidP="004B1887">
      <w:pPr>
        <w:pStyle w:val="Heading2"/>
        <w:numPr>
          <w:ilvl w:val="0"/>
          <w:numId w:val="0"/>
        </w:numPr>
      </w:pPr>
      <w:r>
        <w:t>5.7 Annotation limitations</w:t>
      </w:r>
    </w:p>
    <w:p w14:paraId="26E3E8A5" w14:textId="77777777" w:rsidR="00110685" w:rsidRDefault="00110685" w:rsidP="00110685">
      <w:r>
        <w:t xml:space="preserve">The principal limitation is the absence of an independently double-annotated </w:t>
      </w:r>
      <w:proofErr w:type="gramStart"/>
      <w:r>
        <w:t>subset</w:t>
      </w:r>
      <w:proofErr w:type="gramEnd"/>
      <w:r>
        <w:t xml:space="preserve"> and an inter-annotator agreement estimate. The available artifacts document correction, schema constraints, and corpus growth, but they do not quantify reviewer consistency. Some distinctions—especially FAULT versus ABN_PROC, ACTION_ADDRESSES_ISSUE versus ACTION_INVESTIGATES_ISSUE, and TECH_OBS versus OUTCOME—require judgment. Model F1 is conditional on those annotation decisions.</w:t>
      </w:r>
    </w:p>
    <w:p w14:paraId="1060C54E" w14:textId="77777777" w:rsidR="00110685" w:rsidRDefault="00110685" w:rsidP="004B1887">
      <w:pPr>
        <w:pStyle w:val="Heading3"/>
        <w:numPr>
          <w:ilvl w:val="0"/>
          <w:numId w:val="0"/>
        </w:numPr>
      </w:pPr>
      <w:r>
        <w:t>5.7.1 Agreement that should be measured in follow-up work</w:t>
      </w:r>
    </w:p>
    <w:p w14:paraId="6B7E0020" w14:textId="77777777" w:rsidR="00110685" w:rsidRDefault="00110685" w:rsidP="00110685">
      <w:r>
        <w:t>A future double-annotation study should compare two independently produced annotation sets before adjudication. One simple span-level agreement coefficient is the F1-style overlap in Equation 5.2:</w:t>
      </w:r>
    </w:p>
    <w:p w14:paraId="5076B4C3" w14:textId="77777777" w:rsidR="004B1887" w:rsidRDefault="00110685" w:rsidP="00110685">
      <w:r>
        <w:t>A second limitation is that pre-annotation can anchor the reviewer. Missing predictions may be less visible than incorrect predicted spans, and the model’s current ontology may influence relation creation. A third is domain and source dependence: the schema is tailored to short English aviation records and does not yet model negation scope, temporal order, conditionality, applicability, or document-level context. A future corpus release should add blind double annotation, adjudication logs, boundary and relation agreement, and explicit quality sampling of pre-annotation omissions.</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