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48A06" w14:textId="77777777" w:rsidR="00110685" w:rsidRDefault="00110685" w:rsidP="004B1887">
      <w:pPr>
        <w:pStyle w:val="Heading1"/>
        <w:numPr>
          <w:ilvl w:val="0"/>
          <w:numId w:val="0"/>
        </w:numPr>
      </w:pPr>
      <w:r>
        <w:t>6 Information Extraction Methods and Results</w:t>
      </w:r>
    </w:p>
    <w:p w14:paraId="05BFE88B" w14:textId="77777777" w:rsidR="00110685" w:rsidRDefault="00110685" w:rsidP="004B1887">
      <w:pPr>
        <w:pStyle w:val="Heading2"/>
        <w:numPr>
          <w:ilvl w:val="0"/>
          <w:numId w:val="0"/>
        </w:numPr>
      </w:pPr>
      <w:r>
        <w:t>6.1 Extraction task</w:t>
      </w:r>
    </w:p>
    <w:p w14:paraId="2E48C03D" w14:textId="77777777" w:rsidR="00110685" w:rsidRDefault="00110685" w:rsidP="00110685">
      <w:r>
        <w:t>The information-extraction task has two outputs. Entity recognition identifies exact spans and assigns one of nine entity types. Relation extraction assigns one of eleven directed types to compatible entity pairs. Entity scoring requires both span boundaries and type to match. Relation scoring additionally requires the correct source entity, target entity, direction, and relation type. A relation error can therefore originate in either entity detection or pair classification.</w:t>
      </w:r>
    </w:p>
    <w:p w14:paraId="3803B04A" w14:textId="77777777" w:rsidR="00110685" w:rsidRDefault="00110685" w:rsidP="00110685">
      <w:r>
        <w:t>Micro-F1 aggregates decisions across classes and is influenced most by frequent types. Macro-F1 gives every class equal weight and is more sensitive to rare labels. Both are reported because the test distribution is strongly imbalanced and the rarest entity and relation classes contain only two instances.</w:t>
      </w:r>
    </w:p>
    <w:p w14:paraId="008ECF58" w14:textId="77777777" w:rsidR="00110685" w:rsidRDefault="00110685" w:rsidP="004B1887">
      <w:pPr>
        <w:pStyle w:val="Heading2"/>
        <w:numPr>
          <w:ilvl w:val="0"/>
          <w:numId w:val="0"/>
        </w:numPr>
      </w:pPr>
      <w:r>
        <w:t>6.2 CRF and logistic regression</w:t>
      </w:r>
    </w:p>
    <w:p w14:paraId="01B508E3" w14:textId="77777777" w:rsidR="00110685" w:rsidRDefault="00110685" w:rsidP="00110685">
      <w:r>
        <w:t xml:space="preserve">A CRF is a sequence-level label chooser rather than a dictionary of entity names. At each token it combines observable cues, such as lowercase spelling, capitalization, digits, punctuation, prefixes, suffixes and nearby words, with learned preferences for adjacent BIO tags. The Viterbi algorithm finds the highest-scoring complete tag sequence; it can discourage an I-tag after an incompatible O-tag. The separate logistic classifier then scores permissible ordered entity pairs, including entity types, distance and intervening words. A CRF therefore resolves tag </w:t>
      </w:r>
      <w:proofErr w:type="gramStart"/>
      <w:r>
        <w:t>consistency, but</w:t>
      </w:r>
      <w:proofErr w:type="gramEnd"/>
      <w:r>
        <w:t xml:space="preserve"> does not repair an entity it never detected [8, 23].</w:t>
      </w:r>
    </w:p>
    <w:p w14:paraId="19229C7F" w14:textId="77777777" w:rsidR="00110685" w:rsidRDefault="00110685" w:rsidP="00110685">
      <w:r>
        <w:t xml:space="preserve">The first architecture combines a conditional random field for entity sequences with logistic regression for relations. The CRF uses token, orthographic, lexical, contextual, and sequence features, while the relation classifier uses features of candidate entity pairs. This interpretable, low-compute pipeline provides a strong engineered baseline for judging whether neural models add value </w:t>
      </w:r>
      <w:proofErr w:type="gramStart"/>
      <w:r>
        <w:t>on</w:t>
      </w:r>
      <w:proofErr w:type="gramEnd"/>
      <w:r>
        <w:t xml:space="preserve"> a </w:t>
      </w:r>
      <w:proofErr w:type="gramStart"/>
      <w:r>
        <w:t>small labelled</w:t>
      </w:r>
      <w:proofErr w:type="gramEnd"/>
      <w:r>
        <w:t xml:space="preserve"> corpus.</w:t>
      </w:r>
    </w:p>
    <w:p w14:paraId="5FDA83AB" w14:textId="77777777" w:rsidR="00110685" w:rsidRDefault="00110685" w:rsidP="004B1887">
      <w:pPr>
        <w:pStyle w:val="Heading3"/>
        <w:numPr>
          <w:ilvl w:val="0"/>
          <w:numId w:val="0"/>
        </w:numPr>
      </w:pPr>
      <w:r>
        <w:t>6.2.1 CRF decoding and relation baseline</w:t>
      </w:r>
    </w:p>
    <w:p w14:paraId="5CFA2C45" w14:textId="77777777" w:rsidR="00110685" w:rsidRDefault="00110685" w:rsidP="00110685">
      <w:r>
        <w:t xml:space="preserve">For a token sequence of length T, the CRF score adds the learned transition score A from the </w:t>
      </w:r>
      <w:proofErr w:type="gramStart"/>
      <w:r>
        <w:t>previous to</w:t>
      </w:r>
      <w:proofErr w:type="gramEnd"/>
      <w:r>
        <w:t xml:space="preserve"> the current label and the emission score P supplied for the current token and label, as formalized in Equation 6.1.</w:t>
      </w:r>
    </w:p>
    <w:p w14:paraId="6F953220" w14:textId="77777777" w:rsidR="00110685" w:rsidRDefault="00110685" w:rsidP="004B1887">
      <w:pPr>
        <w:pStyle w:val="Heading2"/>
        <w:numPr>
          <w:ilvl w:val="0"/>
          <w:numId w:val="0"/>
        </w:numPr>
      </w:pPr>
      <w:proofErr w:type="spellStart"/>
      <w:r>
        <w:t>6.3 BiLSTM</w:t>
      </w:r>
      <w:proofErr w:type="spellEnd"/>
      <w:r>
        <w:t xml:space="preserve"> CRF and neural relation classifier</w:t>
      </w:r>
    </w:p>
    <w:p w14:paraId="49B0DC80" w14:textId="77777777" w:rsidR="00110685" w:rsidRDefault="00110685" w:rsidP="00110685">
      <w:r>
        <w:t>An LSTM's input, forget and output gates decide what information enters memory, persists, and becomes visible at each token [24]. Two LSTMs read the same record from opposite directions; their states are joined so a token representation can reflect words before and after it. A CRF still decodes the BIO sequence. Compared with feature-engineered CRFs, the recurrent layers learn contextual features, but their sequential computation and sparse supervision remain relevant limitations [32, 33].</w:t>
      </w:r>
    </w:p>
    <w:p w14:paraId="2108037A" w14:textId="77777777" w:rsidR="00110685" w:rsidRDefault="00110685" w:rsidP="00110685">
      <w:r>
        <w:t xml:space="preserve">The recurrent architecture combines bidirectional LSTM representations with CRF decoding and uses a neural classifier for entity pairs. The NER model </w:t>
      </w:r>
      <w:proofErr w:type="gramStart"/>
      <w:r>
        <w:t>trains for</w:t>
      </w:r>
      <w:proofErr w:type="gramEnd"/>
      <w:r>
        <w:t xml:space="preserve"> at most 60 epochs with patience 8; the relation model </w:t>
      </w:r>
      <w:proofErr w:type="gramStart"/>
      <w:r>
        <w:t>trains for</w:t>
      </w:r>
      <w:proofErr w:type="gramEnd"/>
      <w:r>
        <w:t xml:space="preserve"> at most 40 epochs with patience 6. Both use development performance for early stopping.</w:t>
      </w:r>
    </w:p>
    <w:p w14:paraId="4B7A2527" w14:textId="77777777" w:rsidR="00110685" w:rsidRDefault="00110685" w:rsidP="004B1887">
      <w:pPr>
        <w:pStyle w:val="Heading3"/>
        <w:numPr>
          <w:ilvl w:val="0"/>
          <w:numId w:val="0"/>
        </w:numPr>
      </w:pPr>
      <w:r>
        <w:t>6.3.1 Bidirectional context</w:t>
      </w:r>
    </w:p>
    <w:p w14:paraId="27F02E19" w14:textId="77777777" w:rsidR="00110685" w:rsidRDefault="00110685" w:rsidP="00110685">
      <w:r>
        <w:t>A bidirectional LSTM reads the sequence in both directions and concatenates the two hidden states, as formalized in Equation 6.2.</w:t>
      </w:r>
    </w:p>
    <w:p w14:paraId="7380A330" w14:textId="77777777" w:rsidR="00110685" w:rsidRDefault="00110685" w:rsidP="00110685">
      <w:r>
        <w:t>This architecture tests learned sequential representations without transformer pretraining. The small corpus and severe relation imbalance increase the risk of overfitting, so training curves and recorded seed variation are treated as diagnostics rather than substitutes for the frozen comparison.</w:t>
      </w:r>
    </w:p>
    <w:p w14:paraId="290152C3" w14:textId="77777777" w:rsidR="00110685" w:rsidRDefault="00110685" w:rsidP="004B1887">
      <w:pPr>
        <w:pStyle w:val="Heading2"/>
        <w:numPr>
          <w:ilvl w:val="0"/>
          <w:numId w:val="0"/>
        </w:numPr>
      </w:pPr>
      <w:r>
        <w:t>6.4 Transformer and joint span models</w:t>
      </w:r>
    </w:p>
    <w:p w14:paraId="32D0D317" w14:textId="77777777" w:rsidR="00110685" w:rsidRDefault="00110685" w:rsidP="00110685">
      <w:r>
        <w:t xml:space="preserve">Self-attention lets each token compare itself with other tokens in the same record; a pretrained BERT encoder supplies contextual vectors rather than one fixed vector per word [10, 26]. </w:t>
      </w:r>
      <w:proofErr w:type="spellStart"/>
      <w:r>
        <w:t>DistilBERT</w:t>
      </w:r>
      <w:proofErr w:type="spellEnd"/>
      <w:r>
        <w:t xml:space="preserve"> transfers this behavior through a smaller distilled encoder [34]. The evaluated </w:t>
      </w:r>
      <w:proofErr w:type="spellStart"/>
      <w:r>
        <w:t>DistilBERT</w:t>
      </w:r>
      <w:proofErr w:type="spellEnd"/>
      <w:r>
        <w:t xml:space="preserve"> system remains a pipeline: an incorrect entity boundary can remove a correct downstream pair. </w:t>
      </w:r>
      <w:proofErr w:type="spellStart"/>
      <w:r>
        <w:t>SpERT</w:t>
      </w:r>
      <w:proofErr w:type="spellEnd"/>
      <w:r>
        <w:t xml:space="preserve"> instead scores candidate spans and then ordered span pairs with shared contextual representations, learning entity and relation objectives jointly [11]. A joint encoder improves sharing, but cannot make an unsupported rare relation reliable by itself.</w:t>
      </w:r>
    </w:p>
    <w:p w14:paraId="103EE171" w14:textId="77777777" w:rsidR="00110685" w:rsidRDefault="00110685" w:rsidP="00110685">
      <w:r>
        <w:t xml:space="preserve">The transformer pipeline uses </w:t>
      </w:r>
      <w:proofErr w:type="spellStart"/>
      <w:r>
        <w:t>DistilBERT</w:t>
      </w:r>
      <w:proofErr w:type="spellEnd"/>
      <w:r>
        <w:t xml:space="preserve"> for contextual entity representations and span-pooled relation classification [34]. The fourth architecture, </w:t>
      </w:r>
      <w:proofErr w:type="spellStart"/>
      <w:r>
        <w:t>SpERT</w:t>
      </w:r>
      <w:proofErr w:type="spellEnd"/>
      <w:r>
        <w:t>, jointly classifies candidate spans and their relations with a BERT-base-cased encoder. The comparison therefore separates a transformer pipeline from a joint span-based formulation rather than treating all transformer models as one tier. Table 6.1 compares the four extraction architectures and their training roles.</w:t>
      </w:r>
    </w:p>
    <w:p w14:paraId="575B557C" w14:textId="77777777" w:rsidR="00110685" w:rsidRDefault="00110685" w:rsidP="004B1887">
      <w:pPr>
        <w:pStyle w:val="Heading3"/>
        <w:numPr>
          <w:ilvl w:val="0"/>
          <w:numId w:val="0"/>
        </w:numPr>
      </w:pPr>
      <w:r>
        <w:t>6.4.1 Span and relation representations</w:t>
      </w:r>
    </w:p>
    <w:p w14:paraId="65EB610B" w14:textId="77777777" w:rsidR="00110685" w:rsidRDefault="00663FBD" w:rsidP="00110685">
      <w:proofErr w:type="spellStart"/>
      <w:r w:rsidRPr="00663FBD">
        <w:t>SpERT</w:t>
      </w:r>
      <w:proofErr w:type="spellEnd"/>
      <w:r w:rsidRPr="00663FBD">
        <w:t xml:space="preserve"> forms a candidate span feature from max-pooled contextual token embeddings and a learned span-width embedding. For entity classification it adds the sentence-level [CLS] embedding; the ordered relation classifier instead uses span features and pooled local context between the two candidates. Equation 6.3 defines the span and entity features.</w:t>
      </w:r>
    </w:p>
    <w:p w14:paraId="7194F6D7" w14:textId="77777777" w:rsidR="00110685" w:rsidRDefault="00110685" w:rsidP="004B1887">
      <w:pPr>
        <w:pStyle w:val="Heading2"/>
        <w:numPr>
          <w:ilvl w:val="0"/>
          <w:numId w:val="0"/>
        </w:numPr>
      </w:pPr>
      <w:r>
        <w:t>6.5 Training and evaluation protocol</w:t>
      </w:r>
    </w:p>
    <w:p w14:paraId="7ACE9D33" w14:textId="77777777" w:rsidR="00110685" w:rsidRDefault="00110685" w:rsidP="00110685">
      <w:r>
        <w:t>All four architectures use 1,275 training records, 100 development records, and the same 225-record frozen test. The test contains 1,693 gold entity mentions and 1,419 gold relations. This shared population supports direct descriptive comparison; confidence intervals and class support remain necessary when differences are small or labels are rare.</w:t>
      </w:r>
    </w:p>
    <w:p w14:paraId="63719A8C" w14:textId="77777777" w:rsidR="00110685" w:rsidRDefault="00110685" w:rsidP="004B1887">
      <w:pPr>
        <w:pStyle w:val="Heading3"/>
        <w:numPr>
          <w:ilvl w:val="0"/>
          <w:numId w:val="0"/>
        </w:numPr>
      </w:pPr>
      <w:r>
        <w:t>6.5.1 Micro, macro, and uncertainty measures</w:t>
      </w:r>
    </w:p>
    <w:p w14:paraId="1842D1CA" w14:textId="77777777" w:rsidR="00110685" w:rsidRDefault="00110685" w:rsidP="00110685">
      <w:r>
        <w:t>A confusion matrix counts decisions by true label (rows) and predicted label (columns). A diagonal cell represents agreement; an off-diagonal cell shows which labels were confused. In a one-versus-rest view for class c, TP is a correctly predicted c, FP is a predicted c absent from the reference, FN is a gold c that was missed, and TN is a non-c correctly left as non-c. Strict span-level IE scores usually derive precision, recall and F1 from TP, FP and FN; TN is not included because the number of possible non-entity spans and non-relations is enormous and depends on candidate generation. For entities, a wrong boundary or type can count as both one FP and one FN. For a directed relation, argument spans, direction and relation label must all match.</w:t>
      </w:r>
    </w:p>
    <w:p w14:paraId="5676FF8F" w14:textId="77777777" w:rsidR="00110685" w:rsidRDefault="00110685" w:rsidP="00110685">
      <w:r>
        <w:t xml:space="preserve">Micro averaging sums TP, FP and FN across types first and then computes F1; frequent labels consequently exert more influence. Macro averaging computes one F1 for each evaluated type and takes their unweighted </w:t>
      </w:r>
      <w:proofErr w:type="gramStart"/>
      <w:r>
        <w:t>mean</w:t>
      </w:r>
      <w:proofErr w:type="gramEnd"/>
      <w:r>
        <w:t xml:space="preserve">. Both must name the same class set and the same exact-match policy. For instance, a model can </w:t>
      </w:r>
      <w:proofErr w:type="gramStart"/>
      <w:r>
        <w:t>gain on</w:t>
      </w:r>
      <w:proofErr w:type="gramEnd"/>
      <w:r>
        <w:t xml:space="preserve"> </w:t>
      </w:r>
      <w:proofErr w:type="spellStart"/>
      <w:r>
        <w:t>rare</w:t>
      </w:r>
      <w:proofErr w:type="spellEnd"/>
      <w:r>
        <w:t xml:space="preserve"> relations and improve macro-F1 while losing a few frequent relation instances and reducing micro-F1. Per-class support—the number of gold examples for a type—must accompany either interpretation.</w:t>
      </w:r>
    </w:p>
    <w:p w14:paraId="2E36EE3D" w14:textId="77777777" w:rsidR="00110685" w:rsidRDefault="00110685" w:rsidP="00110685">
      <w:r>
        <w:t>Precision, recall, and F1 are computed from exact true positives, false positives, and false negatives, as formalized in Equation 6.5.</w:t>
      </w:r>
    </w:p>
    <w:p w14:paraId="52B6D870" w14:textId="77777777" w:rsidR="00110685" w:rsidRDefault="00110685" w:rsidP="00110685">
      <w:r>
        <w:t>Micro-F1 pools counts over all classes before computing the score, as formalized in Equation 6.6.</w:t>
      </w:r>
    </w:p>
    <w:p w14:paraId="1BE81761" w14:textId="77777777" w:rsidR="00110685" w:rsidRDefault="00110685" w:rsidP="00110685">
      <w:r>
        <w:t>Bootstrap intervals quantify sampling variability by repeatedly resampling evaluation units and recomputing a statistic theta-hat-star [37], as formalized in Equation 6.8.</w:t>
      </w:r>
    </w:p>
    <w:p w14:paraId="4ECF0C84" w14:textId="77777777" w:rsidR="00110685" w:rsidRDefault="00110685" w:rsidP="00110685">
      <w:r>
        <w:t xml:space="preserve">Confidence intervals use 1,000 nonparametric bootstrap resamples of the test predictions [37]. They quantify sampling uncertainty conditional on the supplied models and records. They do not include annotation uncertainty, domain shift, or the full effect of training randomness. Because the canonical </w:t>
      </w:r>
      <w:r>
        <w:lastRenderedPageBreak/>
        <w:t>artifact does not provide a complete paired significance matrix for all four architectures, the final ranking is reported descriptively.</w:t>
      </w:r>
    </w:p>
    <w:p w14:paraId="781FF4B9" w14:textId="77777777" w:rsidR="00110685" w:rsidRDefault="00110685" w:rsidP="004B1887">
      <w:pPr>
        <w:pStyle w:val="Heading2"/>
        <w:numPr>
          <w:ilvl w:val="0"/>
          <w:numId w:val="0"/>
        </w:numPr>
      </w:pPr>
      <w:r>
        <w:t>6.6 Overall performance</w:t>
      </w:r>
    </w:p>
    <w:p w14:paraId="6C2505BE" w14:textId="77777777" w:rsidR="00110685" w:rsidRDefault="00110685" w:rsidP="00110685">
      <w:r>
        <w:t xml:space="preserve">Frozen random test n = 225; 1,693 gold entities and 1,419 gold relations. </w:t>
      </w:r>
      <w:proofErr w:type="gramStart"/>
      <w:r>
        <w:t>Strict typed</w:t>
      </w:r>
      <w:proofErr w:type="gramEnd"/>
      <w:r>
        <w:t xml:space="preserve"> scoring; all four models use the same population.</w:t>
      </w:r>
    </w:p>
    <w:p w14:paraId="0F92561F" w14:textId="77777777" w:rsidR="00110685" w:rsidRDefault="00110685" w:rsidP="00110685">
      <w:proofErr w:type="spellStart"/>
      <w:r>
        <w:t>SpERT</w:t>
      </w:r>
      <w:proofErr w:type="spellEnd"/>
      <w:r>
        <w:t xml:space="preserve"> has the highest point estimates; small differences and rare-class scores require uncertainty- and support-aware interpretation.</w:t>
      </w:r>
    </w:p>
    <w:p w14:paraId="7BFE92FD" w14:textId="77777777" w:rsidR="00110685" w:rsidRDefault="00110685" w:rsidP="00110685">
      <w:r>
        <w:t xml:space="preserve">Entity micro-F1 exceeded 0.93 for every architecture. </w:t>
      </w:r>
      <w:proofErr w:type="spellStart"/>
      <w:r>
        <w:t>SpERT</w:t>
      </w:r>
      <w:proofErr w:type="spellEnd"/>
      <w:r>
        <w:t xml:space="preserve"> had the highest point estimate at 0.9520, followed by </w:t>
      </w:r>
      <w:proofErr w:type="spellStart"/>
      <w:r>
        <w:t>DistilBERT</w:t>
      </w:r>
      <w:proofErr w:type="spellEnd"/>
      <w:r>
        <w:t xml:space="preserve"> at 0.9449, CRF with logistic regression at 0.9402, and </w:t>
      </w:r>
      <w:proofErr w:type="spellStart"/>
      <w:r>
        <w:t>BiLSTM</w:t>
      </w:r>
      <w:proofErr w:type="spellEnd"/>
      <w:r>
        <w:t xml:space="preserve"> at 0.9385. Entity macro-F1 ranged from 0.8822 to 0.9063, indicating a narrower ranking that remains sensitive to rare </w:t>
      </w:r>
      <w:r>
        <w:lastRenderedPageBreak/>
        <w:t>classes. Table 6.2 and Figure 6.1 compare overall entity and relation performance on the common frozen test.</w:t>
      </w:r>
    </w:p>
    <w:p w14:paraId="7059E8CC" w14:textId="77777777" w:rsidR="00110685" w:rsidRDefault="00110685" w:rsidP="00110685">
      <w:r>
        <w:t xml:space="preserve">Relation extraction produced a clearer separation. </w:t>
      </w:r>
      <w:proofErr w:type="spellStart"/>
      <w:r>
        <w:t>SpERT</w:t>
      </w:r>
      <w:proofErr w:type="spellEnd"/>
      <w:r>
        <w:t xml:space="preserve"> achieved micro-F1 0.8537, </w:t>
      </w:r>
      <w:proofErr w:type="spellStart"/>
      <w:r>
        <w:t>DistilBERT</w:t>
      </w:r>
      <w:proofErr w:type="spellEnd"/>
      <w:r>
        <w:t xml:space="preserve"> 0.8296, CRF with logistic regression 0.8036, and </w:t>
      </w:r>
      <w:proofErr w:type="spellStart"/>
      <w:r>
        <w:t>BiLSTM</w:t>
      </w:r>
      <w:proofErr w:type="spellEnd"/>
      <w:r>
        <w:t xml:space="preserve"> 0.6323. The joint span-based model therefore </w:t>
      </w:r>
      <w:proofErr w:type="gramStart"/>
      <w:r>
        <w:t>led</w:t>
      </w:r>
      <w:proofErr w:type="gramEnd"/>
      <w:r>
        <w:t xml:space="preserve"> this frozen comparison, although its test performance cannot be transferred directly to every prediction in the operational silver graph.</w:t>
      </w:r>
    </w:p>
    <w:p w14:paraId="4444C1BC" w14:textId="77777777" w:rsidR="00110685" w:rsidRDefault="00110685" w:rsidP="004B1887">
      <w:pPr>
        <w:pStyle w:val="Heading2"/>
        <w:numPr>
          <w:ilvl w:val="0"/>
          <w:numId w:val="0"/>
        </w:numPr>
      </w:pPr>
      <w:r>
        <w:t>6.7 Per-class performance</w:t>
      </w:r>
    </w:p>
    <w:p w14:paraId="5A83A68B" w14:textId="77777777" w:rsidR="00110685" w:rsidRDefault="00110685" w:rsidP="00110685">
      <w:r>
        <w:t>Per-class support is uneven; REFERENCE has only two test instances, so perfect F1 is not a stability result.</w:t>
      </w:r>
    </w:p>
    <w:p w14:paraId="07991943" w14:textId="77777777" w:rsidR="00110685" w:rsidRDefault="00110685" w:rsidP="00110685">
      <w:r>
        <w:t xml:space="preserve">Frequent entity types were consistently strong, while TECH_OBS and OP_CTX varied more across architectures. </w:t>
      </w:r>
      <w:proofErr w:type="spellStart"/>
      <w:r>
        <w:t>SpERT</w:t>
      </w:r>
      <w:proofErr w:type="spellEnd"/>
      <w:r>
        <w:t xml:space="preserve"> achieved F1 0.7568 for TECH_OBS and 0.8095 for OP_CTX. Every model scored 1.0000 on REFERENCE, but the test contains only two such instances; the perfect value is therefore uninformative about stability. Figure 6.2 exposes the entity-class pattern, and Figure 6.3 exposes relation-class instability for rare labels.</w:t>
      </w:r>
    </w:p>
    <w:p w14:paraId="7D40478B" w14:textId="77777777" w:rsidR="00110685" w:rsidRDefault="00110685" w:rsidP="00110685">
      <w:r>
        <w:t>The relation task compounds span and pair-classification errors. Detailed four-model F1 values appear in Table B.2.</w:t>
      </w:r>
    </w:p>
    <w:p w14:paraId="2605A77E" w14:textId="77777777" w:rsidR="00110685" w:rsidRDefault="00110685" w:rsidP="00110685">
      <w:proofErr w:type="spellStart"/>
      <w:r>
        <w:t>SpERT</w:t>
      </w:r>
      <w:proofErr w:type="spellEnd"/>
      <w:r>
        <w:t xml:space="preserve"> led several frequent relations, including ACTION_ADDRESSES_ISSUE (0.9146), ISSUE_ON_ITEM (0.9130), and HAS_LOCATION (0.8872). Rare-relation scores varied sharply. </w:t>
      </w:r>
      <w:proofErr w:type="spellStart"/>
      <w:r>
        <w:t>DistilBERT</w:t>
      </w:r>
      <w:proofErr w:type="spellEnd"/>
      <w:r>
        <w:t xml:space="preserve"> scored 0 on ACTION_USES_ITEM while </w:t>
      </w:r>
      <w:proofErr w:type="spellStart"/>
      <w:r>
        <w:t>SpERT</w:t>
      </w:r>
      <w:proofErr w:type="spellEnd"/>
      <w:r>
        <w:t xml:space="preserve"> scored 1.0000, and every model scored 1.0000 on ACTION_FOLLOWS_REFERENCE with only two test instances. These cases show why per-class F1 must be read with support.</w:t>
      </w:r>
    </w:p>
    <w:p w14:paraId="41F75A53" w14:textId="77777777" w:rsidR="00110685" w:rsidRDefault="00110685" w:rsidP="00110685">
      <w:r>
        <w:t xml:space="preserve">The class-level pattern generally </w:t>
      </w:r>
      <w:proofErr w:type="spellStart"/>
      <w:r>
        <w:t>favoured</w:t>
      </w:r>
      <w:proofErr w:type="spellEnd"/>
      <w:r>
        <w:t xml:space="preserve"> </w:t>
      </w:r>
      <w:proofErr w:type="spellStart"/>
      <w:r>
        <w:t>SpERT</w:t>
      </w:r>
      <w:proofErr w:type="spellEnd"/>
      <w:r>
        <w:t xml:space="preserve">, but the feature-based baseline remained competitive on frequent, lexically regular relations. </w:t>
      </w:r>
      <w:proofErr w:type="spellStart"/>
      <w:r>
        <w:t>BiLSTM</w:t>
      </w:r>
      <w:proofErr w:type="spellEnd"/>
      <w:r>
        <w:t xml:space="preserve"> was consistently weaker on relation extraction. Macro-F1 summarizes these differences but can change materially when a few rare classes move, so it is interpreted together with per-class support.</w:t>
      </w:r>
    </w:p>
    <w:p w14:paraId="4950FBEB" w14:textId="77777777" w:rsidR="00110685" w:rsidRDefault="00110685" w:rsidP="004B1887">
      <w:pPr>
        <w:pStyle w:val="Heading2"/>
        <w:numPr>
          <w:ilvl w:val="0"/>
          <w:numId w:val="0"/>
        </w:numPr>
      </w:pPr>
      <w:r>
        <w:t>6.8 Internal and external comparison</w:t>
      </w:r>
    </w:p>
    <w:p w14:paraId="42DD3113" w14:textId="77777777" w:rsidR="00110685" w:rsidRDefault="00110685" w:rsidP="00110685">
      <w:r>
        <w:t xml:space="preserve">For orientation, the frozen internal entity/relation micro-F1 pairs are CRF with logistic regression 0.9402/0.8036, </w:t>
      </w:r>
      <w:proofErr w:type="spellStart"/>
      <w:r>
        <w:t>BiLSTM</w:t>
      </w:r>
      <w:proofErr w:type="spellEnd"/>
      <w:r>
        <w:t xml:space="preserve">-CRF with a neural relation classifier 0.9385/0.6323, </w:t>
      </w:r>
      <w:proofErr w:type="spellStart"/>
      <w:r>
        <w:t>DistilBERT</w:t>
      </w:r>
      <w:proofErr w:type="spellEnd"/>
      <w:r>
        <w:t xml:space="preserve"> pipeline 0.9449/0.8296, and </w:t>
      </w:r>
      <w:proofErr w:type="spellStart"/>
      <w:r>
        <w:t>SpERT</w:t>
      </w:r>
      <w:proofErr w:type="spellEnd"/>
      <w:r>
        <w:t xml:space="preserve"> 0.9520/0.8537. These results are measured on the common internal 225-record test; </w:t>
      </w:r>
      <w:proofErr w:type="gramStart"/>
      <w:r>
        <w:t>they</w:t>
      </w:r>
      <w:proofErr w:type="gramEnd"/>
      <w:r>
        <w:t xml:space="preserve"> are not estimates of quality on every silver production prediction.</w:t>
      </w:r>
    </w:p>
    <w:p w14:paraId="3AB0836A" w14:textId="77777777" w:rsidR="00110685" w:rsidRDefault="00110685" w:rsidP="00110685">
      <w:r>
        <w:t>The point estimates in Table 6.2 are descriptive summaries of the common frozen test. They should not be read as pairwise significance results.</w:t>
      </w:r>
    </w:p>
    <w:p w14:paraId="3230A557" w14:textId="77777777" w:rsidR="00110685" w:rsidRDefault="00110685" w:rsidP="00110685">
      <w:proofErr w:type="spellStart"/>
      <w:r>
        <w:t>MaintIE</w:t>
      </w:r>
      <w:proofErr w:type="spellEnd"/>
      <w:r>
        <w:t xml:space="preserve"> uses a separate 860/108/108 train-development-test split with five </w:t>
      </w:r>
      <w:proofErr w:type="gramStart"/>
      <w:r>
        <w:t>entity</w:t>
      </w:r>
      <w:proofErr w:type="gramEnd"/>
      <w:r>
        <w:t xml:space="preserve"> and six relation types. Each architecture is trained on that benchmark; the comparison is external replication, not zero-shot transfer.</w:t>
      </w:r>
    </w:p>
    <w:p w14:paraId="0F43CEAE" w14:textId="77777777" w:rsidR="00110685" w:rsidRDefault="00110685" w:rsidP="00110685">
      <w:proofErr w:type="spellStart"/>
      <w:r>
        <w:t>SpERT</w:t>
      </w:r>
      <w:proofErr w:type="spellEnd"/>
      <w:r>
        <w:t xml:space="preserve"> had the highest entity and relation micro-F1 in the internal corpus and in </w:t>
      </w:r>
      <w:proofErr w:type="spellStart"/>
      <w:r>
        <w:t>MaintIE</w:t>
      </w:r>
      <w:proofErr w:type="spellEnd"/>
      <w:r>
        <w:t xml:space="preserve">. </w:t>
      </w:r>
      <w:proofErr w:type="spellStart"/>
      <w:r>
        <w:t>DistilBERT</w:t>
      </w:r>
      <w:proofErr w:type="spellEnd"/>
      <w:r>
        <w:t xml:space="preserve"> ranked second, the CRF-based system third, and </w:t>
      </w:r>
      <w:proofErr w:type="spellStart"/>
      <w:r>
        <w:t>BiLSTM</w:t>
      </w:r>
      <w:proofErr w:type="spellEnd"/>
      <w:r>
        <w:t xml:space="preserve"> fourth on relation micro-F1 in both settings. This repeated ordering supports the architectural comparison, while different schemas, </w:t>
      </w:r>
      <w:proofErr w:type="gramStart"/>
      <w:r>
        <w:t>corpora</w:t>
      </w:r>
      <w:proofErr w:type="gramEnd"/>
      <w:r>
        <w:t xml:space="preserve">, and training runs prevent direct equality claims across benchmarks. Table 6.2 reports the internal </w:t>
      </w:r>
      <w:proofErr w:type="gramStart"/>
      <w:r>
        <w:t>frozen-test</w:t>
      </w:r>
      <w:proofErr w:type="gramEnd"/>
      <w:r>
        <w:t xml:space="preserve"> result, and Table 6.3 reports the separately trained </w:t>
      </w:r>
      <w:proofErr w:type="spellStart"/>
      <w:r>
        <w:t>MaintIE</w:t>
      </w:r>
      <w:proofErr w:type="spellEnd"/>
      <w:r>
        <w:t xml:space="preserve"> comparison.</w:t>
      </w:r>
    </w:p>
    <w:p>
      <w:pPr/>
      <w:r>
        <w:t>The benchmark freeze also isolates the extraction formulation itself. Holding the encoder fixed and replacing BIO tagging with span-based extraction raises entity micro-F1 for both neural architectures, and raises recall on the thirty-nine nested gold entities far more sharply. Under BIO tagging an entity nested inside another cannot be represented at all, which caps entity recall at a theoretical 0.9424 and relation recall at 0.9145 on this benchmark; SpERT reaches 0.9222 and 0.7735 respectively. Table 6.4 reports the ablation and explains why the span-based model leads the comparison rather than simply scoring higher.</w:t>
      </w:r>
    </w:p>
    <w:p w14:paraId="375C950B" w14:textId="77777777" w:rsidR="00110685" w:rsidRDefault="00110685" w:rsidP="00110685">
      <w:r>
        <w:t>Earlier pipeline-specific artifacts contain memorization, OOV, context, seed, and train-test diagnostics. They are retained as development history but are not combined numerically with the canonical four-model results because the reporting pipelines and final model snapshots differ.</w:t>
      </w:r>
    </w:p>
    <w:p w14:paraId="75CEAACC" w14:textId="77777777" w:rsidR="00110685" w:rsidRDefault="00110685" w:rsidP="004B1887">
      <w:pPr>
        <w:pStyle w:val="Heading2"/>
        <w:numPr>
          <w:ilvl w:val="0"/>
          <w:numId w:val="0"/>
        </w:numPr>
      </w:pPr>
      <w:r>
        <w:t>6.9 Learning-curve analysis</w:t>
      </w:r>
    </w:p>
    <w:p w14:paraId="147B5237" w14:textId="77777777" w:rsidR="00110685" w:rsidRDefault="00110685" w:rsidP="00110685">
      <w:r>
        <w:t>Historical annotation-acquisition diagnostic. Its endpoints are not the canonical four-model scores in Table 6.2.</w:t>
      </w:r>
    </w:p>
    <w:p w14:paraId="5A0DD66E" w14:textId="77777777" w:rsidR="00110685" w:rsidRDefault="00110685" w:rsidP="00110685">
      <w:r>
        <w:t xml:space="preserve">The acquisition-stage learning curves show that adding labelled records did not yield monotonic improvements at every stage. They describe the annotation and model-development process rather than the final RQ3 ranking, which is taken from the common four-model test in Table 6.2. The archived </w:t>
      </w:r>
      <w:r>
        <w:lastRenderedPageBreak/>
        <w:t>diagnostics do not supply a comparable multi-stage trajectory for all four final models, so no learning-curve claim is drawn.</w:t>
      </w:r>
    </w:p>
    <w:p w14:paraId="5FE81A9E" w14:textId="77777777" w:rsidR="00110685" w:rsidRDefault="00110685" w:rsidP="00110685">
      <w:r>
        <w:t>The neural curves also show that entity and relation components learned at different rates and that relation results varied more. Their purpose is diagnostic: they support fixed-test monitoring and class-aware acquisition but do not replace the canonical final scores.</w:t>
      </w:r>
    </w:p>
    <w:p w14:paraId="66520560" w14:textId="77777777" w:rsidR="00110685" w:rsidRDefault="00110685" w:rsidP="004B1887">
      <w:pPr>
        <w:pStyle w:val="Heading2"/>
        <w:numPr>
          <w:ilvl w:val="0"/>
          <w:numId w:val="0"/>
        </w:numPr>
      </w:pPr>
      <w:r>
        <w:t xml:space="preserve">6.10 Operational </w:t>
      </w:r>
      <w:proofErr w:type="spellStart"/>
      <w:r>
        <w:t>SpERT</w:t>
      </w:r>
      <w:proofErr w:type="spellEnd"/>
      <w:r>
        <w:t xml:space="preserve"> layer</w:t>
      </w:r>
    </w:p>
    <w:p w14:paraId="73A515E1" w14:textId="77777777" w:rsidR="00110685" w:rsidRDefault="00110685" w:rsidP="00110685">
      <w:proofErr w:type="spellStart"/>
      <w:r>
        <w:t>SpERT</w:t>
      </w:r>
      <w:proofErr w:type="spellEnd"/>
      <w:r>
        <w:t xml:space="preserve"> serves two roles. It is one of the four architectures scored on the 225-record gold test, and its operational configuration produces predictions for all 6,169 records. The first role provides comparative evidence; the second creates a silver corpus whose individual predictions remain unverified.</w:t>
      </w:r>
    </w:p>
    <w:p w14:paraId="1F45490F" w14:textId="77777777" w:rsidR="00110685" w:rsidRDefault="00110685" w:rsidP="00110685">
      <w:r>
        <w:t xml:space="preserve">On the internal test, </w:t>
      </w:r>
      <w:proofErr w:type="spellStart"/>
      <w:r>
        <w:t>SpERT</w:t>
      </w:r>
      <w:proofErr w:type="spellEnd"/>
      <w:r>
        <w:t xml:space="preserve"> achieved entity micro-F1 0.9520 and relation micro-F1 0.8537. The representation-matched experiment then trained and evaluated </w:t>
      </w:r>
      <w:proofErr w:type="spellStart"/>
      <w:r>
        <w:t>SpERT</w:t>
      </w:r>
      <w:proofErr w:type="spellEnd"/>
      <w:r>
        <w:t xml:space="preserve"> under five input representations. These artifacts close the earlier comparative-scoring gap but do not convert the operational graph into gold data.</w:t>
      </w:r>
    </w:p>
    <w:p w14:paraId="401082B7" w14:textId="77777777" w:rsidR="00110685" w:rsidRDefault="00110685" w:rsidP="004B1887">
      <w:pPr>
        <w:pStyle w:val="Heading2"/>
        <w:numPr>
          <w:ilvl w:val="0"/>
          <w:numId w:val="0"/>
        </w:numPr>
      </w:pPr>
      <w:r>
        <w:t>6.11 IE findings</w:t>
      </w:r>
    </w:p>
    <w:p w14:paraId="54737E25" w14:textId="77777777" w:rsidR="00110685" w:rsidRDefault="00110685" w:rsidP="00110685">
      <w:r>
        <w:t xml:space="preserve">Three findings answer RQ3. All four architectures performed strongly on entity extraction, with </w:t>
      </w:r>
      <w:proofErr w:type="spellStart"/>
      <w:r>
        <w:t>SpERT</w:t>
      </w:r>
      <w:proofErr w:type="spellEnd"/>
      <w:r>
        <w:t xml:space="preserve"> producing the highest point estimate. Relation extraction separated the models more clearly: </w:t>
      </w:r>
      <w:proofErr w:type="spellStart"/>
      <w:r>
        <w:t>SpERT</w:t>
      </w:r>
      <w:proofErr w:type="spellEnd"/>
      <w:r>
        <w:t xml:space="preserve"> and </w:t>
      </w:r>
      <w:proofErr w:type="spellStart"/>
      <w:r>
        <w:t>DistilBERT</w:t>
      </w:r>
      <w:proofErr w:type="spellEnd"/>
      <w:r>
        <w:t xml:space="preserve"> led, while the </w:t>
      </w:r>
      <w:proofErr w:type="spellStart"/>
      <w:r>
        <w:t>BiLSTM</w:t>
      </w:r>
      <w:proofErr w:type="spellEnd"/>
      <w:r>
        <w:t xml:space="preserve"> relation classifier was substantially weaker. The same broad ordering appeared in </w:t>
      </w:r>
      <w:proofErr w:type="spellStart"/>
      <w:r>
        <w:t>MaintIE</w:t>
      </w:r>
      <w:proofErr w:type="spellEnd"/>
      <w:r>
        <w:t>, although rare labels and benchmark-specific training limit the scope of generalization.</w:t>
      </w:r>
    </w:p>
    <w:p w14:paraId="6DBB3F35" w14:textId="77777777" w:rsidR="004B1887" w:rsidRDefault="00110685" w:rsidP="00110685">
      <w:r>
        <w:t xml:space="preserve">The matched normalization experiment adds a cross-stage result. No normalized representation improved </w:t>
      </w:r>
      <w:proofErr w:type="spellStart"/>
      <w:r>
        <w:t>SpERT</w:t>
      </w:r>
      <w:proofErr w:type="spellEnd"/>
      <w:r>
        <w:t xml:space="preserve"> entity or relation micro-F1 over raw text, although Selective ByT5 increased relation macro-F1 by 0.0270. The result confirms that reference-level normalization gains cannot be assumed to improve downstream extraction.</w:t>
      </w:r>
    </w:p>
    <w:sectPr w:rsidR="00E134AF" w:rsidRPr="00B011E7">
      <w:headerReference w:type="default" r:id="rId44"/>
      <w:footerReference w:type="default" r:id="rId45"/>
      <w:pgSz w:w="11906" w:h="16838"/>
      <w:pgMar w:top="1417" w:right="1134" w:bottom="1417" w:left="1701" w:header="708" w:footer="708"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FB713" w14:textId="77777777" w:rsidR="00072B44" w:rsidRDefault="00072B44">
      <w:pPr>
        <w:spacing w:after="0" w:line="240" w:lineRule="auto"/>
      </w:pPr>
      <w:r>
        <w:separator/>
      </w:r>
    </w:p>
  </w:endnote>
  <w:endnote w:type="continuationSeparator" w:id="0">
    <w:p w14:paraId="42C5CC28" w14:textId="77777777" w:rsidR="00072B44" w:rsidRDefault="00072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7782" w14:textId="77777777" w:rsidR="00E134AF" w:rsidRDefault="00000000">
    <w:pPr>
      <w:jc w:val="center"/>
    </w:pP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i</w:t>
    </w:r>
    <w:r>
      <w:rPr>
        <w:color w:val="6B6B6B"/>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778B" w14:textId="77777777" w:rsidR="00E134AF" w:rsidRDefault="00E134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1061" w14:textId="77777777" w:rsidR="00E134AF" w:rsidRDefault="00000000">
    <w:pPr>
      <w:jc w:val="center"/>
    </w:pPr>
    <w:r>
      <w:rPr>
        <w:color w:val="6B6B6B"/>
        <w:szCs w:val="22"/>
      </w:rPr>
      <w:t xml:space="preserve">Page </w:t>
    </w: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1</w:t>
    </w:r>
    <w:r>
      <w:rPr>
        <w:color w:val="6B6B6B"/>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F3B13" w14:textId="77777777" w:rsidR="00072B44" w:rsidRDefault="00072B44">
      <w:pPr>
        <w:spacing w:after="0" w:line="240" w:lineRule="auto"/>
      </w:pPr>
      <w:r>
        <w:separator/>
      </w:r>
    </w:p>
  </w:footnote>
  <w:footnote w:type="continuationSeparator" w:id="0">
    <w:p w14:paraId="47192EC0" w14:textId="77777777" w:rsidR="00072B44" w:rsidRDefault="00072B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BEA8D" w14:textId="77777777" w:rsidR="00E134AF" w:rsidRDefault="00E134A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E8D1" w14:textId="77777777" w:rsidR="00E134AF" w:rsidRDefault="00E134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0D4B" w14:textId="77777777" w:rsidR="00E134AF" w:rsidRDefault="00000000">
    <w:pPr>
      <w:pBdr>
        <w:bottom w:val="single" w:sz="4" w:space="4" w:color="BFBFBF"/>
      </w:pBdr>
      <w:jc w:val="right"/>
    </w:pPr>
    <w:r>
      <w:rPr>
        <w:color w:val="6B6B6B"/>
        <w:sz w:val="19"/>
        <w:szCs w:val="19"/>
      </w:rPr>
      <w:t>Master's Thesis · R. Virani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7A6"/>
    <w:multiLevelType w:val="hybridMultilevel"/>
    <w:tmpl w:val="F6F6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D549E"/>
    <w:multiLevelType w:val="hybridMultilevel"/>
    <w:tmpl w:val="DCB21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0C7307"/>
    <w:multiLevelType w:val="hybridMultilevel"/>
    <w:tmpl w:val="2F70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9179E"/>
    <w:multiLevelType w:val="multilevel"/>
    <w:tmpl w:val="20F4AD36"/>
    <w:lvl w:ilvl="0">
      <w:start w:val="1"/>
      <w:numFmt w:val="decimal"/>
      <w:pStyle w:val="Heading1"/>
      <w:lvlText w:val="%1"/>
      <w:lvlJc w:val="left"/>
      <w:pPr>
        <w:ind w:left="0" w:hanging="454"/>
      </w:pPr>
      <w:rPr>
        <w:rFonts w:ascii="Times New Roman" w:eastAsia="Times New Roman" w:hAnsi="Times New Roman" w:cs="Times New Roman"/>
      </w:rPr>
    </w:lvl>
    <w:lvl w:ilvl="1">
      <w:start w:val="1"/>
      <w:numFmt w:val="decimal"/>
      <w:pStyle w:val="Heading2"/>
      <w:lvlText w:val="%1.%2"/>
      <w:lvlJc w:val="left"/>
      <w:pPr>
        <w:ind w:left="0" w:hanging="567"/>
      </w:pPr>
      <w:rPr>
        <w:rFonts w:ascii="Times New Roman" w:eastAsia="Times New Roman" w:hAnsi="Times New Roman" w:cs="Times New Roman"/>
      </w:rPr>
    </w:lvl>
    <w:lvl w:ilvl="2">
      <w:start w:val="1"/>
      <w:numFmt w:val="decimal"/>
      <w:pStyle w:val="Heading3"/>
      <w:lvlText w:val="%1.%2.%3"/>
      <w:lvlJc w:val="left"/>
      <w:pPr>
        <w:ind w:left="0" w:hanging="680"/>
      </w:pPr>
      <w:rPr>
        <w:rFonts w:ascii="Times New Roman" w:eastAsia="Times New Roman" w:hAnsi="Times New Roman" w:cs="Times New Roma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6500AFC"/>
    <w:multiLevelType w:val="hybridMultilevel"/>
    <w:tmpl w:val="4438A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941AD8"/>
    <w:multiLevelType w:val="hybridMultilevel"/>
    <w:tmpl w:val="BF2A33B6"/>
    <w:lvl w:ilvl="0" w:tplc="377AD4B8">
      <w:start w:val="1"/>
      <w:numFmt w:val="bullet"/>
      <w:lvlText w:val="●"/>
      <w:lvlJc w:val="left"/>
      <w:pPr>
        <w:ind w:left="720" w:hanging="360"/>
      </w:pPr>
    </w:lvl>
    <w:lvl w:ilvl="1" w:tplc="40205804">
      <w:start w:val="1"/>
      <w:numFmt w:val="bullet"/>
      <w:lvlText w:val="○"/>
      <w:lvlJc w:val="left"/>
      <w:pPr>
        <w:ind w:left="1440" w:hanging="360"/>
      </w:pPr>
    </w:lvl>
    <w:lvl w:ilvl="2" w:tplc="F8741000">
      <w:start w:val="1"/>
      <w:numFmt w:val="bullet"/>
      <w:lvlText w:val="■"/>
      <w:lvlJc w:val="left"/>
      <w:pPr>
        <w:ind w:left="2160" w:hanging="360"/>
      </w:pPr>
    </w:lvl>
    <w:lvl w:ilvl="3" w:tplc="0C2A133A">
      <w:start w:val="1"/>
      <w:numFmt w:val="bullet"/>
      <w:lvlText w:val="●"/>
      <w:lvlJc w:val="left"/>
      <w:pPr>
        <w:ind w:left="2880" w:hanging="360"/>
      </w:pPr>
    </w:lvl>
    <w:lvl w:ilvl="4" w:tplc="E38C0956">
      <w:start w:val="1"/>
      <w:numFmt w:val="bullet"/>
      <w:lvlText w:val="○"/>
      <w:lvlJc w:val="left"/>
      <w:pPr>
        <w:ind w:left="3600" w:hanging="360"/>
      </w:pPr>
    </w:lvl>
    <w:lvl w:ilvl="5" w:tplc="65F28BCE">
      <w:start w:val="1"/>
      <w:numFmt w:val="bullet"/>
      <w:lvlText w:val="■"/>
      <w:lvlJc w:val="left"/>
      <w:pPr>
        <w:ind w:left="4320" w:hanging="360"/>
      </w:pPr>
    </w:lvl>
    <w:lvl w:ilvl="6" w:tplc="0A3C0D30">
      <w:start w:val="1"/>
      <w:numFmt w:val="bullet"/>
      <w:lvlText w:val="●"/>
      <w:lvlJc w:val="left"/>
      <w:pPr>
        <w:ind w:left="5040" w:hanging="360"/>
      </w:pPr>
    </w:lvl>
    <w:lvl w:ilvl="7" w:tplc="4E6A9BA2">
      <w:start w:val="1"/>
      <w:numFmt w:val="bullet"/>
      <w:lvlText w:val="●"/>
      <w:lvlJc w:val="left"/>
      <w:pPr>
        <w:ind w:left="5760" w:hanging="360"/>
      </w:pPr>
    </w:lvl>
    <w:lvl w:ilvl="8" w:tplc="4348888A">
      <w:start w:val="1"/>
      <w:numFmt w:val="bullet"/>
      <w:lvlText w:val="●"/>
      <w:lvlJc w:val="left"/>
      <w:pPr>
        <w:ind w:left="6480" w:hanging="360"/>
      </w:pPr>
    </w:lvl>
  </w:abstractNum>
  <w:abstractNum w:abstractNumId="6" w15:restartNumberingAfterBreak="0">
    <w:nsid w:val="71DB3B51"/>
    <w:multiLevelType w:val="hybridMultilevel"/>
    <w:tmpl w:val="957EA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493638">
    <w:abstractNumId w:val="5"/>
    <w:lvlOverride w:ilvl="0">
      <w:startOverride w:val="1"/>
    </w:lvlOverride>
  </w:num>
  <w:num w:numId="2" w16cid:durableId="1170944807">
    <w:abstractNumId w:val="3"/>
    <w:lvlOverride w:ilvl="0">
      <w:startOverride w:val="1"/>
    </w:lvlOverride>
  </w:num>
  <w:num w:numId="3" w16cid:durableId="1999840264">
    <w:abstractNumId w:val="0"/>
  </w:num>
  <w:num w:numId="4" w16cid:durableId="1851945286">
    <w:abstractNumId w:val="3"/>
    <w:lvlOverride w:ilvl="0">
      <w:startOverride w:val="1"/>
    </w:lvlOverride>
  </w:num>
  <w:num w:numId="5" w16cid:durableId="1224634485">
    <w:abstractNumId w:val="3"/>
    <w:lvlOverride w:ilvl="0">
      <w:startOverride w:val="1"/>
    </w:lvlOverride>
  </w:num>
  <w:num w:numId="6" w16cid:durableId="983198320">
    <w:abstractNumId w:val="1"/>
  </w:num>
  <w:num w:numId="7" w16cid:durableId="1832214852">
    <w:abstractNumId w:val="2"/>
  </w:num>
  <w:num w:numId="8" w16cid:durableId="1259095907">
    <w:abstractNumId w:val="6"/>
  </w:num>
  <w:num w:numId="9" w16cid:durableId="1541438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AF"/>
    <w:rsid w:val="000168AD"/>
    <w:rsid w:val="0002659B"/>
    <w:rsid w:val="000728EC"/>
    <w:rsid w:val="00072B44"/>
    <w:rsid w:val="00083C33"/>
    <w:rsid w:val="00096D44"/>
    <w:rsid w:val="000A2817"/>
    <w:rsid w:val="000E079C"/>
    <w:rsid w:val="00110685"/>
    <w:rsid w:val="00127086"/>
    <w:rsid w:val="00145F4D"/>
    <w:rsid w:val="00155F54"/>
    <w:rsid w:val="00195A8E"/>
    <w:rsid w:val="001D70C5"/>
    <w:rsid w:val="001F28C3"/>
    <w:rsid w:val="001F5F07"/>
    <w:rsid w:val="00205177"/>
    <w:rsid w:val="00282009"/>
    <w:rsid w:val="002933AC"/>
    <w:rsid w:val="00296AEF"/>
    <w:rsid w:val="002D2CF0"/>
    <w:rsid w:val="003040D4"/>
    <w:rsid w:val="00340E8C"/>
    <w:rsid w:val="00364DBD"/>
    <w:rsid w:val="003A177B"/>
    <w:rsid w:val="003D5DAE"/>
    <w:rsid w:val="003E7747"/>
    <w:rsid w:val="00413D03"/>
    <w:rsid w:val="00435A3B"/>
    <w:rsid w:val="004B1887"/>
    <w:rsid w:val="004D1BBD"/>
    <w:rsid w:val="00504A78"/>
    <w:rsid w:val="005A41D4"/>
    <w:rsid w:val="005C3149"/>
    <w:rsid w:val="005F6453"/>
    <w:rsid w:val="00624F4A"/>
    <w:rsid w:val="00641475"/>
    <w:rsid w:val="00663FBD"/>
    <w:rsid w:val="006E69C6"/>
    <w:rsid w:val="006F1A46"/>
    <w:rsid w:val="00713DE5"/>
    <w:rsid w:val="007440D1"/>
    <w:rsid w:val="0078692E"/>
    <w:rsid w:val="007B55D7"/>
    <w:rsid w:val="007E223F"/>
    <w:rsid w:val="00802F00"/>
    <w:rsid w:val="00810279"/>
    <w:rsid w:val="00814A2A"/>
    <w:rsid w:val="0085312B"/>
    <w:rsid w:val="00876CB6"/>
    <w:rsid w:val="008B6F7B"/>
    <w:rsid w:val="008F1684"/>
    <w:rsid w:val="009258C3"/>
    <w:rsid w:val="009655E7"/>
    <w:rsid w:val="009B7223"/>
    <w:rsid w:val="009E67A4"/>
    <w:rsid w:val="00A55BEA"/>
    <w:rsid w:val="00AA5EF1"/>
    <w:rsid w:val="00AD13B8"/>
    <w:rsid w:val="00AE6A55"/>
    <w:rsid w:val="00B011E7"/>
    <w:rsid w:val="00B0207B"/>
    <w:rsid w:val="00B20D1C"/>
    <w:rsid w:val="00B83DED"/>
    <w:rsid w:val="00BB5A16"/>
    <w:rsid w:val="00BB6429"/>
    <w:rsid w:val="00BC35BA"/>
    <w:rsid w:val="00BE52C3"/>
    <w:rsid w:val="00C665B6"/>
    <w:rsid w:val="00C7774B"/>
    <w:rsid w:val="00C865A8"/>
    <w:rsid w:val="00C90103"/>
    <w:rsid w:val="00CB7CA4"/>
    <w:rsid w:val="00CC6B9A"/>
    <w:rsid w:val="00CD7B11"/>
    <w:rsid w:val="00D14D1C"/>
    <w:rsid w:val="00D41364"/>
    <w:rsid w:val="00D660A6"/>
    <w:rsid w:val="00D67EC4"/>
    <w:rsid w:val="00D93427"/>
    <w:rsid w:val="00E134AF"/>
    <w:rsid w:val="00E3130E"/>
    <w:rsid w:val="00E62A26"/>
    <w:rsid w:val="00E94C06"/>
    <w:rsid w:val="00EA07FF"/>
    <w:rsid w:val="00EB35CB"/>
    <w:rsid w:val="00EE377C"/>
    <w:rsid w:val="00EE4597"/>
    <w:rsid w:val="00F60AF2"/>
    <w:rsid w:val="00F62B5B"/>
    <w:rsid w:val="00F67800"/>
    <w:rsid w:val="00F924BD"/>
    <w:rsid w:val="00F9653C"/>
    <w:rsid w:val="00F96E92"/>
    <w:rsid w:val="00FC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D12BC"/>
  <w15:docId w15:val="{45925D76-2ECE-43CE-9B54-F7CA919D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817"/>
    <w:rPr>
      <w:rFonts w:ascii="Calibri" w:hAnsi="Calibri"/>
      <w:sz w:val="22"/>
    </w:rPr>
  </w:style>
  <w:style w:type="paragraph" w:styleId="Heading1">
    <w:name w:val="heading 1"/>
    <w:uiPriority w:val="9"/>
    <w:qFormat/>
    <w:rsid w:val="000728EC"/>
    <w:pPr>
      <w:keepNext/>
      <w:numPr>
        <w:numId w:val="2"/>
      </w:numPr>
      <w:spacing w:before="320" w:after="140"/>
      <w:jc w:val="left"/>
      <w:outlineLvl w:val="0"/>
    </w:pPr>
    <w:rPr>
      <w:rFonts w:ascii="Calibri" w:hAnsi="Calibri"/>
      <w:b/>
      <w:bCs/>
      <w:color w:val="123A5E"/>
      <w:sz w:val="28"/>
      <w:szCs w:val="28"/>
    </w:rPr>
  </w:style>
  <w:style w:type="paragraph" w:styleId="Heading2">
    <w:name w:val="heading 2"/>
    <w:uiPriority w:val="9"/>
    <w:unhideWhenUsed/>
    <w:qFormat/>
    <w:rsid w:val="000728EC"/>
    <w:pPr>
      <w:keepNext/>
      <w:numPr>
        <w:ilvl w:val="1"/>
        <w:numId w:val="2"/>
      </w:numPr>
      <w:spacing w:before="220" w:after="100"/>
      <w:jc w:val="left"/>
      <w:outlineLvl w:val="1"/>
    </w:pPr>
    <w:rPr>
      <w:rFonts w:ascii="Calibri" w:hAnsi="Calibri"/>
      <w:b/>
      <w:bCs/>
      <w:sz w:val="26"/>
      <w:szCs w:val="26"/>
    </w:rPr>
  </w:style>
  <w:style w:type="paragraph" w:styleId="Heading3">
    <w:name w:val="heading 3"/>
    <w:uiPriority w:val="9"/>
    <w:unhideWhenUsed/>
    <w:qFormat/>
    <w:rsid w:val="000728EC"/>
    <w:pPr>
      <w:keepNext/>
      <w:numPr>
        <w:ilvl w:val="2"/>
        <w:numId w:val="2"/>
      </w:numPr>
      <w:spacing w:before="180" w:after="80"/>
      <w:jc w:val="left"/>
      <w:outlineLvl w:val="2"/>
    </w:pPr>
    <w:rPr>
      <w:rFonts w:ascii="Calibri" w:hAnsi="Calibri"/>
      <w:b/>
      <w:bCs/>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0728EC"/>
    <w:rPr>
      <w:rFonts w:ascii="Calibri" w:hAnsi="Calibri"/>
      <w:sz w:val="56"/>
      <w:szCs w:val="56"/>
    </w:rPr>
  </w:style>
  <w:style w:type="paragraph" w:customStyle="1" w:styleId="Strong1">
    <w:name w:val="Strong1"/>
    <w:qFormat/>
    <w:rsid w:val="000728EC"/>
    <w:rPr>
      <w:rFonts w:ascii="Calibri" w:hAnsi="Calibri"/>
      <w:b/>
      <w:bCs/>
    </w:rPr>
  </w:style>
  <w:style w:type="paragraph" w:styleId="ListParagraph">
    <w:name w:val="List Paragraph"/>
    <w:qFormat/>
    <w:rsid w:val="000728EC"/>
    <w:rPr>
      <w:rFonts w:ascii="Calibri" w:hAnsi="Calibri"/>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177B"/>
    <w:pPr>
      <w:spacing w:after="100"/>
    </w:pPr>
  </w:style>
  <w:style w:type="paragraph" w:styleId="TOC2">
    <w:name w:val="toc 2"/>
    <w:basedOn w:val="Normal"/>
    <w:next w:val="Normal"/>
    <w:autoRedefine/>
    <w:uiPriority w:val="39"/>
    <w:unhideWhenUsed/>
    <w:rsid w:val="003A177B"/>
    <w:pPr>
      <w:spacing w:after="100"/>
      <w:ind w:left="240"/>
    </w:pPr>
  </w:style>
  <w:style w:type="table" w:styleId="TableGrid">
    <w:name w:val="Table Grid"/>
    <w:basedOn w:val="TableNormal"/>
    <w:uiPriority w:val="39"/>
    <w:rsid w:val="005C3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95A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95A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728EC"/>
    <w:pPr>
      <w:spacing w:after="0" w:line="240" w:lineRule="auto"/>
    </w:pPr>
    <w:rPr>
      <w:rFonts w:ascii="Calibri" w:hAnsi="Calibri"/>
    </w:rPr>
  </w:style>
  <w:style w:type="paragraph" w:styleId="Subtitle">
    <w:name w:val="Subtitle"/>
    <w:basedOn w:val="Normal"/>
    <w:next w:val="Normal"/>
    <w:link w:val="SubtitleChar"/>
    <w:uiPriority w:val="11"/>
    <w:qFormat/>
    <w:rsid w:val="000728EC"/>
    <w:pPr>
      <w:numPr>
        <w:ilvl w:val="1"/>
      </w:numPr>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0728EC"/>
    <w:rPr>
      <w:rFonts w:ascii="Calibri" w:eastAsiaTheme="minorEastAsia" w:hAnsi="Calibri" w:cstheme="minorBidi"/>
      <w:color w:val="5A5A5A" w:themeColor="text1" w:themeTint="A5"/>
      <w:spacing w:val="15"/>
      <w:sz w:val="22"/>
      <w:szCs w:val="22"/>
    </w:rPr>
  </w:style>
  <w:style w:type="character" w:styleId="Emphasis">
    <w:name w:val="Emphasis"/>
    <w:basedOn w:val="DefaultParagraphFont"/>
    <w:uiPriority w:val="20"/>
    <w:qFormat/>
    <w:rsid w:val="00B20D1C"/>
    <w:rPr>
      <w:rFonts w:asciiTheme="minorHAnsi" w:hAnsiTheme="minorHAnsi"/>
      <w:i/>
      <w:iCs/>
      <w:color w:val="747474" w:themeColor="background2" w:themeShade="80"/>
      <w:sz w:val="22"/>
    </w:rPr>
  </w:style>
  <w:style w:type="character" w:styleId="PlaceholderText">
    <w:name w:val="Placeholder Text"/>
    <w:basedOn w:val="DefaultParagraphFont"/>
    <w:uiPriority w:val="99"/>
    <w:semiHidden/>
    <w:rsid w:val="00435A3B"/>
    <w:rPr>
      <w:color w:val="666666"/>
    </w:rPr>
  </w:style>
  <w:style w:type="character" w:styleId="SubtleEmphasis">
    <w:name w:val="Subtle Emphasis"/>
    <w:basedOn w:val="DefaultParagraphFont"/>
    <w:uiPriority w:val="19"/>
    <w:qFormat/>
    <w:rsid w:val="00810279"/>
    <w:rPr>
      <w:i/>
      <w:iCs/>
      <w:color w:val="404040" w:themeColor="text1" w:themeTint="BF"/>
    </w:rPr>
  </w:style>
  <w:style w:type="paragraph" w:styleId="NormalWeb">
    <w:name w:val="Normal (Web)"/>
    <w:basedOn w:val="Normal"/>
    <w:uiPriority w:val="99"/>
    <w:semiHidden/>
    <w:unhideWhenUsed/>
    <w:rsid w:val="00713DE5"/>
    <w:rPr>
      <w:rFonts w:ascii="Times New Roman" w:hAnsi="Times New Roman"/>
    </w:rPr>
  </w:style>
  <w:style w:type="paragraph" w:customStyle="1" w:styleId="FigureCaption">
    <w:name w:val="Figure Caption"/>
    <w:basedOn w:val="Normal"/>
    <w:qFormat/>
    <w:pPr>
      <w:spacing w:before="80" w:after="240" w:line="240" w:lineRule="auto"/>
    </w:pPr>
    <w:rPr>
      <w:b/>
      <w:sz w:val="18"/>
      <w:szCs w:val="18"/>
    </w:rPr>
  </w:style>
  <w:style w:type="paragraph" w:customStyle="1" w:styleId="TableCaption">
    <w:name w:val="Table Caption"/>
    <w:basedOn w:val="Normal"/>
    <w:qFormat/>
    <w:pPr>
      <w:keepNext/>
      <w:spacing w:before="200" w:after="80" w:line="240" w:lineRule="auto"/>
    </w:pPr>
    <w:rPr>
      <w:b/>
      <w:sz w:val="18"/>
      <w:szCs w:val="18"/>
    </w:rPr>
  </w:style>
  <w:style w:type="paragraph" w:customStyle="1" w:styleId="FigureNote">
    <w:name w:val="Figure Note"/>
    <w:basedOn w:val="Normal"/>
    <w:qFormat/>
    <w:pPr>
      <w:spacing w:before="40" w:after="200" w:line="240" w:lineRule="auto"/>
    </w:pP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45"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2.xml"/><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8" Type="http://schemas.openxmlformats.org/officeDocument/2006/relationships/header" Target="header1.xml"/><Relationship Id="rId3" Type="http://schemas.openxmlformats.org/officeDocument/2006/relationships/styles" Target="styles.xml"/><Relationship Id="rId4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E9DD4-482A-49B8-B5E6-B6D87372D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101</Pages>
  <Words>27940</Words>
  <Characters>174067</Characters>
  <Application>Microsoft Office Word</Application>
  <DocSecurity>0</DocSecurity>
  <Lines>3552</Lines>
  <Paragraphs>2040</Paragraphs>
  <ScaleCrop>false</ScaleCrop>
  <HeadingPairs>
    <vt:vector size="2" baseType="variant">
      <vt:variant>
        <vt:lpstr>Title</vt:lpstr>
      </vt:variant>
      <vt:variant>
        <vt:i4>1</vt:i4>
      </vt:variant>
    </vt:vector>
  </HeadingPairs>
  <TitlesOfParts>
    <vt:vector size="1" baseType="lpstr">
      <vt:lpstr>Master's Thesis — AviMaint-DSS</vt:lpstr>
    </vt:vector>
  </TitlesOfParts>
  <Company/>
  <LinksUpToDate>false</LinksUpToDate>
  <CharactersWithSpaces>199967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Thesis — AviMaint-DSS</dc:title>
  <dc:creator>Ravi Virani</dc:creator>
  <cp:lastModifiedBy>Ravi Virani</cp:lastModifiedBy>
  <cp:revision>2</cp:revision>
  <cp:lastPrinted>2026-09-06T12:59:00Z</cp:lastPrinted>
  <dcterms:created xsi:type="dcterms:W3CDTF">2026-09-13T20:14:00Z</dcterms:created>
  <dcterms:modified xsi:type="dcterms:W3CDTF">2026-09-13T20:14:00Z</dcterms:modified>
</cp:coreProperties>
</file>