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8A9F2" w14:textId="77777777" w:rsidR="00110685" w:rsidRDefault="00110685" w:rsidP="004B1887">
      <w:pPr>
        <w:pStyle w:val="Heading1"/>
        <w:numPr>
          <w:ilvl w:val="0"/>
          <w:numId w:val="0"/>
        </w:numPr>
      </w:pPr>
      <w:r>
        <w:t>7 Silver Knowledge Graph and Historical Case Library</w:t>
      </w:r>
    </w:p>
    <w:p w14:paraId="34AC64C8" w14:textId="77777777" w:rsidR="00110685" w:rsidRDefault="00110685" w:rsidP="004B1887">
      <w:pPr>
        <w:pStyle w:val="Heading2"/>
        <w:numPr>
          <w:ilvl w:val="0"/>
          <w:numId w:val="0"/>
        </w:numPr>
      </w:pPr>
      <w:r>
        <w:t>7.1 From extraction output to cases</w:t>
      </w:r>
    </w:p>
    <w:p w14:paraId="54A32B84" w14:textId="77777777" w:rsidR="00110685" w:rsidRDefault="00110685" w:rsidP="00110685">
      <w:r>
        <w:t xml:space="preserve">The operational </w:t>
      </w:r>
      <w:proofErr w:type="spellStart"/>
      <w:r>
        <w:t>SpERT</w:t>
      </w:r>
      <w:proofErr w:type="spellEnd"/>
      <w:r>
        <w:t xml:space="preserve"> model is applied to all 6,169 normalized records. Each prediction preserves the source identifier, original or display text, tokens, entity spans, entity types, relation endpoints, and confidence values. Conversion code validates that relation endpoints exist, that types belong to the nine-entity inventory, and that source–target signatures are compatible with the eleven-relation schema. Invalid or unknown structure can be retained for audit but is excluded from structured scoring.</w:t>
      </w:r>
    </w:p>
    <w:p w14:paraId="12C93F26" w14:textId="77777777" w:rsidR="00110685" w:rsidRDefault="00110685" w:rsidP="00110685">
      <w:r>
        <w:t>The conversion produces two related views. The knowledge graph aggregates normalized entity strings as nodes and typed directed relations as edges. The case library preserves record boundaries and keeps the complete problem and action sides together. The graph supports dashboard inspection and an exploratory structured channel, neither of which enters the locked canonical-BM25 ranking; the case is the unit of provenance and recommendation rendering. A graph edge can summarize repeated observations, but a displayed action always points back to one source case.</w:t>
      </w:r>
    </w:p>
    <w:p w14:paraId="4D884043" w14:textId="77777777" w:rsidR="00110685" w:rsidRDefault="00110685" w:rsidP="004B1887">
      <w:pPr>
        <w:pStyle w:val="Heading2"/>
        <w:numPr>
          <w:ilvl w:val="0"/>
          <w:numId w:val="0"/>
        </w:numPr>
      </w:pPr>
      <w:r>
        <w:t>7.2 Knowledge-graph construction</w:t>
      </w:r>
    </w:p>
    <w:p w14:paraId="7F1631AA" w14:textId="77777777" w:rsidR="00110685" w:rsidRDefault="00110685" w:rsidP="00110685">
      <w:r>
        <w:t>Entity surface strings are normalized within type before aggregation. The final exported graph contains 3,197 typed nodes and 9,331 aggregated edges derived from 45,771 predicted entity mentions and 41,469 relation record-support instances. These counts describe the final silver artifact and are not interchangeable with raw extraction-mention totals; the 43,149 relation mentions the model emitted before graph aggregation reduce to 41,469 record-support associations. Table 7.1 reports the final silver graph counts and their evidence status. Figure 7.1 shows one complete work order as a case and as a silver subgraph.</w:t>
      </w:r>
    </w:p>
    <w:p w14:paraId="697804BC" w14:textId="77777777" w:rsidR="00110685" w:rsidRDefault="00110685" w:rsidP="00110685">
      <w:r>
        <w:t xml:space="preserve">The graph is not an ontology of approved maintenance knowledge. It records what the model extracted from historical text. High-frequency nodes such as engine, cylinder, intake gasket, gasket, and rocker-cover gasket reflect the source corpus and extraction </w:t>
      </w:r>
      <w:proofErr w:type="spellStart"/>
      <w:r>
        <w:t>behaviour</w:t>
      </w:r>
      <w:proofErr w:type="spellEnd"/>
      <w:r>
        <w:t>. Edge frequency represents recorded and extracted co-occurrence or binding, not causal strength, failure probability, or procedure effectiveness.</w:t>
      </w:r>
    </w:p>
    <w:p w14:paraId="3C5A9C74" w14:textId="77777777" w:rsidR="00110685" w:rsidRDefault="00110685" w:rsidP="004B1887">
      <w:pPr>
        <w:pStyle w:val="Heading3"/>
        <w:numPr>
          <w:ilvl w:val="0"/>
          <w:numId w:val="0"/>
        </w:numPr>
      </w:pPr>
      <w:r>
        <w:t>7.2.1 Typed, weighted, provenance-bearing graph</w:t>
      </w:r>
    </w:p>
    <w:p w14:paraId="7B30E727" w14:textId="77777777" w:rsidR="00110685" w:rsidRDefault="00110685" w:rsidP="00110685">
      <w:r>
        <w:t>The operational knowledge graph is represented as specified in Equation 7.1:</w:t>
      </w:r>
    </w:p>
    <w:p w14:paraId="4BC37EBF" w14:textId="77777777" w:rsidR="00110685" w:rsidRDefault="00110685" w:rsidP="00110685">
      <w:r>
        <w:t>Repeated occurrences of the same typed triple are aggregated with record support (Equation 7.2):</w:t>
      </w:r>
    </w:p>
    <w:p w14:paraId="4C45FD29" w14:textId="77777777" w:rsidR="00110685" w:rsidRDefault="00110685" w:rsidP="00110685">
      <w:r>
        <w:t>Counts are reproduced from the final operational KG summary. Relation record-support is distinct from raw extraction relation-</w:t>
      </w:r>
      <w:proofErr w:type="gramStart"/>
      <w:r>
        <w:t>mention</w:t>
      </w:r>
      <w:proofErr w:type="gramEnd"/>
      <w:r>
        <w:t xml:space="preserve"> totals.</w:t>
      </w:r>
    </w:p>
    <w:p w14:paraId="340DEC28" w14:textId="77777777" w:rsidR="00110685" w:rsidRDefault="00110685" w:rsidP="004B1887">
      <w:pPr>
        <w:pStyle w:val="Heading2"/>
        <w:numPr>
          <w:ilvl w:val="0"/>
          <w:numId w:val="0"/>
        </w:numPr>
      </w:pPr>
      <w:r>
        <w:t>7.3 Case representation</w:t>
      </w:r>
    </w:p>
    <w:p w14:paraId="15298157" w14:textId="77777777" w:rsidR="00110685" w:rsidRDefault="00110685" w:rsidP="00110685">
      <w:r>
        <w:t>A case stores the source problem and solution text, extracted problem entities and relations, extracted action entities and relations, derived problem-graph features, action sequence, action family, outcome category, provenance, and evidence-cluster identity. The representation separates observed fields, model predictions, and deterministic derived fields so the dashboard can explain why a candidate matched and what part of the displayed action came from the source.</w:t>
      </w:r>
    </w:p>
    <w:p w14:paraId="7453B308" w14:textId="77777777" w:rsidR="00110685" w:rsidRDefault="00110685" w:rsidP="004B1887">
      <w:pPr>
        <w:pStyle w:val="Heading3"/>
        <w:numPr>
          <w:ilvl w:val="0"/>
          <w:numId w:val="0"/>
        </w:numPr>
      </w:pPr>
      <w:r>
        <w:t>7.3.1 Case object and evidential completeness</w:t>
      </w:r>
    </w:p>
    <w:p w14:paraId="4A081E3C" w14:textId="77777777" w:rsidR="00110685" w:rsidRDefault="00110685" w:rsidP="00110685">
      <w:r>
        <w:t xml:space="preserve">The historical case associated with record </w:t>
      </w:r>
      <w:proofErr w:type="spellStart"/>
      <w:r>
        <w:t>i</w:t>
      </w:r>
      <w:proofErr w:type="spellEnd"/>
      <w:r>
        <w:t xml:space="preserve"> is represented as specified in Equation 7.3:</w:t>
      </w:r>
    </w:p>
    <w:p w14:paraId="04A27E6F" w14:textId="77777777" w:rsidR="00110685" w:rsidRDefault="00110685" w:rsidP="00110685">
      <w:r>
        <w:t xml:space="preserve">The case object deliberately stores both raw text and inferred structure. Text is the primary audit evidence; structure supports retrieval and filtering. When a structured field is absent, the record is not silently discarded or completed by generation. Instead, lexical retrieval can still </w:t>
      </w:r>
      <w:proofErr w:type="gramStart"/>
      <w:r>
        <w:t>operate</w:t>
      </w:r>
      <w:proofErr w:type="gramEnd"/>
      <w:r>
        <w:t xml:space="preserve"> and the missing structure remains visible as uncertainty.</w:t>
      </w:r>
    </w:p>
    <w:p w14:paraId="68D90E76" w14:textId="77777777" w:rsidR="00110685" w:rsidRDefault="00110685" w:rsidP="00110685">
      <w:r>
        <w:t>Action extraction uses explicit schema relations when available and a conservative verb-based fallback otherwise. Each case records the route used so a reviewer can distinguish schema-supported evidence from fallback evidence. Legacy case-summary percentages are not used as final performance claims.</w:t>
      </w:r>
    </w:p>
    <w:p w14:paraId="6A0CB02A" w14:textId="77777777" w:rsidR="00110685" w:rsidRDefault="00110685" w:rsidP="004B1887">
      <w:pPr>
        <w:pStyle w:val="Heading2"/>
        <w:numPr>
          <w:ilvl w:val="0"/>
          <w:numId w:val="0"/>
        </w:numPr>
      </w:pPr>
      <w:r>
        <w:t>7.4 Provenance, duplicates, and outcome policy</w:t>
      </w:r>
    </w:p>
    <w:p w14:paraId="03CF194C" w14:textId="77777777" w:rsidR="00110685" w:rsidRDefault="00110685" w:rsidP="00110685">
      <w:r>
        <w:t xml:space="preserve">Near-duplicate records can make a frequent action appear to have independent support when it may be a repeated transcription or template. The case library therefore assigns evidence clusters. Retrieval may return </w:t>
      </w:r>
      <w:proofErr w:type="gramStart"/>
      <w:r>
        <w:t>record</w:t>
      </w:r>
      <w:proofErr w:type="gramEnd"/>
      <w:r>
        <w:t>-level candidates, but aggregation and support counts operate over distinct clusters. A repeated record can strengthen evidence that a pattern is common in the source data, yet it does not create multiple independent demonstrations of effectiveness.</w:t>
      </w:r>
    </w:p>
    <w:p w14:paraId="3B0A2A83" w14:textId="77777777" w:rsidR="00110685" w:rsidRDefault="00110685" w:rsidP="00110685">
      <w:r>
        <w:t>Outcome handling is deliberately asymmetric. An explicit negative, no-effect, deferred, or unresolved outcome prevents the associated action from becoming a positive suggestion. The record can still be displayed as relevant historical evidence, because an unsuccessful attempt may help a planner avoid repetition. An explicit positive outcome can support a case, but it does not certify causality or current applicability. No outcome means unknown, not success.</w:t>
      </w:r>
    </w:p>
    <w:p w14:paraId="100DBC62" w14:textId="77777777" w:rsidR="00110685" w:rsidRDefault="00110685" w:rsidP="00110685">
      <w:r>
        <w:t>The renderer preserves whole-source fidelity. It may convert a past-tense action phrase into a concise imperative, but it does not add a verification step that was absent, merge an enabling step from one record with a corrective step from another, or replace a specific target with a broader component. When several records support similar action families, the system can show a pattern summary while retaining each exact sequence as separate evidence.</w:t>
      </w:r>
    </w:p>
    <w:p w14:paraId="7A00B871" w14:textId="77777777" w:rsidR="00110685" w:rsidRDefault="00110685" w:rsidP="004B1887">
      <w:pPr>
        <w:pStyle w:val="Heading2"/>
        <w:numPr>
          <w:ilvl w:val="0"/>
          <w:numId w:val="0"/>
        </w:numPr>
      </w:pPr>
      <w:r>
        <w:t>7.5 Silver-layer statistics</w:t>
      </w:r>
    </w:p>
    <w:p w14:paraId="08B0B3C7" w14:textId="77777777" w:rsidR="00110685" w:rsidRDefault="00110685" w:rsidP="00110685">
      <w:r>
        <w:t xml:space="preserve">The offline extraction stage processed 6,169 paired source records and produced 45,771 entity mentions and 43,149 extraction relation mentions. The graph contains 3,197 typed nodes and 9,331 aggregated edges. Its </w:t>
      </w:r>
      <w:proofErr w:type="gramStart"/>
      <w:r>
        <w:t>41,469 relation</w:t>
      </w:r>
      <w:proofErr w:type="gramEnd"/>
      <w:r>
        <w:t xml:space="preserve"> record-support count has a different unit from the </w:t>
      </w:r>
      <w:proofErr w:type="gramStart"/>
      <w:r>
        <w:t>43,149 extraction</w:t>
      </w:r>
      <w:proofErr w:type="gramEnd"/>
      <w:r>
        <w:t xml:space="preserve"> relation mentions: the former records support after graph construction, not a corrected extraction count. All graph objects are silver evidence, not expert-verified facts.</w:t>
      </w:r>
    </w:p>
    <w:p w14:paraId="7DED7BFB" w14:textId="77777777" w:rsidR="00110685" w:rsidRDefault="00110685" w:rsidP="00110685">
      <w:r>
        <w:t>The node inventory contains 1,398 MAINT_ITEM, 455 ACTION, 359 TECH_OBS, 259 LOC, 235 ABN_PROC, 202 OP_CTX, 127 FAULT, 122 OUTCOME, and 40 REFERENCE nodes. Distinct nodes and mention support are different quantities: recurring surface evidence can contribute many mentions but one normalized typed node.</w:t>
      </w:r>
    </w:p>
    <w:p w14:paraId="1ABA5036" w14:textId="77777777" w:rsidR="00110685" w:rsidRDefault="00110685" w:rsidP="00624F4A">
      <w:pPr>
        <w:jc w:val="left"/>
      </w:pPr>
      <w:r>
        <w:t>The largest relation record-support groups are ACTION_ON_ITEM (11,495), HAS_LOCATION (9,524), ISSUE_ON_ITEM (6,539), ACTION_ADDRESSES_ISSUE (5,409), and HAS_PART (5,074). Smaller groups include ACTION_INVESTIGATES_ISSUE (1,229), OBSERVATION_OF_ITEM (768), ACTION_RESULTS_IN_</w:t>
      </w:r>
      <w:proofErr w:type="gramStart"/>
      <w:r w:rsidR="00145F4D">
        <w:t>OUTCOME(</w:t>
      </w:r>
      <w:proofErr w:type="gramEnd"/>
      <w:r>
        <w:t>616),</w:t>
      </w:r>
      <w:r w:rsidR="00624F4A">
        <w:t xml:space="preserve"> </w:t>
      </w:r>
      <w:r>
        <w:t>OCCURS_UNDER_</w:t>
      </w:r>
      <w:proofErr w:type="gramStart"/>
      <w:r>
        <w:t>CONTEXT(</w:t>
      </w:r>
      <w:proofErr w:type="gramEnd"/>
      <w:r>
        <w:t>459), ACTION_USES_ITEM (244), and ACTION_FOLLOWS_REFERENCE (112).</w:t>
      </w:r>
    </w:p>
    <w:p w14:paraId="78A3DD30" w14:textId="77777777" w:rsidR="00110685" w:rsidRDefault="00110685" w:rsidP="00110685">
      <w:r>
        <w:t>Corrective, investigative, and outcome signals can overlap within one record. Derived action families and roles are retrieval conveniences rather than original annotations, and their frequencies must not be interpreted as independent repairs, success rates, or observed ground truth.</w:t>
      </w:r>
    </w:p>
    <w:p w14:paraId="416975C5" w14:textId="77777777" w:rsidR="00110685" w:rsidRDefault="00110685" w:rsidP="004B1887">
      <w:pPr>
        <w:pStyle w:val="Heading2"/>
        <w:numPr>
          <w:ilvl w:val="0"/>
          <w:numId w:val="0"/>
        </w:numPr>
      </w:pPr>
      <w:r>
        <w:t>7.6 Limitations of the silver layer</w:t>
      </w:r>
    </w:p>
    <w:p w14:paraId="05D7DFCF" w14:textId="77777777" w:rsidR="00110685" w:rsidRDefault="00110685" w:rsidP="00110685">
      <w:r>
        <w:t xml:space="preserve">Every downstream structured match inherits extraction error. The scored </w:t>
      </w:r>
      <w:proofErr w:type="spellStart"/>
      <w:r>
        <w:t>SpERT</w:t>
      </w:r>
      <w:proofErr w:type="spellEnd"/>
      <w:r>
        <w:t xml:space="preserve"> result reduces uncertainty about the architecture on the frozen gold test, but it does not make the 6,169-record graph gold. Confidence weighting, original-text display, provenance, and reviewer correction mitigate errors without validating the graph record by record.</w:t>
      </w:r>
    </w:p>
    <w:p w14:paraId="45B1C87D" w14:textId="77777777" w:rsidR="004B1887" w:rsidRDefault="00110685" w:rsidP="00110685">
      <w:r>
        <w:t xml:space="preserve">Entity-string normalization can also merge distinct concepts or split variants that should be identical. The graph lacks fleet configuration, part-number applicability, manual revision, time validity, and organization-specific approval status. It should therefore be treated as a navigation index into historical text. A production knowledge base would require expert validation, controlled </w:t>
      </w:r>
      <w:proofErr w:type="gramStart"/>
      <w:r>
        <w:t>vocabularies</w:t>
      </w:r>
      <w:proofErr w:type="gramEnd"/>
      <w:r>
        <w:t>, temporal provenance, change management, and links to authoritative maintenance data.</w:t>
      </w:r>
    </w:p>
    <w:sectPr w:rsidR="00E134AF" w:rsidRPr="00B011E7">
      <w:headerReference w:type="default" r:id="rId44"/>
      <w:footerReference w:type="default" r:id="rId45"/>
      <w:pgSz w:w="11906" w:h="16838"/>
      <w:pgMar w:top="1417" w:right="1134"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713" w14:textId="77777777" w:rsidR="00072B44" w:rsidRDefault="00072B44">
      <w:pPr>
        <w:spacing w:after="0" w:line="240" w:lineRule="auto"/>
      </w:pPr>
      <w:r>
        <w:separator/>
      </w:r>
    </w:p>
  </w:endnote>
  <w:endnote w:type="continuationSeparator" w:id="0">
    <w:p w14:paraId="42C5CC28" w14:textId="77777777" w:rsidR="00072B44" w:rsidRDefault="0007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778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778B"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106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3B13" w14:textId="77777777" w:rsidR="00072B44" w:rsidRDefault="00072B44">
      <w:pPr>
        <w:spacing w:after="0" w:line="240" w:lineRule="auto"/>
      </w:pPr>
      <w:r>
        <w:separator/>
      </w:r>
    </w:p>
  </w:footnote>
  <w:footnote w:type="continuationSeparator" w:id="0">
    <w:p w14:paraId="47192EC0" w14:textId="77777777" w:rsidR="00072B44" w:rsidRDefault="0007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A8D"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8D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0D4B"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12B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45"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2.xm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27940</Words>
  <Characters>174067</Characters>
  <Application>Microsoft Office Word</Application>
  <DocSecurity>0</DocSecurity>
  <Lines>3552</Lines>
  <Paragraphs>2040</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199967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2026-09-13T20:14:00Z</dcterms:created>
  <dcterms:modified xsi:type="dcterms:W3CDTF">2026-09-13T20:14:00Z</dcterms:modified>
</cp:coreProperties>
</file>