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5E36" w14:textId="77777777" w:rsidR="00110685" w:rsidRDefault="00110685" w:rsidP="004B1887">
      <w:pPr>
        <w:pStyle w:val="Heading1"/>
        <w:numPr>
          <w:ilvl w:val="0"/>
          <w:numId w:val="0"/>
        </w:numPr>
      </w:pPr>
      <w:r>
        <w:t>9 Discussion</w:t>
      </w:r>
    </w:p>
    <w:p w14:paraId="003717FC" w14:textId="77777777" w:rsidR="00110685" w:rsidRDefault="00110685" w:rsidP="004B1887">
      <w:pPr>
        <w:pStyle w:val="Heading2"/>
        <w:numPr>
          <w:ilvl w:val="0"/>
          <w:numId w:val="0"/>
        </w:numPr>
      </w:pPr>
      <w:r>
        <w:t>9.1 Answers to the research questions</w:t>
      </w:r>
    </w:p>
    <w:p w14:paraId="18198865" w14:textId="77777777" w:rsidR="00110685" w:rsidRDefault="00110685" w:rsidP="004B1887">
      <w:pPr>
        <w:pStyle w:val="Heading3"/>
        <w:numPr>
          <w:ilvl w:val="0"/>
          <w:numId w:val="0"/>
        </w:numPr>
      </w:pPr>
      <w:r>
        <w:t>9.1.1 RQ1 Normalization accuracy and preservation</w:t>
      </w:r>
    </w:p>
    <w:p w14:paraId="26925625" w14:textId="77777777" w:rsidR="00110685" w:rsidRDefault="00110685" w:rsidP="00110685">
      <w:r>
        <w:t>ByT5 produced the lowest WER (0.0147) and highest exact match (0.9366) on the locked 741-record test. Selective ByT5, chosen before the test from the 926-record validation set, achieved WER 0.0219 and exact match 0.9325 while preserving 100% of protected tokens. RQ1 is therefore answered by retaining Selective ByT5 as the preselected system and reporting ByT5 as the descriptive accuracy leader. The result measures agreement with one expert-</w:t>
      </w:r>
      <w:proofErr w:type="gramStart"/>
      <w:r>
        <w:t>cleaned</w:t>
      </w:r>
      <w:proofErr w:type="gramEnd"/>
      <w:r>
        <w:t xml:space="preserve"> reference, not the technical correctness of every edit.</w:t>
      </w:r>
    </w:p>
    <w:p w14:paraId="56FF9FE8" w14:textId="77777777" w:rsidR="00110685" w:rsidRDefault="00110685" w:rsidP="00110685">
      <w:r>
        <w:t>The scale of the improvement is substantial: relative to the rules baseline, ByT5 reduced WER by about 86.2% and increased exact match by 63.7 percentage points. Yet the official choice is not determined by the opened test ranking. Selective ByT5 was selected on the 926-record validation population and was therefore carried unchanged to the 741-record test. Because the reference-agreement intervals overlap, the selected system does not trade measurable accuracy for protection; its perfect protected-token preservation is obtained without a resolved loss in reference agreement.</w:t>
      </w:r>
      <w:proofErr w:type="spellStart"/>
      <w:proofErr w:type="spellEnd"/>
    </w:p>
    <w:p w14:paraId="27A678A6" w14:textId="77777777" w:rsidR="00110685" w:rsidRDefault="00110685" w:rsidP="00110685">
      <w:r>
        <w:t>The answer is consequently multi-objective. If the objective is only minimum intrinsic WER on this locked test, ByT5 leads. If the objective includes preregistered selection and the defined protected-token constraint, Selective ByT5 is the defensible system. Neither objective demonstrates that the reference or prediction is technically correct in every maintenance context.</w:t>
      </w:r>
    </w:p>
    <w:p w14:paraId="386F4B53" w14:textId="77777777" w:rsidR="00110685" w:rsidRDefault="00110685" w:rsidP="004B1887">
      <w:pPr>
        <w:pStyle w:val="Heading3"/>
        <w:numPr>
          <w:ilvl w:val="0"/>
          <w:numId w:val="0"/>
        </w:numPr>
      </w:pPr>
      <w:r>
        <w:t>9.1.2 RQ2 Downstream effects of normalization</w:t>
      </w:r>
    </w:p>
    <w:p w14:paraId="20A992E2" w14:textId="77777777" w:rsidR="00110685" w:rsidRDefault="00110685" w:rsidP="00110685">
      <w:r>
        <w:t xml:space="preserve">Raw text achieved the highest </w:t>
      </w:r>
      <w:proofErr w:type="spellStart"/>
      <w:r>
        <w:t>SpERT</w:t>
      </w:r>
      <w:proofErr w:type="spellEnd"/>
      <w:r>
        <w:t xml:space="preserve"> entity micro-F1 (0.9455) and relation micro-F1 (0.8203) in the representation-matched experiment. No normalized representation improved either micro score. Selective ByT5 increased relation macro-F1 from 0.7511 to 0.7781, indicating a possible benefit for the class-balanced average. RQ2 therefore shows that better normalization agreement does not automatically improve downstream extraction and that micro and macro effects can differ.</w:t>
      </w:r>
    </w:p>
    <w:p w14:paraId="2474B8E0" w14:textId="77777777" w:rsidR="00110685" w:rsidRDefault="00110685" w:rsidP="00110685">
      <w:r>
        <w:t>The raw-to-Selective changes are small but directionally different: entity micro-F1 decreases from 0.9455 to 0.9424 and relation micro-F1 decreases from 0.8203 to 0.8167, while relation macro-F1 increases from 0.7511 to 0.7781. This pattern is consistent with normalization helping some less frequent relation classes while introducing changes that slightly harm the instance-weighted total.</w:t>
      </w:r>
    </w:p>
    <w:p w14:paraId="2CE53BDF" w14:textId="77777777" w:rsidR="00110685" w:rsidRDefault="00110685" w:rsidP="00110685">
      <w:r>
        <w:t xml:space="preserve">Because the experiment retrained and evaluated </w:t>
      </w:r>
      <w:proofErr w:type="spellStart"/>
      <w:r>
        <w:t>SpERT</w:t>
      </w:r>
      <w:proofErr w:type="spellEnd"/>
      <w:r>
        <w:t xml:space="preserve"> on each representation using identical 1,275/100/225 partitions, it isolates representation more cleanly than preprocessing only the test set. The result rejects a simple monotonic pipeline assumption: a representation can be closer to a normalized reference without becoming a better input for a downstream extractor.</w:t>
      </w:r>
    </w:p>
    <w:p w14:paraId="7136B353" w14:textId="77777777" w:rsidR="00110685" w:rsidRDefault="00110685" w:rsidP="004B1887">
      <w:pPr>
        <w:pStyle w:val="Heading3"/>
        <w:numPr>
          <w:ilvl w:val="0"/>
          <w:numId w:val="0"/>
        </w:numPr>
      </w:pPr>
      <w:r>
        <w:t>9.1.3 RQ3 Information extraction architectures</w:t>
      </w:r>
    </w:p>
    <w:p w14:paraId="5A8A64C5" w14:textId="77777777" w:rsidR="00110685" w:rsidRDefault="00110685" w:rsidP="00110685">
      <w:proofErr w:type="spellStart"/>
      <w:r>
        <w:t>SpERT</w:t>
      </w:r>
      <w:proofErr w:type="spellEnd"/>
      <w:r>
        <w:t xml:space="preserve"> produced the highest internal entity and relation micro-F1 (0.9520 and 0.8537). </w:t>
      </w:r>
      <w:proofErr w:type="spellStart"/>
      <w:r>
        <w:t>DistilBERT</w:t>
      </w:r>
      <w:proofErr w:type="spellEnd"/>
      <w:r>
        <w:t xml:space="preserve"> ranked second, the CRF-based baseline remained competitive, and the </w:t>
      </w:r>
      <w:proofErr w:type="spellStart"/>
      <w:r>
        <w:t>BiLSTM</w:t>
      </w:r>
      <w:proofErr w:type="spellEnd"/>
      <w:r>
        <w:t xml:space="preserve"> relation component was markedly weaker. The same broad ordering appeared in </w:t>
      </w:r>
      <w:proofErr w:type="spellStart"/>
      <w:r>
        <w:t>MaintIE</w:t>
      </w:r>
      <w:proofErr w:type="spellEnd"/>
      <w:r>
        <w:t xml:space="preserve">, where </w:t>
      </w:r>
      <w:proofErr w:type="spellStart"/>
      <w:r>
        <w:t>SpERT</w:t>
      </w:r>
      <w:proofErr w:type="spellEnd"/>
      <w:r>
        <w:t xml:space="preserve"> achieved entity micro-F1 0.8828 and relation micro-F1 0.6817. RQ3 is answered for the two supplied frozen splits; the </w:t>
      </w:r>
      <w:proofErr w:type="spellStart"/>
      <w:r>
        <w:t>MaintIE</w:t>
      </w:r>
      <w:proofErr w:type="spellEnd"/>
      <w:r>
        <w:t xml:space="preserve"> result is a separately trained external replication rather than zero-shot transfer.</w:t>
      </w:r>
    </w:p>
    <w:p w14:paraId="0A48CFE2" w14:textId="77777777" w:rsidR="00110685" w:rsidRDefault="00110685" w:rsidP="00110685">
      <w:r>
        <w:lastRenderedPageBreak/>
        <w:t xml:space="preserve">On the internal split, </w:t>
      </w:r>
      <w:proofErr w:type="spellStart"/>
      <w:r>
        <w:t>SpERT</w:t>
      </w:r>
      <w:proofErr w:type="spellEnd"/>
      <w:r>
        <w:t xml:space="preserve"> exceeded </w:t>
      </w:r>
      <w:proofErr w:type="spellStart"/>
      <w:r>
        <w:t>DistilBERT</w:t>
      </w:r>
      <w:proofErr w:type="spellEnd"/>
      <w:r>
        <w:t xml:space="preserve"> by 0.0071 entity micro-F1 and 0.0241 relation micro-F1. On the separately trained </w:t>
      </w:r>
      <w:proofErr w:type="spellStart"/>
      <w:r>
        <w:t>MaintIE</w:t>
      </w:r>
      <w:proofErr w:type="spellEnd"/>
      <w:r>
        <w:t xml:space="preserve"> split, its margins were 0.0540 and 0.0970 respectively. </w:t>
      </w:r>
      <w:proofErr w:type="gramStart"/>
      <w:r>
        <w:t>The repeated</w:t>
      </w:r>
      <w:proofErr w:type="gramEnd"/>
      <w:r>
        <w:t xml:space="preserve"> ordering strengthens the architectural comparison, but it does not constitute zero-shot external validity because every model was trained for the corresponding corpus.</w:t>
      </w:r>
    </w:p>
    <w:p w14:paraId="265BBD50" w14:textId="77777777" w:rsidR="00110685" w:rsidRDefault="00110685" w:rsidP="00110685">
      <w:r>
        <w:t xml:space="preserve">Macro and class-level results qualify the headline ranking. The </w:t>
      </w:r>
      <w:proofErr w:type="spellStart"/>
      <w:r>
        <w:t>MaintIE</w:t>
      </w:r>
      <w:proofErr w:type="spellEnd"/>
      <w:r>
        <w:t xml:space="preserve"> REFERENCE and ACTION_FOLLOWS_REFERENCE classes each have support two, so one prediction can change their F1 sharply. </w:t>
      </w:r>
      <w:proofErr w:type="spellStart"/>
      <w:r>
        <w:t>SpERT's</w:t>
      </w:r>
      <w:proofErr w:type="spellEnd"/>
      <w:r>
        <w:t xml:space="preserve"> leading point estimates justify its use for the operational silver layer, while the low-support classes justify confidence filtering, provenance, and a stratified human audit rather than treating every prediction as fact.</w:t>
      </w:r>
    </w:p>
    <w:p w14:paraId="287A5FFC" w14:textId="77777777" w:rsidR="00110685" w:rsidRDefault="00110685" w:rsidP="004B1887">
      <w:pPr>
        <w:pStyle w:val="Heading3"/>
        <w:numPr>
          <w:ilvl w:val="0"/>
          <w:numId w:val="0"/>
        </w:numPr>
      </w:pPr>
      <w:r>
        <w:t>9.1.4 RQ4 Retrieval performance and robustness</w:t>
      </w:r>
    </w:p>
    <w:p w14:paraId="79C109AE" w14:textId="77777777" w:rsidR="00110685" w:rsidRDefault="00110685" w:rsidP="00110685">
      <w:r>
        <w:t>The selected problem-only, cluster-safe protocol achieved Hit@1 0.7899, Hit@3 0.9686, Hit@5 0.9952, MRR 0.8766, and nDCG@5 0.9067 on 828 evaluable queries. The largest tested Hit@1 reduction was 0.0338 under 10% spelling noise. Macro action-family recall was only 0.2802, revealing weak coverage of rare families despite high top-k performance. RQ4 is therefore answered for recovery of recorded historical evidence, not for the technical applicability of retrieved actions.</w:t>
      </w:r>
    </w:p>
    <w:p w14:paraId="7D9D4ED2" w14:textId="77777777" w:rsidR="00110685" w:rsidRDefault="00110685" w:rsidP="00110685">
      <w:r>
        <w:t>The metric pattern is important. Hit@5 of 0.9952 shows that recorded action-family evidence was almost always present in a five-item list, and MRR 0.8766 shows that relevant evidence tended to occur early. The majority baseline's Hit@1 of 0.7609, however, reveals a strong class prior. The selected system's main advantage over that baseline is not a dramatic overall Hit@1 gain but an increase in macro family recall from 0.1429 to 0.2802.</w:t>
      </w:r>
    </w:p>
    <w:p w14:paraId="16E5BCD0" w14:textId="77777777" w:rsidR="00110685" w:rsidRDefault="00110685" w:rsidP="00110685">
      <w:r>
        <w:t xml:space="preserve">Robustness is correspondingly </w:t>
      </w:r>
      <w:proofErr w:type="gramStart"/>
      <w:r>
        <w:t>bounded</w:t>
      </w:r>
      <w:proofErr w:type="gramEnd"/>
      <w:r>
        <w:t xml:space="preserve">. The maximum tested Hit@1 reduction was approximately 3.38 percentage points under 10% synthetic spelling noise, while </w:t>
      </w:r>
      <w:proofErr w:type="gramStart"/>
      <w:r>
        <w:t>top-five</w:t>
      </w:r>
      <w:proofErr w:type="gramEnd"/>
      <w:r>
        <w:t xml:space="preserve"> recovery remained high. Missing structure </w:t>
      </w:r>
      <w:proofErr w:type="gramStart"/>
      <w:r>
        <w:t>produced</w:t>
      </w:r>
      <w:proofErr w:type="gramEnd"/>
      <w:r>
        <w:t xml:space="preserve"> clean-equivalent performance because canonical BM25 does not consume structured features; this is a property of the selected lexical protocol, not evidence that extraction quality is irrelevant to the broader prototype.</w:t>
      </w:r>
    </w:p>
    <w:p w14:paraId="0689280C" w14:textId="77777777" w:rsidR="00110685" w:rsidRDefault="00110685" w:rsidP="004B1887">
      <w:pPr>
        <w:pStyle w:val="Heading3"/>
        <w:numPr>
          <w:ilvl w:val="0"/>
          <w:numId w:val="0"/>
        </w:numPr>
      </w:pPr>
      <w:r>
        <w:t>9.1.5 RQ5 Auditable planning support</w:t>
      </w:r>
    </w:p>
    <w:p w14:paraId="56D1F57A" w14:textId="77777777" w:rsidR="00110685" w:rsidRDefault="00110685" w:rsidP="00110685">
      <w:r>
        <w:t xml:space="preserve">The prototype preserves source cases, alternatives, outcome status, uncertainty information, and manual selection. Historical-agreement calibration produced ECE 0.0505 and Brier score 0.1195. One reviewer assessed 100 queries and reported usable-action-evidence Hit@1 0.92 and </w:t>
      </w:r>
      <w:proofErr w:type="gramStart"/>
      <w:r>
        <w:t>Hit</w:t>
      </w:r>
      <w:proofErr w:type="gramEnd"/>
      <w:r>
        <w:t>@5 0.97. RQ5 is answered as an implementation and evidence-presentation result. Usability, inter-rater reliability, technical safety, security, regulatory acceptance, and deployment effectiveness remain unvalidated.</w:t>
      </w:r>
    </w:p>
    <w:p w14:paraId="4FC32E19" w14:textId="77777777" w:rsidR="00110685" w:rsidRDefault="00110685" w:rsidP="00110685">
      <w:r>
        <w:lastRenderedPageBreak/>
        <w:t xml:space="preserve">The implementation answer rests on </w:t>
      </w:r>
      <w:proofErr w:type="gramStart"/>
      <w:r>
        <w:t>controls</w:t>
      </w:r>
      <w:proofErr w:type="gramEnd"/>
      <w:r>
        <w:t xml:space="preserve"> rather than on a single predictive score: the action is hidden during retrieval; split and artifact locks prevent post-test tuning; complete cases preserve provenance; negative outcomes are quarantined; alternatives remain separate; and the system may abstain. These mechanisms make the interface auditable because a reviewer can trace every displayed option to its source and contest the intermediate structure.</w:t>
      </w:r>
    </w:p>
    <w:p w14:paraId="0DCC5AB0" w14:textId="77777777" w:rsidR="00110685" w:rsidRDefault="00110685" w:rsidP="00110685">
      <w:r>
        <w:t xml:space="preserve">The empirical user-facing evidence is preliminary. A single reviewer assessed 100 queries and 500 query–candidate pairs, producing problem-relevance and usable-action-evidence Hit@1 of 0.92 and </w:t>
      </w:r>
      <w:proofErr w:type="gramStart"/>
      <w:r>
        <w:t>Hit</w:t>
      </w:r>
      <w:proofErr w:type="gramEnd"/>
      <w:r>
        <w:t>@5 of 0.97. Without a second reviewer, inter-rater agreement, task-time comparison, or technical-applicability judgments, these figures support evidence presentation only. They do not establish usability, safety, or organizational effectiveness.</w:t>
      </w:r>
    </w:p>
    <w:p w14:paraId="73BFD119" w14:textId="77777777" w:rsidR="00110685" w:rsidRDefault="00110685" w:rsidP="004B1887">
      <w:pPr>
        <w:pStyle w:val="Heading2"/>
        <w:numPr>
          <w:ilvl w:val="0"/>
          <w:numId w:val="0"/>
        </w:numPr>
      </w:pPr>
      <w:r>
        <w:t>9.2 What the results do and do not establish</w:t>
      </w:r>
    </w:p>
    <w:p w14:paraId="20C5B102" w14:textId="77777777" w:rsidR="00110685" w:rsidRDefault="00110685" w:rsidP="00110685">
      <w:r>
        <w:t xml:space="preserve">The normalization experiment distinguishes reference agreement from downstream value. ByT5 best matches the expert-cleaned target, whereas Selective ByT5 preserves all protected tokens and remains the validation-selected system. The matched </w:t>
      </w:r>
      <w:proofErr w:type="spellStart"/>
      <w:r>
        <w:t>SpERT</w:t>
      </w:r>
      <w:proofErr w:type="spellEnd"/>
      <w:r>
        <w:t xml:space="preserve"> experiment then shows that neither system improves entity or relation micro-F1 over raw text. A normalization metric is therefore insufficient as a proxy for extraction performance.</w:t>
      </w:r>
    </w:p>
    <w:p w14:paraId="5B245631" w14:textId="77777777" w:rsidR="00110685" w:rsidRDefault="00110685" w:rsidP="00110685">
      <w:r>
        <w:t>The retrieval study establishes high top-k recovery of recorded evidence and limited degradation under the tested spelling and truncation perturbations. Macro action-family recall of 0.2802 shows that this performance is concentrated in common families. Calibration and one-reviewer assessment add evidence about historical agreement and evidence usability, but neither evaluates whether an action is technically applicable.</w:t>
      </w:r>
    </w:p>
    <w:p w14:paraId="1C0B860C" w14:textId="77777777" w:rsidR="00110685" w:rsidRDefault="00110685" w:rsidP="00110685">
      <w:r>
        <w:t xml:space="preserve">The prototype establishes traceability rather than technical correctness. A reviewer can inspect the source text, extracted structure, evidence cluster, score, outcome state, and source record behind an option. This audit trail makes model errors contestable. It cannot determine whether the historical work was performed correctly, </w:t>
      </w:r>
      <w:proofErr w:type="gramStart"/>
      <w:r>
        <w:t>caused</w:t>
      </w:r>
      <w:proofErr w:type="gramEnd"/>
      <w:r>
        <w:t xml:space="preserve"> the recorded outcome, remains current, or applies to another aircraft configuration.</w:t>
      </w:r>
    </w:p>
    <w:p w14:paraId="01223196" w14:textId="77777777" w:rsidR="00110685" w:rsidRDefault="00110685" w:rsidP="004B1887">
      <w:pPr>
        <w:pStyle w:val="Heading2"/>
        <w:numPr>
          <w:ilvl w:val="0"/>
          <w:numId w:val="0"/>
        </w:numPr>
      </w:pPr>
      <w:r>
        <w:t>9.3 Design trade-offs</w:t>
      </w:r>
    </w:p>
    <w:p w14:paraId="17D4F5F3" w14:textId="77777777" w:rsidR="00110685" w:rsidRDefault="00110685" w:rsidP="00110685">
      <w:r>
        <w:t xml:space="preserve">Normalization exposes a trade-off between reference agreement and protected-token fidelity. ByT5 minimizes WER, while Selective ByT5 preserves every protected token. The downstream experiment adds a second trade-off: raw text </w:t>
      </w:r>
      <w:proofErr w:type="gramStart"/>
      <w:r>
        <w:t>leads</w:t>
      </w:r>
      <w:proofErr w:type="gramEnd"/>
      <w:r>
        <w:t xml:space="preserve"> the micro-F1 measures, whereas Selective ByT5 produces the highest relation macro-F1. No single representation dominates every objective.</w:t>
      </w:r>
    </w:p>
    <w:p w14:paraId="5FEC366E" w14:textId="77777777" w:rsidR="00110685" w:rsidRDefault="00110685" w:rsidP="00110685">
      <w:r>
        <w:lastRenderedPageBreak/>
        <w:t>Text and structure provide different evidence. Structured features expose issue-item and context matches but inherit extraction errors and disappear when relations are missing. Lexical retrieval is transparent and effective for exact technical terms but can miss paraphrases. The final evaluation selected canonical BM25; other channels remain experimental components rather than proven improvements.</w:t>
      </w:r>
    </w:p>
    <w:p w14:paraId="03F1066C" w14:textId="77777777" w:rsidR="00110685" w:rsidRDefault="00110685" w:rsidP="00110685">
      <w:r>
        <w:t xml:space="preserve">Outcome quarantine, distinct-cluster support, and retention of alternatives restrict what the interface portrays as positive historical evidence. The </w:t>
      </w:r>
      <w:proofErr w:type="spellStart"/>
      <w:r>
        <w:t>τ_rank</w:t>
      </w:r>
      <w:proofErr w:type="spellEnd"/>
      <w:r>
        <w:t xml:space="preserve"> exponent balances common-family support with rare-family visibility; it is not the display gate. These design choices avoid promoting explicitly unsuccessful evidence while keeping the underlying records inspectable. The result is a review tool rather than an automatic action selector.</w:t>
      </w:r>
    </w:p>
    <w:p w14:paraId="509020F8" w14:textId="77777777" w:rsidR="00110685" w:rsidRDefault="00110685" w:rsidP="00110685">
      <w:r>
        <w:t xml:space="preserve">Complete-case rendering </w:t>
      </w:r>
      <w:proofErr w:type="spellStart"/>
      <w:r>
        <w:t>favours</w:t>
      </w:r>
      <w:proofErr w:type="spellEnd"/>
      <w:r>
        <w:t xml:space="preserve"> provenance over fluent adaptation. A generated composite procedure could combine useful fragments, but its source boundaries and unsupported additions would be difficult to audit. </w:t>
      </w:r>
      <w:proofErr w:type="spellStart"/>
      <w:r>
        <w:t>AviMaint</w:t>
      </w:r>
      <w:proofErr w:type="spellEnd"/>
      <w:r>
        <w:t>-DSS instead keeps every option tied to one record and leaves adaptation to the qualified planner.</w:t>
      </w:r>
    </w:p>
    <w:p w14:paraId="444DABBA" w14:textId="77777777" w:rsidR="00110685" w:rsidRDefault="00110685" w:rsidP="004B1887">
      <w:pPr>
        <w:pStyle w:val="Heading2"/>
        <w:numPr>
          <w:ilvl w:val="0"/>
          <w:numId w:val="0"/>
        </w:numPr>
      </w:pPr>
      <w:r>
        <w:t>9.4 Safety, governance, and human oversight</w:t>
      </w:r>
    </w:p>
    <w:p w14:paraId="72C1CC0B" w14:textId="77777777" w:rsidR="00110685" w:rsidRDefault="00110685" w:rsidP="00110685">
      <w:r>
        <w:t>Historical work orders are not approved maintenance data. FAA 14 CFR 43.13 and the European continuing-airworthiness framework require applicable current methods and data [1, 2]. A deployed system would need links from each historical case to current manuals, instructions for continued airworthiness, configuration data, and organization procedures. Historical evidence can guide a search for authority; it cannot supply that authority.</w:t>
      </w:r>
    </w:p>
    <w:p w14:paraId="0FBDBB29" w14:textId="77777777" w:rsidR="00110685" w:rsidRDefault="00110685" w:rsidP="00110685">
      <w:r>
        <w:t>A qualified reviewer must check the extracted query structure, compare alternatives and unsuccessful attempts, confirm asset identity and applicability, locate current approved data, and document the basis for the planning decision. Corrections and selections should be logged, but user clicks should become training labels only through a governed review process.</w:t>
      </w:r>
    </w:p>
    <w:p w14:paraId="7CC1BC6D" w14:textId="77777777" w:rsidR="00110685" w:rsidRDefault="00110685" w:rsidP="00110685">
      <w:r>
        <w:t>Operational governance would require versioned case libraries, model and split fingerprints, immutable evaluation records, drift monitoring, access controls, security testing, and retirement rules for obsolete records. Frequency and outcome displays need explicit denominators. Human-factors evaluation must also test for anchoring, confirmation bias, and inappropriate reliance on retrieved cases. Table 9.2 consolidates the principal validity threats and the controls or follow-up studies they require.</w:t>
      </w:r>
    </w:p>
    <w:p w14:paraId="2F66AC11" w14:textId="77777777" w:rsidR="00110685" w:rsidRDefault="00110685" w:rsidP="004B1887">
      <w:pPr>
        <w:pStyle w:val="Heading2"/>
        <w:numPr>
          <w:ilvl w:val="0"/>
          <w:numId w:val="0"/>
        </w:numPr>
      </w:pPr>
      <w:r>
        <w:t>9.5 Threats to validity</w:t>
      </w:r>
    </w:p>
    <w:p w14:paraId="0BA46E2E" w14:textId="77777777" w:rsidR="00110685" w:rsidRDefault="00110685" w:rsidP="004B1887">
      <w:pPr>
        <w:pStyle w:val="Heading2"/>
        <w:numPr>
          <w:ilvl w:val="0"/>
          <w:numId w:val="0"/>
        </w:numPr>
      </w:pPr>
      <w:r>
        <w:t>9.6 Future evaluation plan</w:t>
      </w:r>
    </w:p>
    <w:p w14:paraId="3E238B57" w14:textId="77777777" w:rsidR="00110685" w:rsidRDefault="00110685" w:rsidP="00110685">
      <w:r>
        <w:t>The next empirical priority is a multi-reviewer study with domain experts. Reviewers should judge problem relevance, evidence usability, technical applicability, and compatibility with current approved data as separate constructs. Blinded stages, adjudication, and inter-rater agreement are required, and the existing 828-query test must not be reused for model, prior exponent or future display-threshold selection.</w:t>
      </w:r>
    </w:p>
    <w:p w14:paraId="74A55E05" w14:textId="77777777" w:rsidR="00110685" w:rsidRDefault="00110685" w:rsidP="00110685">
      <w:r>
        <w:t xml:space="preserve">The scored </w:t>
      </w:r>
      <w:proofErr w:type="spellStart"/>
      <w:r>
        <w:t>SpERT</w:t>
      </w:r>
      <w:proofErr w:type="spellEnd"/>
      <w:r>
        <w:t xml:space="preserve"> comparison and matched normalization-to-IE experiment close the main representation gaps in the current thesis. Further work should test whether those results </w:t>
      </w:r>
      <w:proofErr w:type="gramStart"/>
      <w:r>
        <w:t>replicate</w:t>
      </w:r>
      <w:proofErr w:type="gramEnd"/>
      <w:r>
        <w:t xml:space="preserve"> across fleets, organizations, and independent annotation teams, and should include blinded review of normalization meaning preservation and a stratified audit of the silver graph.</w:t>
      </w:r>
    </w:p>
    <w:p w14:paraId="0714E8B8" w14:textId="77777777" w:rsidR="00110685" w:rsidRDefault="00110685" w:rsidP="00110685">
      <w:r>
        <w:lastRenderedPageBreak/>
        <w:t xml:space="preserve">Corpus quality remains a separate priority. A stratified sample should be double annotated, with agreement reported for entity boundaries, entity types, and relations, followed by adjudication and guideline revision. External records should cover abbreviations, fleets, and organizations absent from </w:t>
      </w:r>
      <w:proofErr w:type="spellStart"/>
      <w:r>
        <w:t>MaintNet</w:t>
      </w:r>
      <w:proofErr w:type="spellEnd"/>
      <w:r>
        <w:t>, while naturally sampled performance remains separate from a rare-class challenge set.</w:t>
      </w:r>
    </w:p>
    <w:p w14:paraId="48309AE8" w14:textId="77777777" w:rsidR="00110685" w:rsidRDefault="00110685" w:rsidP="00110685">
      <w:r>
        <w:t xml:space="preserve">The low macro action-family recall of 0.2802 warrants a separate study of rare-family candidate retrieval, training support and expert-validated labels. A different question is whether uncertainty can be displayed with comparable coverage across families: future work could evaluate class-conditional conformal prediction sets under exchangeability, with an independent calibration population [45, 56]. Ding et al. [56] note that few labelled examples per class make such coverage difficult to obtain usefully. The study should report </w:t>
      </w:r>
      <w:proofErr w:type="gramStart"/>
      <w:r>
        <w:t>per-family</w:t>
      </w:r>
      <w:proofErr w:type="gramEnd"/>
      <w:r>
        <w:t xml:space="preserve"> coverage and set size as well as abstention on new held-out queries. Prediction-set coverage would neither improve the underlying ranker's macro recall automatically nor certify that a retrieved maintenance action applies to an aircraft.</w:t>
      </w:r>
    </w:p>
    <w:p w14:paraId="0BB39BBD" w14:textId="77777777" w:rsidR="004B1887" w:rsidRDefault="00110685" w:rsidP="00110685">
      <w:r>
        <w:t>Qualified planners should complete realistic evidence-finding tasks with and without the dashboard. The study should measure retrieval success, time, sources inspected, correction behavior, response to abstention, trust calibration, and anchoring. Field use should wait until approved-data links, access controls, logging, security responsibilities, and organizational authority are defined.</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