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D3A3" w14:textId="77777777" w:rsidR="00110685" w:rsidRDefault="00110685" w:rsidP="004B1887">
      <w:pPr>
        <w:pStyle w:val="Heading1"/>
        <w:numPr>
          <w:ilvl w:val="0"/>
          <w:numId w:val="0"/>
        </w:numPr>
      </w:pPr>
      <w:r>
        <w:t>10 Conclusion</w:t>
      </w:r>
    </w:p>
    <w:p w14:paraId="6BABD746" w14:textId="77777777" w:rsidR="00110685" w:rsidRDefault="00110685" w:rsidP="004B1887">
      <w:pPr>
        <w:pStyle w:val="Heading2"/>
        <w:numPr>
          <w:ilvl w:val="0"/>
          <w:numId w:val="0"/>
        </w:numPr>
      </w:pPr>
      <w:r>
        <w:t>10.1 Summary</w:t>
      </w:r>
    </w:p>
    <w:p w14:paraId="3A6E8813" w14:textId="77777777" w:rsidR="00110685" w:rsidRDefault="00110685" w:rsidP="00110685">
      <w:r>
        <w:t xml:space="preserve">This thesis developed and evaluated a pipeline that converts noisy aviation maintenance records into structured historical evidence for planning support. The study compares six normalization representations, measures their downstream effect with matched </w:t>
      </w:r>
      <w:proofErr w:type="spellStart"/>
      <w:r>
        <w:t>SpERT</w:t>
      </w:r>
      <w:proofErr w:type="spellEnd"/>
      <w:r>
        <w:t xml:space="preserve"> training, evaluates four extraction architectures internally and on </w:t>
      </w:r>
      <w:proofErr w:type="spellStart"/>
      <w:r>
        <w:t>MaintIE</w:t>
      </w:r>
      <w:proofErr w:type="spellEnd"/>
      <w:r>
        <w:t>, builds a silver graph and case library, and tests cluster-safe retrieval, perturbation robustness, calibration, and evidence presentation.</w:t>
      </w:r>
    </w:p>
    <w:p w14:paraId="3D670D41" w14:textId="77777777" w:rsidR="00110685" w:rsidRDefault="00110685" w:rsidP="00110685">
      <w:proofErr w:type="gramStart"/>
      <w:r>
        <w:t>The mathematical</w:t>
      </w:r>
      <w:proofErr w:type="gramEnd"/>
      <w:r>
        <w:t xml:space="preserve"> measures make the boundaries of the conclusion explicit. WER, CER, exact match, and change F1 quantify agreement with normalized reference strings. Micro- and macro-F1 quantify recovery of gold annotations under different class weightings. </w:t>
      </w:r>
      <w:proofErr w:type="spellStart"/>
      <w:r>
        <w:t>Hit@k</w:t>
      </w:r>
      <w:proofErr w:type="spellEnd"/>
      <w:r>
        <w:t xml:space="preserve">, MRR, and </w:t>
      </w:r>
      <w:proofErr w:type="spellStart"/>
      <w:r>
        <w:t>nDCG</w:t>
      </w:r>
      <w:proofErr w:type="spellEnd"/>
      <w:r>
        <w:t xml:space="preserve"> quantify ranked recovery of historical evidence. ECE and Brier quantify agreement calibration. None contains a variable for approved technical applicability, regulatory currency, repair causality, or airworthiness; those constructs therefore cannot be inferred from the reported values.</w:t>
      </w:r>
    </w:p>
    <w:p w14:paraId="357453FA" w14:textId="77777777" w:rsidR="00110685" w:rsidRDefault="00110685" w:rsidP="00110685">
      <w:r>
        <w:t xml:space="preserve">The experiments reveal that progress at one pipeline stage cannot be assumed to transfer to the next. ByT5 best matches the cleaned normalization reference, while Selective ByT5 is the validation-selected system and preserves all protected tokens. Raw text nevertheless </w:t>
      </w:r>
      <w:proofErr w:type="gramStart"/>
      <w:r>
        <w:t>leads</w:t>
      </w:r>
      <w:proofErr w:type="gramEnd"/>
      <w:r>
        <w:t xml:space="preserve"> the downstream </w:t>
      </w:r>
      <w:proofErr w:type="spellStart"/>
      <w:r>
        <w:t>SpERT</w:t>
      </w:r>
      <w:proofErr w:type="spellEnd"/>
      <w:r>
        <w:t xml:space="preserve"> micro-F1 measures. </w:t>
      </w:r>
      <w:proofErr w:type="spellStart"/>
      <w:r>
        <w:t>SpERT</w:t>
      </w:r>
      <w:proofErr w:type="spellEnd"/>
      <w:r>
        <w:t xml:space="preserve"> leads both four-model extraction comparisons, but its full-corpus predictions remain silver.</w:t>
      </w:r>
    </w:p>
    <w:p w14:paraId="4AC65DBC" w14:textId="77777777" w:rsidR="00110685" w:rsidRDefault="00110685" w:rsidP="00110685">
      <w:r>
        <w:t xml:space="preserve">The final retrieval protocol achieved Hit@1 0.7899, Hit@3 0.9686, Hit@5 0.9952, MRR 0.8766, and nDCG@5 0.9067 on 828 evaluable queries. The tested perturbations caused limited top-k degradation, and one reviewer rated the retrieved evidence </w:t>
      </w:r>
      <w:proofErr w:type="spellStart"/>
      <w:r>
        <w:t>favourably</w:t>
      </w:r>
      <w:proofErr w:type="spellEnd"/>
      <w:r>
        <w:t>. Macro action-family recall remained 0.2802, and none of these metrics establishes technical applicability or repair correctness.</w:t>
      </w:r>
    </w:p>
    <w:p w14:paraId="3706CCD0" w14:textId="77777777" w:rsidR="00110685" w:rsidRDefault="00110685" w:rsidP="004B1887">
      <w:pPr>
        <w:pStyle w:val="Heading2"/>
        <w:numPr>
          <w:ilvl w:val="0"/>
          <w:numId w:val="0"/>
        </w:numPr>
      </w:pPr>
      <w:r>
        <w:t>10.2 Contributions revisited</w:t>
      </w:r>
    </w:p>
    <w:p w14:paraId="1AEC2766" w14:textId="77777777" w:rsidR="00110685" w:rsidRDefault="00110685" w:rsidP="00110685">
      <w:r>
        <w:t xml:space="preserve">The main contributions are a validation-selected normalization comparison with a locked test, a planning-oriented nine-entity and eleven-relation schema, a matched normalization-to-extraction experiment, a four-architecture internal and </w:t>
      </w:r>
      <w:proofErr w:type="spellStart"/>
      <w:r>
        <w:t>MaintIE</w:t>
      </w:r>
      <w:proofErr w:type="spellEnd"/>
      <w:r>
        <w:t xml:space="preserve"> benchmark, a provenance-preserving silver case layer, and a frozen historical-evidence retrieval evaluation. The accompanying evidence ledger keeps validation, test, silver, calibration, and manual-review claims distinct.</w:t>
      </w:r>
    </w:p>
    <w:p w14:paraId="70B033BE" w14:textId="77777777" w:rsidR="00110685" w:rsidRDefault="00110685" w:rsidP="00110685">
      <w:r>
        <w:lastRenderedPageBreak/>
        <w:t>The engineering contribution lies in the controls that preserve evidential meaning: cluster-safe splits, hidden query actions, typed relation checks, complete-case rendering, outcome quarantine, alternatives, reviewer correction, and abstention. These mechanisms make each displayed option traceable and define where qualified judgment must enter the workflow.</w:t>
      </w:r>
    </w:p>
    <w:p w14:paraId="32BDE900" w14:textId="77777777" w:rsidR="00110685" w:rsidRDefault="00110685" w:rsidP="004B1887">
      <w:pPr>
        <w:pStyle w:val="Heading2"/>
        <w:numPr>
          <w:ilvl w:val="0"/>
          <w:numId w:val="0"/>
        </w:numPr>
      </w:pPr>
      <w:proofErr w:type="gramStart"/>
      <w:r>
        <w:t>10.3 Final conclusion</w:t>
      </w:r>
      <w:proofErr w:type="gramEnd"/>
    </w:p>
    <w:p w14:paraId="3AA06AE9" w14:textId="77777777" w:rsidR="00110685" w:rsidRDefault="00110685" w:rsidP="00110685">
      <w:r>
        <w:t xml:space="preserve">Noisy maintenance records can support useful historical-evidence retrieval when normalization, extraction, case construction, and ranking are evaluated as separate problems. The study also identifies the limits of that evidence. The </w:t>
      </w:r>
      <w:proofErr w:type="gramStart"/>
      <w:r>
        <w:t>preselected</w:t>
      </w:r>
      <w:proofErr w:type="gramEnd"/>
      <w:r>
        <w:t xml:space="preserve"> normalizer is not the descriptive test leader, normalization does not improve downstream micro-F1, rare extraction and action families remain weak, and the operational graph is </w:t>
      </w:r>
      <w:proofErr w:type="gramStart"/>
      <w:r>
        <w:t>model-generated</w:t>
      </w:r>
      <w:proofErr w:type="gramEnd"/>
      <w:r>
        <w:t>.</w:t>
      </w:r>
    </w:p>
    <w:p w14:paraId="3732322E" w14:textId="77777777" w:rsidR="004B1887" w:rsidRDefault="00110685" w:rsidP="00110685">
      <w:proofErr w:type="spellStart"/>
      <w:r>
        <w:t>AviMaint</w:t>
      </w:r>
      <w:proofErr w:type="spellEnd"/>
      <w:r>
        <w:t>-DSS should therefore be treated as a research planning aid that helps qualified personnel find, compare, and document historical cases while they consult current approved maintenance data. The next milestone is independent evaluation with multiple domain experts and organizations, including technical-applicability, usability, automation-bias, security, and abstention studies. The locked tests should remain closed to further selection or tuning.</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