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1A13" w14:textId="77777777" w:rsidR="00110685" w:rsidRPr="004B1887" w:rsidRDefault="00110685" w:rsidP="00110685">
      <w:pPr>
        <w:rPr>
          <w:b/>
          <w:bCs/>
          <w:sz w:val="32"/>
          <w:szCs w:val="32"/>
        </w:rPr>
      </w:pPr>
      <w:r w:rsidRPr="004B1887">
        <w:rPr>
          <w:b/>
          <w:bCs/>
          <w:sz w:val="32"/>
          <w:szCs w:val="32"/>
        </w:rPr>
        <w:t>Appendix A Complete Schema Catalogue</w:t>
      </w:r>
    </w:p>
    <w:p w14:paraId="21102E8F" w14:textId="77777777" w:rsidR="00110685" w:rsidRDefault="00110685" w:rsidP="00110685">
      <w:r>
        <w:t xml:space="preserve">This appendix consolidates the nine-entity, eleven-relation </w:t>
      </w:r>
      <w:proofErr w:type="spellStart"/>
      <w:r>
        <w:t>AviMaint</w:t>
      </w:r>
      <w:proofErr w:type="spellEnd"/>
      <w:r>
        <w:t>-DSS-IE schema used in the frozen internal comparison and operational dashboard. Examples remain illustrative, and only explicit text is annotated. Table A.1 provides the complete entity catalogue, and Table A.2 provides the relation catalogue.</w:t>
      </w:r>
    </w:p>
    <w:p w14:paraId="558B2E86" w14:textId="77777777" w:rsidR="00110685" w:rsidRPr="004B1887" w:rsidRDefault="00110685" w:rsidP="00110685">
      <w:pPr>
        <w:rPr>
          <w:b/>
          <w:bCs/>
          <w:sz w:val="32"/>
          <w:szCs w:val="32"/>
        </w:rPr>
      </w:pPr>
      <w:r w:rsidRPr="004B1887">
        <w:rPr>
          <w:b/>
          <w:bCs/>
          <w:sz w:val="32"/>
          <w:szCs w:val="32"/>
        </w:rPr>
        <w:t>Appendix B Detailed Information-Extraction Results</w:t>
      </w:r>
    </w:p>
    <w:p w14:paraId="583FB625"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2784D847" w14:textId="77777777" w:rsidR="00110685" w:rsidRDefault="00110685" w:rsidP="00110685">
      <w:r>
        <w:t>Strict typed, directed relation F1 on the frozen 225-record test. Overall gold relation support = 1,419; ACTION_FOLLOWS_REFERENCE has only two test instances.</w:t>
      </w:r>
    </w:p>
    <w:p w14:paraId="2CA0E730" w14:textId="6D8A1DF8" w:rsidR="00340E8C" w:rsidRDefault="00110685" w:rsidP="00110685">
      <w:r>
        <w:t xml:space="preserve">Full </w:t>
      </w:r>
      <w:proofErr w:type="gramStart"/>
      <w:r>
        <w:t>gold-corpus</w:t>
      </w:r>
      <w:proofErr w:type="gramEnd"/>
      <w:r>
        <w:t xml:space="preserve"> support, not frozen-test support; the overall frozen-test relation support is 1,419.</w:t>
      </w:r>
    </w:p>
    <w:p w14:paraId="33D1F275"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184F3A10" w14:textId="77777777" w:rsidR="00110685" w:rsidRDefault="00110685" w:rsidP="00110685">
      <w:r>
        <w:t xml:space="preserve">The final Selective contract freezes problem-only canonical BM25 retrieval, the prior-tempering exponent </w:t>
      </w:r>
      <w:proofErr w:type="spellStart"/>
      <w:r>
        <w:t>τ_rank</w:t>
      </w:r>
      <w:proofErr w:type="spellEnd"/>
      <w:r>
        <w:t xml:space="preserve">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test at the selected prior-tempering exponent. Three modes that were not selected reached higher test Hit@1 than the selected configuration; because mode selection was completed on development data under the preregistered rule and the test was opened once, those values are reported as evidence that the protocol was followed rather than as grounds for revising the selected configuration.</w:t>
      </w:r>
    </w:p>
    <w:p w14:paraId="4AEEAF9F" w14:textId="77777777" w:rsidR="00110685" w:rsidRPr="00340E8C" w:rsidRDefault="00110685" w:rsidP="00110685">
      <w:pPr>
        <w:rPr>
          <w:b/>
          <w:bCs/>
        </w:rPr>
      </w:pPr>
      <w:r w:rsidRPr="00340E8C">
        <w:rPr>
          <w:b/>
          <w:bCs/>
        </w:rPr>
        <w:t>C.1 Required external evaluation sequence</w:t>
      </w:r>
    </w:p>
    <w:p w14:paraId="41D45582" w14:textId="3BBDC547" w:rsidR="00110685" w:rsidRPr="00340E8C" w:rsidRDefault="00110685" w:rsidP="00340E8C">
      <w:pPr>
        <w:pStyle w:val="ListParagraph"/>
        <w:numPr>
          <w:ilvl w:val="0"/>
          <w:numId w:val="9"/>
        </w:numPr>
        <w:rPr>
          <w:sz w:val="22"/>
          <w:szCs w:val="22"/>
        </w:rPr>
      </w:pPr>
      <w:r w:rsidRPr="00340E8C">
        <w:rPr>
          <w:sz w:val="22"/>
          <w:szCs w:val="22"/>
        </w:rPr>
        <w:t xml:space="preserve">Preserve the final Selective model, split, prior-tempering exponent, aggregation, checksum, and evaluation manifests without </w:t>
      </w:r>
      <w:proofErr w:type="gramStart"/>
      <w:r w:rsidRPr="00340E8C">
        <w:rPr>
          <w:sz w:val="22"/>
          <w:szCs w:val="22"/>
        </w:rPr>
        <w:t>retuning</w:t>
      </w:r>
      <w:proofErr w:type="gramEnd"/>
      <w:r w:rsidRPr="00340E8C">
        <w:rPr>
          <w:sz w:val="22"/>
          <w:szCs w:val="22"/>
        </w:rPr>
        <w:t xml:space="preserve"> on the locked test.</w:t>
      </w:r>
    </w:p>
    <w:p w14:paraId="09E1218A" w14:textId="4DA97C7B" w:rsidR="00110685" w:rsidRPr="00340E8C" w:rsidRDefault="00110685" w:rsidP="00340E8C">
      <w:pPr>
        <w:pStyle w:val="ListParagraph"/>
        <w:numPr>
          <w:ilvl w:val="0"/>
          <w:numId w:val="9"/>
        </w:numPr>
        <w:rPr>
          <w:sz w:val="22"/>
          <w:szCs w:val="22"/>
        </w:rPr>
      </w:pPr>
      <w:r w:rsidRPr="00340E8C">
        <w:rPr>
          <w:sz w:val="22"/>
          <w:szCs w:val="22"/>
        </w:rPr>
        <w:t>For future external studies, select new query clusters with no overlap with existing training, validation, test, calibration, or manual-review populations.</w:t>
      </w:r>
    </w:p>
    <w:p w14:paraId="1CD05F49" w14:textId="7FB0971A" w:rsidR="00110685" w:rsidRPr="00340E8C" w:rsidRDefault="00110685" w:rsidP="00340E8C">
      <w:pPr>
        <w:pStyle w:val="ListParagraph"/>
        <w:numPr>
          <w:ilvl w:val="0"/>
          <w:numId w:val="9"/>
        </w:numPr>
        <w:rPr>
          <w:sz w:val="22"/>
          <w:szCs w:val="22"/>
        </w:rPr>
      </w:pPr>
      <w:r w:rsidRPr="00340E8C">
        <w:rPr>
          <w:sz w:val="22"/>
          <w:szCs w:val="22"/>
        </w:rPr>
        <w:t>Stage 1: collect blinded problem-relevance judgments without actions, system scores, or ranks; lock the judgments.</w:t>
      </w:r>
    </w:p>
    <w:p w14:paraId="00E4372F" w14:textId="0A4071EF" w:rsidR="00110685" w:rsidRPr="00340E8C" w:rsidRDefault="00110685" w:rsidP="00340E8C">
      <w:pPr>
        <w:pStyle w:val="ListParagraph"/>
        <w:numPr>
          <w:ilvl w:val="0"/>
          <w:numId w:val="9"/>
        </w:numPr>
        <w:rPr>
          <w:sz w:val="22"/>
          <w:szCs w:val="22"/>
        </w:rPr>
      </w:pPr>
      <w:r w:rsidRPr="00340E8C">
        <w:rPr>
          <w:sz w:val="22"/>
          <w:szCs w:val="22"/>
        </w:rPr>
        <w:t>Stage 2: collect evidence-usability and technical-applicability judgments separately; lock and adjudicate them.</w:t>
      </w:r>
    </w:p>
    <w:p w14:paraId="4E25BA60" w14:textId="45F1173D" w:rsidR="00110685" w:rsidRPr="00340E8C" w:rsidRDefault="00110685" w:rsidP="00340E8C">
      <w:pPr>
        <w:pStyle w:val="ListParagraph"/>
        <w:numPr>
          <w:ilvl w:val="0"/>
          <w:numId w:val="9"/>
        </w:numPr>
        <w:rPr>
          <w:sz w:val="22"/>
          <w:szCs w:val="22"/>
        </w:rPr>
      </w:pPr>
      <w:r w:rsidRPr="00340E8C">
        <w:rPr>
          <w:sz w:val="22"/>
          <w:szCs w:val="22"/>
        </w:rPr>
        <w:t xml:space="preserve">Score all systems on the same judged pool with </w:t>
      </w:r>
      <w:proofErr w:type="spellStart"/>
      <w:r w:rsidRPr="00340E8C">
        <w:rPr>
          <w:sz w:val="22"/>
          <w:szCs w:val="22"/>
        </w:rPr>
        <w:t>nDCG</w:t>
      </w:r>
      <w:proofErr w:type="spellEnd"/>
      <w:r w:rsidRPr="00340E8C">
        <w:rPr>
          <w:sz w:val="22"/>
          <w:szCs w:val="22"/>
        </w:rPr>
        <w:t xml:space="preserve">, MRR, </w:t>
      </w:r>
      <w:proofErr w:type="spellStart"/>
      <w:r w:rsidRPr="00340E8C">
        <w:rPr>
          <w:sz w:val="22"/>
          <w:szCs w:val="22"/>
        </w:rPr>
        <w:t>Hit@k</w:t>
      </w:r>
      <w:proofErr w:type="spellEnd"/>
      <w:r w:rsidRPr="00340E8C">
        <w:rPr>
          <w:sz w:val="22"/>
          <w:szCs w:val="22"/>
        </w:rPr>
        <w:t>, macro family recall, calibration, and paired uncertainty.</w:t>
      </w:r>
    </w:p>
    <w:p w14:paraId="186BC67A" w14:textId="226F5C5E" w:rsidR="00110685" w:rsidRPr="00340E8C" w:rsidRDefault="00110685" w:rsidP="00340E8C">
      <w:pPr>
        <w:pStyle w:val="ListParagraph"/>
        <w:numPr>
          <w:ilvl w:val="0"/>
          <w:numId w:val="9"/>
        </w:numPr>
        <w:rPr>
          <w:sz w:val="22"/>
          <w:szCs w:val="22"/>
        </w:rPr>
      </w:pPr>
      <w:r w:rsidRPr="00340E8C">
        <w:rPr>
          <w:sz w:val="22"/>
          <w:szCs w:val="22"/>
        </w:rPr>
        <w:t>Report abstention, coverage, calibration, and risk–coverage behavior without selecting thresholds on the new test.</w:t>
      </w:r>
    </w:p>
    <w:p w14:paraId="79A9EDD7" w14:textId="335D8AE4" w:rsidR="00340E8C" w:rsidRPr="00340E8C" w:rsidRDefault="00110685" w:rsidP="00340E8C">
      <w:pPr>
        <w:pStyle w:val="ListParagraph"/>
        <w:numPr>
          <w:ilvl w:val="0"/>
          <w:numId w:val="9"/>
        </w:numPr>
        <w:rPr>
          <w:sz w:val="22"/>
          <w:szCs w:val="22"/>
        </w:rPr>
      </w:pPr>
      <w:r w:rsidRPr="00340E8C">
        <w:rPr>
          <w:sz w:val="22"/>
          <w:szCs w:val="22"/>
        </w:rPr>
        <w:t>Keep technical safety/applicability review distinct from ranking relevance; no metric should be described as approved-procedure accuracy.</w:t>
      </w:r>
    </w:p>
    <w:p w14:paraId="071641CD" w14:textId="77777777" w:rsidR="00110685" w:rsidRPr="00340E8C" w:rsidRDefault="00110685" w:rsidP="00110685">
      <w:pPr>
        <w:rPr>
          <w:b/>
          <w:bCs/>
          <w:sz w:val="28"/>
          <w:szCs w:val="32"/>
        </w:rPr>
      </w:pPr>
      <w:r w:rsidRPr="00340E8C">
        <w:rPr>
          <w:b/>
          <w:bCs/>
          <w:sz w:val="28"/>
          <w:szCs w:val="32"/>
        </w:rPr>
        <w:t>Appendix D Reproducibility and Artifact Register</w:t>
      </w:r>
    </w:p>
    <w:p w14:paraId="7BE71023"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7B9C9782" w14:textId="77777777" w:rsidR="00110685" w:rsidRPr="00340E8C" w:rsidRDefault="00110685" w:rsidP="00110685">
      <w:pPr>
        <w:rPr>
          <w:b/>
          <w:bCs/>
        </w:rPr>
      </w:pPr>
      <w:r w:rsidRPr="00340E8C">
        <w:rPr>
          <w:b/>
          <w:bCs/>
        </w:rPr>
        <w:t>D.1 Reproduction sequence</w:t>
      </w:r>
    </w:p>
    <w:p w14:paraId="416D6172" w14:textId="10B0F4E4" w:rsidR="00110685" w:rsidRDefault="00110685" w:rsidP="00340E8C">
      <w:r>
        <w:t>Verify the evidence manifests, checksums, split locks, and canonical result register before editing reported values; do not retrain or retune frozen experiments.</w:t>
      </w:r>
    </w:p>
    <w:p w14:paraId="1C4018C6" w14:textId="06B2B406" w:rsidR="00110685" w:rsidRDefault="00110685" w:rsidP="00340E8C">
      <w:r>
        <w:t>Verify the 5,124-record paired subset, 3,457/926/741 split, validation-only selection manifest, and six locked-test outputs. Keep Selective ByT5 as the official selected system.</w:t>
      </w:r>
    </w:p>
    <w:p w14:paraId="62032CE8" w14:textId="3E3A5893" w:rsidR="00110685" w:rsidRDefault="00110685" w:rsidP="00340E8C">
      <w:r>
        <w:t>Import and validate the 1,600-record gold IE corpus; confirm 1,275/100/225 train/DEV/test counts and class inventories.</w:t>
      </w:r>
    </w:p>
    <w:p w14:paraId="2EDEBD57" w14:textId="385F8EAF" w:rsidR="00110685" w:rsidRDefault="00110685" w:rsidP="00340E8C">
      <w:r>
        <w:lastRenderedPageBreak/>
        <w:t xml:space="preserve">Verify the four-model 1,275/100/225 internal comparison and the separate 860/108/108 </w:t>
      </w:r>
      <w:proofErr w:type="spellStart"/>
      <w:r>
        <w:t>MaintIE</w:t>
      </w:r>
      <w:proofErr w:type="spellEnd"/>
      <w:r>
        <w:t xml:space="preserve"> benchmark from their frozen artifacts; do not reconstruct missing values from older three-tier reports.</w:t>
      </w:r>
    </w:p>
    <w:p w14:paraId="32126C27" w14:textId="03007B96" w:rsidR="00110685" w:rsidRDefault="00110685" w:rsidP="00340E8C">
      <w:r>
        <w:t xml:space="preserve">Verify the scored </w:t>
      </w:r>
      <w:proofErr w:type="spellStart"/>
      <w:r>
        <w:t>SpERT</w:t>
      </w:r>
      <w:proofErr w:type="spellEnd"/>
      <w:r>
        <w:t xml:space="preserve"> test result and representation-matched ablation while retaining the full-corpus operational graph as silver evidence.</w:t>
      </w:r>
    </w:p>
    <w:p w14:paraId="07CBDAD4" w14:textId="285304BD" w:rsidR="00110685" w:rsidRDefault="00110685" w:rsidP="00340E8C">
      <w:r>
        <w:t>Build cases and graph exports with original identifiers, relation-signature checks, outcome policy, and evidence clusters.</w:t>
      </w:r>
    </w:p>
    <w:p w14:paraId="3296B582" w14:textId="02BC9753" w:rsidR="00110685" w:rsidRDefault="00110685" w:rsidP="00340E8C">
      <w:r>
        <w:t>Rebuild the recommender index from allowed partitions; verify query-cluster exclusion and solution-side exclusion.</w:t>
      </w:r>
    </w:p>
    <w:p w14:paraId="5ABE026F" w14:textId="3A4549CF" w:rsidR="00110685" w:rsidRDefault="00110685" w:rsidP="00340E8C">
      <w:r>
        <w:t xml:space="preserve">Retain earlier retrieval studies only as documented development history; do not use them as the final RQ4 result or </w:t>
      </w:r>
      <w:proofErr w:type="gramStart"/>
      <w:r>
        <w:t>retune</w:t>
      </w:r>
      <w:proofErr w:type="gramEnd"/>
      <w:r>
        <w:t xml:space="preserve"> on their opened data.</w:t>
      </w:r>
    </w:p>
    <w:p w14:paraId="46703DBB" w14:textId="59753B8C" w:rsidR="00110685" w:rsidRDefault="00110685" w:rsidP="00340E8C">
      <w:r>
        <w:t>Verify the final Selective 828-query test, calibration, manual-review, and supplementary robustness artifacts from the immutable evidence freeze.</w:t>
      </w:r>
    </w:p>
    <w:p w14:paraId="5AFD0DDE" w14:textId="4D301CEB" w:rsidR="00E134AF" w:rsidRPr="00B011E7" w:rsidRDefault="00110685" w:rsidP="00340E8C">
      <w:r>
        <w:t xml:space="preserve">Run the complete application test suite in the declared environment, including </w:t>
      </w:r>
      <w:proofErr w:type="spellStart"/>
      <w:r>
        <w:t>Streamlit</w:t>
      </w:r>
      <w:proofErr w:type="spellEnd"/>
      <w:r>
        <w:t xml:space="preserve"> and </w:t>
      </w:r>
      <w:proofErr w:type="spellStart"/>
      <w:r>
        <w:t>Plotly</w:t>
      </w:r>
      <w:proofErr w:type="spellEnd"/>
      <w:r>
        <w:t xml:space="preserve"> smoke/architecture modules, and archive dependency versions.</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