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D1. Larkspur Precision Components, Inc.: Financial Summary</w:t>
      </w:r>
    </w:p>
    <w:p>
      <w:r>
        <w:t>Source: CreditLens spread export, prepared by Credit Analysis, Sept 2026. $ in thousands. FY2023-FY2025 audited by Hartwell &amp; Lo LLP (unqualified opinions). Fiscal year ends December 31.</w:t>
      </w:r>
    </w:p>
    <w:p>
      <w:pPr>
        <w:pStyle w:val="Heading1"/>
      </w:pPr>
      <w:r>
        <w:t>§1 Table 1, Income and cash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Row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FY2023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FY2024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FY2025</w:t>
            </w:r>
          </w:p>
        </w:tc>
      </w:tr>
      <w:tr>
        <w:tc>
          <w:tcPr>
            <w:tcW w:type="dxa" w:w="2160"/>
          </w:tcPr>
          <w:p>
            <w:r/>
            <w:r>
              <w:t>Revenue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61,400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66,800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72,500</w:t>
            </w:r>
          </w:p>
        </w:tc>
      </w:tr>
      <w:tr>
        <w:tc>
          <w:tcPr>
            <w:tcW w:type="dxa" w:w="2160"/>
          </w:tcPr>
          <w:p>
            <w:r/>
            <w:r>
              <w:t>Revenue growth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6.0%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8.8%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8.5%</w:t>
            </w:r>
          </w:p>
        </w:tc>
      </w:tr>
      <w:tr>
        <w:tc>
          <w:tcPr>
            <w:tcW w:type="dxa" w:w="2160"/>
          </w:tcPr>
          <w:p>
            <w:r/>
            <w:r>
              <w:t>EBITDA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8,600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9,500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10,400</w:t>
            </w:r>
          </w:p>
        </w:tc>
      </w:tr>
      <w:tr>
        <w:tc>
          <w:tcPr>
            <w:tcW w:type="dxa" w:w="2160"/>
          </w:tcPr>
          <w:p>
            <w:r/>
            <w:r>
              <w:t>EBITDA margin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14.0%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14.2%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14.3%</w:t>
            </w:r>
          </w:p>
        </w:tc>
      </w:tr>
      <w:tr>
        <w:tc>
          <w:tcPr>
            <w:tcW w:type="dxa" w:w="2160"/>
          </w:tcPr>
          <w:p>
            <w:r/>
            <w:r>
              <w:t>Net income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3,100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3,600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3,900</w:t>
            </w:r>
          </w:p>
        </w:tc>
      </w:tr>
      <w:tr>
        <w:tc>
          <w:tcPr>
            <w:tcW w:type="dxa" w:w="2160"/>
          </w:tcPr>
          <w:p>
            <w:r/>
            <w:r>
              <w:t>Unfunded capex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1,200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1,300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1,400</w:t>
            </w:r>
          </w:p>
        </w:tc>
      </w:tr>
      <w:tr>
        <w:tc>
          <w:tcPr>
            <w:tcW w:type="dxa" w:w="2160"/>
          </w:tcPr>
          <w:p>
            <w:r/>
            <w:r>
              <w:t>Cash taxes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1,000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1,150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1,250</w:t>
            </w:r>
          </w:p>
        </w:tc>
      </w:tr>
      <w:tr>
        <w:tc>
          <w:tcPr>
            <w:tcW w:type="dxa" w:w="2160"/>
          </w:tcPr>
          <w:p>
            <w:r/>
            <w:r>
              <w:t>Debt service (P+I)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4,500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4,550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4,800</w:t>
            </w:r>
          </w:p>
        </w:tc>
      </w:tr>
    </w:tbl>
    <w:p/>
    <w:p>
      <w:pPr>
        <w:pStyle w:val="Heading1"/>
      </w:pPr>
      <w:r>
        <w:t>§2 Table 2, Liquidity and leverage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Row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FY2023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FY2024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FY2025</w:t>
            </w:r>
          </w:p>
        </w:tc>
      </w:tr>
      <w:tr>
        <w:tc>
          <w:tcPr>
            <w:tcW w:type="dxa" w:w="2160"/>
          </w:tcPr>
          <w:p>
            <w:r/>
            <w:r>
              <w:t>Cash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2,100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2,600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Not provided*</w:t>
            </w:r>
          </w:p>
        </w:tc>
      </w:tr>
      <w:tr>
        <w:tc>
          <w:tcPr>
            <w:tcW w:type="dxa" w:w="2160"/>
          </w:tcPr>
          <w:p>
            <w:r/>
            <w:r>
              <w:t>Revolver availability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1,800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2,300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1,800</w:t>
            </w:r>
          </w:p>
        </w:tc>
      </w:tr>
      <w:tr>
        <w:tc>
          <w:tcPr>
            <w:tcW w:type="dxa" w:w="2160"/>
          </w:tcPr>
          <w:p>
            <w:r/>
            <w:r>
              <w:t>Liquidity (cash + availability)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3,900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4,900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n/a*</w:t>
            </w:r>
          </w:p>
        </w:tc>
      </w:tr>
      <w:tr>
        <w:tc>
          <w:tcPr>
            <w:tcW w:type="dxa" w:w="2160"/>
          </w:tcPr>
          <w:p>
            <w:r/>
            <w:r>
              <w:t>Total funded debt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22,400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20,900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19,800</w:t>
            </w:r>
          </w:p>
        </w:tc>
      </w:tr>
      <w:tr>
        <w:tc>
          <w:tcPr>
            <w:tcW w:type="dxa" w:w="2160"/>
          </w:tcPr>
          <w:p>
            <w:r/>
            <w:r>
              <w:t>Total leverage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2.60x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2.20x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1.90x</w:t>
            </w:r>
          </w:p>
        </w:tc>
      </w:tr>
      <w:tr>
        <w:tc>
          <w:tcPr>
            <w:tcW w:type="dxa" w:w="2160"/>
          </w:tcPr>
          <w:p>
            <w:r/>
            <w:r>
              <w:t>DSCR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1.42x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1.55x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1.61x</w:t>
            </w:r>
          </w:p>
        </w:tc>
      </w:tr>
    </w:tbl>
    <w:p/>
    <w:p>
      <w:r>
        <w:t>Footnote *: FY2025 year-end cash balance was not included in the spread export. The borrower will provide year-end bank statements with the Q3 2026 package.</w:t>
      </w:r>
    </w:p>
    <w:p>
      <w:r>
        <w:t>Definitions as spread: Total leverage is total funded debt divided by EBITDA. DSCR is (EBITDA minus unfunded capex minus cash taxes) divided by debt service (P+I).</w:t>
      </w:r>
    </w:p>
    <w:p>
      <w:pPr>
        <w:pStyle w:val="Heading1"/>
      </w:pPr>
      <w:r>
        <w:t>§3 Table 3, Pro forma for the proposed $18.0M facility (FY2025 basis)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Row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Pro forma (FY2025 basis)</w:t>
            </w:r>
          </w:p>
        </w:tc>
      </w:tr>
      <w:tr>
        <w:tc>
          <w:tcPr>
            <w:tcW w:type="dxa" w:w="4320"/>
          </w:tcPr>
          <w:p>
            <w:r/>
            <w:r>
              <w:t>Total funded debt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26,200</w:t>
            </w:r>
          </w:p>
        </w:tc>
      </w:tr>
      <w:tr>
        <w:tc>
          <w:tcPr>
            <w:tcW w:type="dxa" w:w="4320"/>
          </w:tcPr>
          <w:p>
            <w:r/>
            <w:r>
              <w:t>Total leverage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2.52x</w:t>
            </w:r>
          </w:p>
        </w:tc>
      </w:tr>
      <w:tr>
        <w:tc>
          <w:tcPr>
            <w:tcW w:type="dxa" w:w="4320"/>
          </w:tcPr>
          <w:p>
            <w:r/>
            <w:r>
              <w:t>Debt service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5,600</w:t>
            </w:r>
          </w:p>
        </w:tc>
      </w:tr>
      <w:tr>
        <w:tc>
          <w:tcPr>
            <w:tcW w:type="dxa" w:w="4320"/>
          </w:tcPr>
          <w:p>
            <w:r/>
            <w:r>
              <w:t>DSCR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1.38x</w:t>
            </w:r>
          </w:p>
        </w:tc>
      </w:tr>
    </w:tbl>
    <w:p/>
    <w:p>
      <w:r>
        <w:t>Note to Table 3: Pro forma total funded debt of 26,200 is made up of the proposed term loan 12,000, the Meridian revolver 3,200 and the equipment notes 11,000. The proposed facility is $18.0M in total: a $12.0M term loan and a $6.0M revolver. Term loan proceeds refinance the existing Meridian term loan 5,600, fund the plant expansion 6,000 and pay fees 400, for a total of 12,000.</w:t>
      </w:r>
    </w:p>
    <w:p>
      <w:pPr>
        <w:pStyle w:val="Heading1"/>
      </w:pPr>
      <w:r>
        <w:t>§4 Debt composition, FY2025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Row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FY2025</w:t>
            </w:r>
          </w:p>
        </w:tc>
      </w:tr>
      <w:tr>
        <w:tc>
          <w:tcPr>
            <w:tcW w:type="dxa" w:w="4320"/>
          </w:tcPr>
          <w:p>
            <w:r/>
            <w:r>
              <w:t>Meridian term loan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5,600</w:t>
            </w:r>
          </w:p>
        </w:tc>
      </w:tr>
      <w:tr>
        <w:tc>
          <w:tcPr>
            <w:tcW w:type="dxa" w:w="4320"/>
          </w:tcPr>
          <w:p>
            <w:r/>
            <w:r>
              <w:t>Meridian revolver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3,200</w:t>
            </w:r>
          </w:p>
        </w:tc>
      </w:tr>
      <w:tr>
        <w:tc>
          <w:tcPr>
            <w:tcW w:type="dxa" w:w="4320"/>
          </w:tcPr>
          <w:p>
            <w:r/>
            <w:r>
              <w:t>Equipment notes (Prairie Equipment Finance)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11,000</w:t>
            </w:r>
          </w:p>
        </w:tc>
      </w:tr>
      <w:tr>
        <w:tc>
          <w:tcPr>
            <w:tcW w:type="dxa" w:w="4320"/>
          </w:tcPr>
          <w:p>
            <w:r/>
            <w:r>
              <w:t>Total funded debt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t>19,800</w:t>
            </w:r>
          </w:p>
        </w:tc>
      </w:tr>
    </w:tbl>
    <w:p/>
    <w:p>
      <w:pPr>
        <w:pStyle w:val="Heading1"/>
      </w:pPr>
      <w:r>
        <w:t>§5 Customer concentration</w:t>
      </w:r>
    </w:p>
    <w:p>
      <w:r>
        <w:t>Customer A accounted for 28% of FY2024 revenue and 31% of FY2025 revenue. The top five customers accounted for 64% of FY2025 revenue.</w:t>
      </w:r>
    </w:p>
    <w:p>
      <w:pPr>
        <w:pStyle w:val="Heading1"/>
      </w:pPr>
      <w:r>
        <w:t>§6 Management commentary</w:t>
      </w:r>
    </w:p>
    <w:p>
      <w:r>
        <w:t>From the borrower's FY2025 letter to the bank, as summarized by the analyst: "Revenue grew 8.5% in FY2025 on new agricultural OEM programs. EBITDA margin improved on cell automation installed in 2024. Net income rose to $4.2 million. Management expects the plant expansion to add capacity for the Customer A program beginning in 2027."</w:t>
      </w:r>
    </w:p>
    <w:p>
      <w:pPr>
        <w:pStyle w:val="Heading1"/>
      </w:pPr>
      <w:r>
        <w:t>§7 Existing covenant compliance</w:t>
      </w:r>
    </w:p>
    <w:p>
      <w:r>
        <w:t>Per the FY2025 compliance certificate dated April 28, 2026, under the existing 2023 credit agreement: Total leverage was 1.90x against a maximum of 3.50x. DSCR was 1.61x against a minimum of 1.20x. The borrower was in compliance with both financial covenants.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FICTIONAL - prepared for case exercise.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