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D4. Meridian Trust Bank Commercial Credit Policy, §4.2 Middle-Market Cash Flow Lending (v2026.1, effective March 1, 2026)</w:t>
      </w:r>
    </w:p>
    <w:p>
      <w:r>
        <w:t>Excerpt. Section 4.2 applies to new-money and renewal requests for middle-market borrowers underwritten on a cash flow basis.</w:t>
      </w:r>
    </w:p>
    <w:p>
      <w:pPr>
        <w:pStyle w:val="Heading1"/>
      </w:pPr>
      <w:r>
        <w:t>§4.2.1 Leverage</w:t>
      </w:r>
    </w:p>
    <w:p>
      <w:r>
        <w:t>Pro forma total leverage at origination shall not exceed 3.50x. Any request with pro forma total leverage above 3.50x is a policy exception and requires Chief Credit Officer approval.</w:t>
      </w:r>
    </w:p>
    <w:p>
      <w:pPr>
        <w:pStyle w:val="Heading1"/>
      </w:pPr>
      <w:r>
        <w:t>§4.2.2 Debt service</w:t>
      </w:r>
    </w:p>
    <w:p>
      <w:r>
        <w:t>Pro forma debt service coverage ratio (DSCR) at origination shall be at least 1.25x. Any request with pro forma DSCR below 1.25x is a policy exception.</w:t>
      </w:r>
    </w:p>
    <w:p>
      <w:pPr>
        <w:pStyle w:val="Heading1"/>
      </w:pPr>
      <w:r>
        <w:t>§4.2.3 Senior review</w:t>
      </w:r>
    </w:p>
    <w:p>
      <w:r>
        <w:t>Senior underwriter review and Senior Loan Committee approval are required for any new-money request where (a) total commitment exceeds $15.0 million, (b) pro forma total leverage exceeds 3.00x, or (c) any policy exception is present.</w:t>
      </w:r>
    </w:p>
    <w:p>
      <w:pPr>
        <w:pStyle w:val="Heading1"/>
      </w:pPr>
      <w:r>
        <w:t>§4.2.4 Concentration</w:t>
      </w:r>
    </w:p>
    <w:p>
      <w:r>
        <w:t>If any single customer exceeds 25% of borrower revenue in the most recent fiscal year, the credit memo must address customer concentration in Section 7, Key Risks and Mitigants.</w:t>
      </w:r>
    </w:p>
    <w:p>
      <w:pPr>
        <w:pStyle w:val="Heading1"/>
      </w:pPr>
      <w:r>
        <w:t>§4.2.5 Risk rating</w:t>
      </w:r>
    </w:p>
    <w:p>
      <w:r>
        <w:t>Every credit memo must include a risk rating on the bank's 1-10 scale with a written rationale in Section 9. The underwriter assigns the rating and the senior reviewer confirms it. Drafting tools may assemble and summarize source information but may not assign, recommend or pre-populate a risk rating. [Prototype assumption: this sentence is the kind of language the proposed AI addendum would add.]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FICTIONAL - prepared for case exercise.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