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TierRoute Project Review</w:t>
      </w:r>
    </w:p>
    <w:p>
      <w:pPr>
        <w:spacing w:after="320"/>
      </w:pPr>
      <w:r>
        <w:rPr>
          <w:i/>
          <w:color w:val="595959"/>
        </w:rPr>
        <w:t>Prepared for the TierRoute team  |  19 October 2026</w:t>
      </w:r>
    </w:p>
    <w:p>
      <w:pPr>
        <w:pStyle w:val="Heading1"/>
      </w:pPr>
      <w:r>
        <w:t>Summary</w:t>
      </w:r>
    </w:p>
    <w:p>
      <w:r>
        <w:t>TierRoute has a clear, well-contained architecture for cost-aware LLM routing: it classifies work, selects from a three-tier model pool, can escalate failed responses, and records routing decisions. The automated test suite for the intended tests directory is healthy, with 46 tests passing.</w:t>
      </w:r>
    </w:p>
    <w:p>
      <w:r>
        <w:t>Before the service is used outside a trusted local demo, the team should address three security issues: model-generated Python can run on the gateway host, administrative endpoints are open without authentication, and outbound provider calls disable TLS certificate verification. A few API compatibility and test-discovery fixes would also improve reliability.</w:t>
      </w:r>
    </w:p>
    <w:p>
      <w:pPr>
        <w:pStyle w:val="Heading1"/>
      </w:pPr>
      <w:r>
        <w:t>What was reviewed</w:t>
      </w:r>
    </w:p>
    <w:p>
      <w:r>
        <w:t>Review scope: FastAPI application surface, routing and verification flow, provider integration, persistence, deployment files, and automated tests. This was a source review and test run; it did not include a network penetration test or live-provider evaluation.</w:t>
      </w:r>
    </w:p>
    <w:tbl>
      <w:tblPr>
        <w:tblW w:type="auto" w:w="0"/>
        <w:jc w:val="center"/>
        <w:tblLayout w:type="fixed"/>
        <w:tblLook w:firstColumn="1" w:firstRow="1" w:lastColumn="0" w:lastRow="0" w:noHBand="0" w:noVBand="1" w:val="04A0"/>
      </w:tblPr>
      <w:tblGrid>
        <w:gridCol w:w="2880"/>
        <w:gridCol w:w="2232"/>
        <w:gridCol w:w="4320"/>
      </w:tblGrid>
      <w:tr>
        <w:tc>
          <w:tcPr>
            <w:tcW w:type="dxa" w:w="3360"/>
            <w:vAlign w:val="center"/>
            <w:tcBorders>
              <w:top w:val="single" w:sz="6" w:color="D9D9D9"/>
              <w:left w:val="single" w:sz="6" w:color="D9D9D9"/>
              <w:bottom w:val="single" w:sz="6" w:color="D9D9D9"/>
              <w:right w:val="single" w:sz="6" w:color="D9D9D9"/>
            </w:tcBorders>
            <w:shd w:fill="1F4E79"/>
          </w:tcPr>
          <w:p>
            <w:pPr>
              <w:spacing w:after="40"/>
            </w:pPr>
            <w:r/>
            <w:r>
              <w:rPr>
                <w:b/>
                <w:color w:val="FFFFFF"/>
                <w:sz w:val="18"/>
              </w:rPr>
              <w:t>Check</w:t>
            </w:r>
          </w:p>
        </w:tc>
        <w:tc>
          <w:tcPr>
            <w:tcW w:type="dxa" w:w="3360"/>
            <w:vAlign w:val="center"/>
            <w:tcBorders>
              <w:top w:val="single" w:sz="6" w:color="D9D9D9"/>
              <w:left w:val="single" w:sz="6" w:color="D9D9D9"/>
              <w:bottom w:val="single" w:sz="6" w:color="D9D9D9"/>
              <w:right w:val="single" w:sz="6" w:color="D9D9D9"/>
            </w:tcBorders>
            <w:shd w:fill="1F4E79"/>
          </w:tcPr>
          <w:p>
            <w:pPr>
              <w:spacing w:after="40"/>
            </w:pPr>
            <w:r/>
            <w:r>
              <w:rPr>
                <w:b/>
                <w:color w:val="FFFFFF"/>
                <w:sz w:val="18"/>
              </w:rPr>
              <w:t>Result</w:t>
            </w:r>
          </w:p>
        </w:tc>
        <w:tc>
          <w:tcPr>
            <w:tcW w:type="dxa" w:w="3360"/>
            <w:vAlign w:val="center"/>
            <w:tcBorders>
              <w:top w:val="single" w:sz="6" w:color="D9D9D9"/>
              <w:left w:val="single" w:sz="6" w:color="D9D9D9"/>
              <w:bottom w:val="single" w:sz="6" w:color="D9D9D9"/>
              <w:right w:val="single" w:sz="6" w:color="D9D9D9"/>
            </w:tcBorders>
            <w:shd w:fill="1F4E79"/>
          </w:tcPr>
          <w:p>
            <w:pPr>
              <w:spacing w:after="40"/>
            </w:pPr>
            <w:r/>
            <w:r>
              <w:rPr>
                <w:b/>
                <w:color w:val="FFFFFF"/>
                <w:sz w:val="18"/>
              </w:rPr>
              <w:t>Notes</w:t>
            </w:r>
          </w:p>
        </w:tc>
      </w:tr>
      <w:tr>
        <w:tc>
          <w:tcPr>
            <w:tcW w:type="dxa" w:w="2880"/>
            <w:vAlign w:val="center"/>
            <w:tcBorders>
              <w:top w:val="single" w:sz="6" w:color="D9D9D9"/>
              <w:left w:val="single" w:sz="6" w:color="D9D9D9"/>
              <w:bottom w:val="single" w:sz="6" w:color="D9D9D9"/>
              <w:right w:val="single" w:sz="6" w:color="D9D9D9"/>
            </w:tcBorders>
          </w:tcPr>
          <w:p>
            <w:pPr>
              <w:spacing w:after="40"/>
            </w:pPr>
            <w:r/>
            <w:r>
              <w:rPr>
                <w:b w:val="0"/>
                <w:sz w:val="18"/>
              </w:rPr>
              <w:t>Intended unit tests</w:t>
            </w:r>
          </w:p>
        </w:tc>
        <w:tc>
          <w:tcPr>
            <w:tcW w:type="dxa" w:w="2232"/>
            <w:vAlign w:val="center"/>
            <w:tcBorders>
              <w:top w:val="single" w:sz="6" w:color="D9D9D9"/>
              <w:left w:val="single" w:sz="6" w:color="D9D9D9"/>
              <w:bottom w:val="single" w:sz="6" w:color="D9D9D9"/>
              <w:right w:val="single" w:sz="6" w:color="D9D9D9"/>
            </w:tcBorders>
          </w:tcPr>
          <w:p>
            <w:pPr>
              <w:spacing w:after="40"/>
            </w:pPr>
            <w:r/>
            <w:r>
              <w:rPr>
                <w:b w:val="0"/>
                <w:sz w:val="18"/>
              </w:rPr>
              <w:t>Pass</w:t>
            </w:r>
          </w:p>
        </w:tc>
        <w:tc>
          <w:tcPr>
            <w:tcW w:type="dxa" w:w="4320"/>
            <w:vAlign w:val="center"/>
            <w:tcBorders>
              <w:top w:val="single" w:sz="6" w:color="D9D9D9"/>
              <w:left w:val="single" w:sz="6" w:color="D9D9D9"/>
              <w:bottom w:val="single" w:sz="6" w:color="D9D9D9"/>
              <w:right w:val="single" w:sz="6" w:color="D9D9D9"/>
            </w:tcBorders>
          </w:tcPr>
          <w:p>
            <w:pPr>
              <w:spacing w:after="40"/>
            </w:pPr>
            <w:r/>
            <w:r>
              <w:rPr>
                <w:b w:val="0"/>
                <w:sz w:val="18"/>
              </w:rPr>
              <w:t>46 tests passed with pytest tests -q.</w:t>
            </w:r>
          </w:p>
        </w:tc>
      </w:tr>
      <w:tr>
        <w:tc>
          <w:tcPr>
            <w:tcW w:type="dxa" w:w="2880"/>
            <w:vAlign w:val="center"/>
            <w:tcBorders>
              <w:top w:val="single" w:sz="6" w:color="D9D9D9"/>
              <w:left w:val="single" w:sz="6" w:color="D9D9D9"/>
              <w:bottom w:val="single" w:sz="6" w:color="D9D9D9"/>
              <w:right w:val="single" w:sz="6" w:color="D9D9D9"/>
            </w:tcBorders>
          </w:tcPr>
          <w:p>
            <w:pPr>
              <w:spacing w:after="40"/>
            </w:pPr>
            <w:r/>
            <w:r>
              <w:rPr>
                <w:b w:val="0"/>
                <w:sz w:val="18"/>
              </w:rPr>
              <w:t>Default pytest command</w:t>
            </w:r>
          </w:p>
        </w:tc>
        <w:tc>
          <w:tcPr>
            <w:tcW w:type="dxa" w:w="2232"/>
            <w:vAlign w:val="center"/>
            <w:tcBorders>
              <w:top w:val="single" w:sz="6" w:color="D9D9D9"/>
              <w:left w:val="single" w:sz="6" w:color="D9D9D9"/>
              <w:bottom w:val="single" w:sz="6" w:color="D9D9D9"/>
              <w:right w:val="single" w:sz="6" w:color="D9D9D9"/>
            </w:tcBorders>
          </w:tcPr>
          <w:p>
            <w:pPr>
              <w:spacing w:after="40"/>
            </w:pPr>
            <w:r/>
            <w:r>
              <w:rPr>
                <w:b w:val="0"/>
                <w:sz w:val="18"/>
              </w:rPr>
              <w:t>Fails</w:t>
            </w:r>
          </w:p>
        </w:tc>
        <w:tc>
          <w:tcPr>
            <w:tcW w:type="dxa" w:w="4320"/>
            <w:vAlign w:val="center"/>
            <w:tcBorders>
              <w:top w:val="single" w:sz="6" w:color="D9D9D9"/>
              <w:left w:val="single" w:sz="6" w:color="D9D9D9"/>
              <w:bottom w:val="single" w:sz="6" w:color="D9D9D9"/>
              <w:right w:val="single" w:sz="6" w:color="D9D9D9"/>
            </w:tcBorders>
          </w:tcPr>
          <w:p>
            <w:pPr>
              <w:spacing w:after="40"/>
            </w:pPr>
            <w:r/>
            <w:r>
              <w:rPr>
                <w:b w:val="0"/>
                <w:sz w:val="18"/>
              </w:rPr>
              <w:t>scripts/smoke_test.py is collected and performs HTTP calls during import.</w:t>
            </w:r>
          </w:p>
        </w:tc>
      </w:tr>
      <w:tr>
        <w:tc>
          <w:tcPr>
            <w:tcW w:type="dxa" w:w="2880"/>
            <w:vAlign w:val="center"/>
            <w:tcBorders>
              <w:top w:val="single" w:sz="6" w:color="D9D9D9"/>
              <w:left w:val="single" w:sz="6" w:color="D9D9D9"/>
              <w:bottom w:val="single" w:sz="6" w:color="D9D9D9"/>
              <w:right w:val="single" w:sz="6" w:color="D9D9D9"/>
            </w:tcBorders>
          </w:tcPr>
          <w:p>
            <w:pPr>
              <w:spacing w:after="40"/>
            </w:pPr>
            <w:r/>
            <w:r>
              <w:rPr>
                <w:b w:val="0"/>
                <w:sz w:val="18"/>
              </w:rPr>
              <w:t>Deployment exposure</w:t>
            </w:r>
          </w:p>
        </w:tc>
        <w:tc>
          <w:tcPr>
            <w:tcW w:type="dxa" w:w="2232"/>
            <w:vAlign w:val="center"/>
            <w:tcBorders>
              <w:top w:val="single" w:sz="6" w:color="D9D9D9"/>
              <w:left w:val="single" w:sz="6" w:color="D9D9D9"/>
              <w:bottom w:val="single" w:sz="6" w:color="D9D9D9"/>
              <w:right w:val="single" w:sz="6" w:color="D9D9D9"/>
            </w:tcBorders>
          </w:tcPr>
          <w:p>
            <w:pPr>
              <w:spacing w:after="40"/>
            </w:pPr>
            <w:r/>
            <w:r>
              <w:rPr>
                <w:b w:val="0"/>
                <w:sz w:val="18"/>
              </w:rPr>
              <w:t>Needs work</w:t>
            </w:r>
          </w:p>
        </w:tc>
        <w:tc>
          <w:tcPr>
            <w:tcW w:type="dxa" w:w="4320"/>
            <w:vAlign w:val="center"/>
            <w:tcBorders>
              <w:top w:val="single" w:sz="6" w:color="D9D9D9"/>
              <w:left w:val="single" w:sz="6" w:color="D9D9D9"/>
              <w:bottom w:val="single" w:sz="6" w:color="D9D9D9"/>
              <w:right w:val="single" w:sz="6" w:color="D9D9D9"/>
            </w:tcBorders>
          </w:tcPr>
          <w:p>
            <w:pPr>
              <w:spacing w:after="40"/>
            </w:pPr>
            <w:r/>
            <w:r>
              <w:rPr>
                <w:b w:val="0"/>
                <w:sz w:val="18"/>
              </w:rPr>
              <w:t>Docker starts Uvicorn on all interfaces and maps port 8000.</w:t>
            </w:r>
          </w:p>
        </w:tc>
      </w:tr>
    </w:tbl>
    <w:p>
      <w:pPr>
        <w:pStyle w:val="Heading1"/>
      </w:pPr>
      <w:r>
        <w:t>Findings</w:t>
      </w:r>
    </w:p>
    <w:p>
      <w:pPr>
        <w:spacing w:before="140"/>
      </w:pPr>
      <w:r>
        <w:rPr>
          <w:b/>
          <w:color w:val="B91C1C"/>
        </w:rPr>
        <w:t xml:space="preserve">Critical  </w:t>
      </w:r>
      <w:r>
        <w:rPr>
          <w:b/>
        </w:rPr>
        <w:t>Model-generated code can execute on the gateway host</w:t>
      </w:r>
    </w:p>
    <w:p>
      <w:r>
        <w:t>tierroute/verifiers.py runs code returned by a model in a Python subprocess when the strict verifier is selected. Python isolated mode is not a security sandbox: the code can still attempt filesystem, process, or network actions. The route API allows a caller to select this verifier.</w:t>
      </w:r>
    </w:p>
    <w:p>
      <w:pPr>
        <w:ind w:left="230"/>
      </w:pPr>
      <w:r>
        <w:rPr>
          <w:b/>
        </w:rPr>
        <w:t xml:space="preserve">Recommended action: </w:t>
      </w:r>
      <w:r>
        <w:t>Do not execute model output on the gateway host. Prefer static validation or a separately isolated execution service with no network, read-only filesystem, dropped privileges, CPU and memory limits, and an allowlisted runtime.</w:t>
      </w:r>
    </w:p>
    <w:p>
      <w:pPr>
        <w:spacing w:before="140"/>
      </w:pPr>
      <w:r>
        <w:rPr>
          <w:b/>
          <w:color w:val="C2410C"/>
        </w:rPr>
        <w:t xml:space="preserve">High  </w:t>
      </w:r>
      <w:r>
        <w:rPr>
          <w:b/>
        </w:rPr>
        <w:t>Admin controls and log reset have no authentication</w:t>
      </w:r>
    </w:p>
    <w:p>
      <w:r>
        <w:t>The application exposes endpoints that can change global routing rules and delete all decision history. The Docker configuration makes the service reachable beyond localhost when the port is published. The log endpoint also returns submitted prompt text.</w:t>
      </w:r>
    </w:p>
    <w:p>
      <w:pPr>
        <w:ind w:left="230"/>
      </w:pPr>
      <w:r>
        <w:rPr>
          <w:b/>
        </w:rPr>
        <w:t xml:space="preserve">Recommended action: </w:t>
      </w:r>
      <w:r>
        <w:t>Put the dashboard and administrative endpoints behind authentication and role checks. Restrict the service to a private network or reverse proxy, and treat prompt logs as sensitive data.</w:t>
      </w:r>
    </w:p>
    <w:p>
      <w:pPr>
        <w:spacing w:before="140"/>
      </w:pPr>
      <w:r>
        <w:rPr>
          <w:b/>
          <w:color w:val="C2410C"/>
        </w:rPr>
        <w:t xml:space="preserve">High  </w:t>
      </w:r>
      <w:r>
        <w:rPr>
          <w:b/>
        </w:rPr>
        <w:t>Provider TLS verification is disabled</w:t>
      </w:r>
    </w:p>
    <w:p>
      <w:r>
        <w:t>Live provider requests use verify=False. A compromised network path could intercept responses or credentials sent to a provider endpoint.</w:t>
      </w:r>
    </w:p>
    <w:p>
      <w:pPr>
        <w:ind w:left="230"/>
      </w:pPr>
      <w:r>
        <w:rPr>
          <w:b/>
        </w:rPr>
        <w:t xml:space="preserve">Recommended action: </w:t>
      </w:r>
      <w:r>
        <w:t>Enable certificate verification by default. If a development-only exception is ever required, gate it behind an explicit environment flag and never use it in deployed configurations.</w:t>
      </w:r>
    </w:p>
    <w:p>
      <w:pPr>
        <w:spacing w:before="140"/>
      </w:pPr>
      <w:r>
        <w:rPr>
          <w:b/>
          <w:color w:val="A16207"/>
        </w:rPr>
        <w:t xml:space="preserve">Medium  </w:t>
      </w:r>
      <w:r>
        <w:rPr>
          <w:b/>
        </w:rPr>
        <w:t>OpenAI-compatible request options are not honored</w:t>
      </w:r>
    </w:p>
    <w:p>
      <w:r>
        <w:t>The chat-completions schema accepts temperature, max_tokens, and stream, but the handler does not forward temperature or max_tokens to the router and does not implement streaming. A client asking for 512 tokens can receive the router default instead.</w:t>
      </w:r>
    </w:p>
    <w:p>
      <w:pPr>
        <w:ind w:left="230"/>
      </w:pPr>
      <w:r>
        <w:rPr>
          <w:b/>
        </w:rPr>
        <w:t xml:space="preserve">Recommended action: </w:t>
      </w:r>
      <w:r>
        <w:t>Forward supported options end-to-end, return a clear validation error for unsupported streaming, or implement Server-Sent Events compatible with the advertised interface.</w:t>
      </w:r>
    </w:p>
    <w:p>
      <w:pPr>
        <w:spacing w:before="140"/>
      </w:pPr>
      <w:r>
        <w:rPr>
          <w:b/>
          <w:color w:val="A16207"/>
        </w:rPr>
        <w:t xml:space="preserve">Medium  </w:t>
      </w:r>
      <w:r>
        <w:rPr>
          <w:b/>
        </w:rPr>
        <w:t>Default pytest discovery runs a live smoke script</w:t>
      </w:r>
    </w:p>
    <w:p>
      <w:r>
        <w:t>pytest -q collects scripts/smoke_test.py. The script reads pytest's -q argument as a URL and exits during collection, so the default command fails even though the intended test suite passes.</w:t>
      </w:r>
    </w:p>
    <w:p>
      <w:pPr>
        <w:ind w:left="230"/>
      </w:pPr>
      <w:r>
        <w:rPr>
          <w:b/>
        </w:rPr>
        <w:t xml:space="preserve">Recommended action: </w:t>
      </w:r>
      <w:r>
        <w:t>Add a pytest configuration with testpaths = tests, rename the smoke script so it is not collected, and place its work behind an if __name__ == '__main__' guard.</w:t>
      </w:r>
    </w:p>
    <w:p>
      <w:pPr>
        <w:pStyle w:val="Heading1"/>
      </w:pPr>
      <w:r>
        <w:t>Suggested order of work</w:t>
      </w:r>
    </w:p>
    <w:tbl>
      <w:tblPr>
        <w:tblW w:type="auto" w:w="0"/>
        <w:jc w:val="center"/>
        <w:tblLayout w:type="fixed"/>
        <w:tblLook w:firstColumn="1" w:firstRow="1" w:lastColumn="0" w:lastRow="0" w:noHBand="0" w:noVBand="1" w:val="04A0"/>
      </w:tblPr>
      <w:tblGrid>
        <w:gridCol w:w="3360"/>
        <w:gridCol w:w="3360"/>
        <w:gridCol w:w="3360"/>
      </w:tblGrid>
      <w:tr>
        <w:tc>
          <w:tcPr>
            <w:tcW w:type="dxa" w:w="3360"/>
            <w:vAlign w:val="center"/>
            <w:tcBorders>
              <w:top w:val="single" w:sz="6" w:color="D9D9D9"/>
              <w:left w:val="single" w:sz="6" w:color="D9D9D9"/>
              <w:bottom w:val="single" w:sz="6" w:color="D9D9D9"/>
              <w:right w:val="single" w:sz="6" w:color="D9D9D9"/>
            </w:tcBorders>
            <w:shd w:fill="1F4E79"/>
          </w:tcPr>
          <w:p>
            <w:pPr>
              <w:spacing w:after="40"/>
            </w:pPr>
            <w:r/>
            <w:r>
              <w:rPr>
                <w:b/>
                <w:color w:val="FFFFFF"/>
                <w:sz w:val="18"/>
              </w:rPr>
              <w:t>Priority</w:t>
            </w:r>
          </w:p>
        </w:tc>
        <w:tc>
          <w:tcPr>
            <w:tcW w:type="dxa" w:w="3360"/>
            <w:vAlign w:val="center"/>
            <w:tcBorders>
              <w:top w:val="single" w:sz="6" w:color="D9D9D9"/>
              <w:left w:val="single" w:sz="6" w:color="D9D9D9"/>
              <w:bottom w:val="single" w:sz="6" w:color="D9D9D9"/>
              <w:right w:val="single" w:sz="6" w:color="D9D9D9"/>
            </w:tcBorders>
            <w:shd w:fill="1F4E79"/>
          </w:tcPr>
          <w:p>
            <w:pPr>
              <w:spacing w:after="40"/>
            </w:pPr>
            <w:r/>
            <w:r>
              <w:rPr>
                <w:b/>
                <w:color w:val="FFFFFF"/>
                <w:sz w:val="18"/>
              </w:rPr>
              <w:t>Work item</w:t>
            </w:r>
          </w:p>
        </w:tc>
        <w:tc>
          <w:tcPr>
            <w:tcW w:type="dxa" w:w="3360"/>
            <w:vAlign w:val="center"/>
            <w:tcBorders>
              <w:top w:val="single" w:sz="6" w:color="D9D9D9"/>
              <w:left w:val="single" w:sz="6" w:color="D9D9D9"/>
              <w:bottom w:val="single" w:sz="6" w:color="D9D9D9"/>
              <w:right w:val="single" w:sz="6" w:color="D9D9D9"/>
            </w:tcBorders>
            <w:shd w:fill="1F4E79"/>
          </w:tcPr>
          <w:p>
            <w:pPr>
              <w:spacing w:after="40"/>
            </w:pPr>
            <w:r/>
            <w:r>
              <w:rPr>
                <w:b/>
                <w:color w:val="FFFFFF"/>
                <w:sz w:val="18"/>
              </w:rPr>
              <w:t>Outcome</w:t>
            </w:r>
          </w:p>
        </w:tc>
      </w:tr>
      <w:tr>
        <w:tc>
          <w:tcPr>
            <w:tcW w:type="dxa" w:w="3360"/>
            <w:vAlign w:val="center"/>
            <w:tcBorders>
              <w:top w:val="single" w:sz="6" w:color="D9D9D9"/>
              <w:left w:val="single" w:sz="6" w:color="D9D9D9"/>
              <w:bottom w:val="single" w:sz="6" w:color="D9D9D9"/>
              <w:right w:val="single" w:sz="6" w:color="D9D9D9"/>
            </w:tcBorders>
          </w:tcPr>
          <w:p>
            <w:pPr>
              <w:spacing w:after="40"/>
            </w:pPr>
            <w:r/>
            <w:r>
              <w:rPr>
                <w:b/>
                <w:sz w:val="18"/>
              </w:rPr>
              <w:t>1</w:t>
            </w:r>
          </w:p>
        </w:tc>
        <w:tc>
          <w:tcPr>
            <w:tcW w:type="dxa" w:w="3360"/>
            <w:vAlign w:val="center"/>
            <w:tcBorders>
              <w:top w:val="single" w:sz="6" w:color="D9D9D9"/>
              <w:left w:val="single" w:sz="6" w:color="D9D9D9"/>
              <w:bottom w:val="single" w:sz="6" w:color="D9D9D9"/>
              <w:right w:val="single" w:sz="6" w:color="D9D9D9"/>
            </w:tcBorders>
          </w:tcPr>
          <w:p>
            <w:pPr>
              <w:spacing w:after="40"/>
            </w:pPr>
            <w:r/>
            <w:r>
              <w:rPr>
                <w:b/>
                <w:sz w:val="18"/>
              </w:rPr>
              <w:t>Block unsafe code execution</w:t>
            </w:r>
          </w:p>
        </w:tc>
        <w:tc>
          <w:tcPr>
            <w:tcW w:type="dxa" w:w="3360"/>
            <w:vAlign w:val="center"/>
            <w:tcBorders>
              <w:top w:val="single" w:sz="6" w:color="D9D9D9"/>
              <w:left w:val="single" w:sz="6" w:color="D9D9D9"/>
              <w:bottom w:val="single" w:sz="6" w:color="D9D9D9"/>
              <w:right w:val="single" w:sz="6" w:color="D9D9D9"/>
            </w:tcBorders>
          </w:tcPr>
          <w:p>
            <w:pPr>
              <w:spacing w:after="40"/>
            </w:pPr>
            <w:r/>
            <w:r>
              <w:rPr>
                <w:b w:val="0"/>
                <w:sz w:val="18"/>
              </w:rPr>
              <w:t>Disable strict code execution in the public API immediately; replace it with a real sandbox only if execution is essential.</w:t>
            </w:r>
          </w:p>
        </w:tc>
      </w:tr>
      <w:tr>
        <w:tc>
          <w:tcPr>
            <w:tcW w:type="dxa" w:w="3360"/>
            <w:vAlign w:val="center"/>
            <w:tcBorders>
              <w:top w:val="single" w:sz="6" w:color="D9D9D9"/>
              <w:left w:val="single" w:sz="6" w:color="D9D9D9"/>
              <w:bottom w:val="single" w:sz="6" w:color="D9D9D9"/>
              <w:right w:val="single" w:sz="6" w:color="D9D9D9"/>
            </w:tcBorders>
          </w:tcPr>
          <w:p>
            <w:pPr>
              <w:spacing w:after="40"/>
            </w:pPr>
            <w:r/>
            <w:r>
              <w:rPr>
                <w:b/>
                <w:sz w:val="18"/>
              </w:rPr>
              <w:t>2</w:t>
            </w:r>
          </w:p>
        </w:tc>
        <w:tc>
          <w:tcPr>
            <w:tcW w:type="dxa" w:w="3360"/>
            <w:vAlign w:val="center"/>
            <w:tcBorders>
              <w:top w:val="single" w:sz="6" w:color="D9D9D9"/>
              <w:left w:val="single" w:sz="6" w:color="D9D9D9"/>
              <w:bottom w:val="single" w:sz="6" w:color="D9D9D9"/>
              <w:right w:val="single" w:sz="6" w:color="D9D9D9"/>
            </w:tcBorders>
          </w:tcPr>
          <w:p>
            <w:pPr>
              <w:spacing w:after="40"/>
            </w:pPr>
            <w:r/>
            <w:r>
              <w:rPr>
                <w:b/>
                <w:sz w:val="18"/>
              </w:rPr>
              <w:t>Protect the management surface</w:t>
            </w:r>
          </w:p>
        </w:tc>
        <w:tc>
          <w:tcPr>
            <w:tcW w:type="dxa" w:w="3360"/>
            <w:vAlign w:val="center"/>
            <w:tcBorders>
              <w:top w:val="single" w:sz="6" w:color="D9D9D9"/>
              <w:left w:val="single" w:sz="6" w:color="D9D9D9"/>
              <w:bottom w:val="single" w:sz="6" w:color="D9D9D9"/>
              <w:right w:val="single" w:sz="6" w:color="D9D9D9"/>
            </w:tcBorders>
          </w:tcPr>
          <w:p>
            <w:pPr>
              <w:spacing w:after="40"/>
            </w:pPr>
            <w:r/>
            <w:r>
              <w:rPr>
                <w:b w:val="0"/>
                <w:sz w:val="18"/>
              </w:rPr>
              <w:t>Add authentication and authorization, restrict network exposure, and make reset operations auditable.</w:t>
            </w:r>
          </w:p>
        </w:tc>
      </w:tr>
      <w:tr>
        <w:tc>
          <w:tcPr>
            <w:tcW w:type="dxa" w:w="3360"/>
            <w:vAlign w:val="center"/>
            <w:tcBorders>
              <w:top w:val="single" w:sz="6" w:color="D9D9D9"/>
              <w:left w:val="single" w:sz="6" w:color="D9D9D9"/>
              <w:bottom w:val="single" w:sz="6" w:color="D9D9D9"/>
              <w:right w:val="single" w:sz="6" w:color="D9D9D9"/>
            </w:tcBorders>
          </w:tcPr>
          <w:p>
            <w:pPr>
              <w:spacing w:after="40"/>
            </w:pPr>
            <w:r/>
            <w:r>
              <w:rPr>
                <w:b/>
                <w:sz w:val="18"/>
              </w:rPr>
              <w:t>3</w:t>
            </w:r>
          </w:p>
        </w:tc>
        <w:tc>
          <w:tcPr>
            <w:tcW w:type="dxa" w:w="3360"/>
            <w:vAlign w:val="center"/>
            <w:tcBorders>
              <w:top w:val="single" w:sz="6" w:color="D9D9D9"/>
              <w:left w:val="single" w:sz="6" w:color="D9D9D9"/>
              <w:bottom w:val="single" w:sz="6" w:color="D9D9D9"/>
              <w:right w:val="single" w:sz="6" w:color="D9D9D9"/>
            </w:tcBorders>
          </w:tcPr>
          <w:p>
            <w:pPr>
              <w:spacing w:after="40"/>
            </w:pPr>
            <w:r/>
            <w:r>
              <w:rPr>
                <w:b/>
                <w:sz w:val="18"/>
              </w:rPr>
              <w:t>Restore secure provider transport</w:t>
            </w:r>
          </w:p>
        </w:tc>
        <w:tc>
          <w:tcPr>
            <w:tcW w:type="dxa" w:w="3360"/>
            <w:vAlign w:val="center"/>
            <w:tcBorders>
              <w:top w:val="single" w:sz="6" w:color="D9D9D9"/>
              <w:left w:val="single" w:sz="6" w:color="D9D9D9"/>
              <w:bottom w:val="single" w:sz="6" w:color="D9D9D9"/>
              <w:right w:val="single" w:sz="6" w:color="D9D9D9"/>
            </w:tcBorders>
          </w:tcPr>
          <w:p>
            <w:pPr>
              <w:spacing w:after="40"/>
            </w:pPr>
            <w:r/>
            <w:r>
              <w:rPr>
                <w:b w:val="0"/>
                <w:sz w:val="18"/>
              </w:rPr>
              <w:t>Remove verify=False and validate certificates for every provider request.</w:t>
            </w:r>
          </w:p>
        </w:tc>
      </w:tr>
      <w:tr>
        <w:tc>
          <w:tcPr>
            <w:tcW w:type="dxa" w:w="3360"/>
            <w:vAlign w:val="center"/>
            <w:tcBorders>
              <w:top w:val="single" w:sz="6" w:color="D9D9D9"/>
              <w:left w:val="single" w:sz="6" w:color="D9D9D9"/>
              <w:bottom w:val="single" w:sz="6" w:color="D9D9D9"/>
              <w:right w:val="single" w:sz="6" w:color="D9D9D9"/>
            </w:tcBorders>
          </w:tcPr>
          <w:p>
            <w:pPr>
              <w:spacing w:after="40"/>
            </w:pPr>
            <w:r/>
            <w:r>
              <w:rPr>
                <w:b/>
                <w:sz w:val="18"/>
              </w:rPr>
              <w:t>4</w:t>
            </w:r>
          </w:p>
        </w:tc>
        <w:tc>
          <w:tcPr>
            <w:tcW w:type="dxa" w:w="3360"/>
            <w:vAlign w:val="center"/>
            <w:tcBorders>
              <w:top w:val="single" w:sz="6" w:color="D9D9D9"/>
              <w:left w:val="single" w:sz="6" w:color="D9D9D9"/>
              <w:bottom w:val="single" w:sz="6" w:color="D9D9D9"/>
              <w:right w:val="single" w:sz="6" w:color="D9D9D9"/>
            </w:tcBorders>
          </w:tcPr>
          <w:p>
            <w:pPr>
              <w:spacing w:after="40"/>
            </w:pPr>
            <w:r/>
            <w:r>
              <w:rPr>
                <w:b/>
                <w:sz w:val="18"/>
              </w:rPr>
              <w:t>Tighten API behavior</w:t>
            </w:r>
          </w:p>
        </w:tc>
        <w:tc>
          <w:tcPr>
            <w:tcW w:type="dxa" w:w="3360"/>
            <w:vAlign w:val="center"/>
            <w:tcBorders>
              <w:top w:val="single" w:sz="6" w:color="D9D9D9"/>
              <w:left w:val="single" w:sz="6" w:color="D9D9D9"/>
              <w:bottom w:val="single" w:sz="6" w:color="D9D9D9"/>
              <w:right w:val="single" w:sz="6" w:color="D9D9D9"/>
            </w:tcBorders>
          </w:tcPr>
          <w:p>
            <w:pPr>
              <w:spacing w:after="40"/>
            </w:pPr>
            <w:r/>
            <w:r>
              <w:rPr>
                <w:b w:val="0"/>
                <w:sz w:val="18"/>
              </w:rPr>
              <w:t>Honor token and temperature controls; explicitly support or reject streaming.</w:t>
            </w:r>
          </w:p>
        </w:tc>
      </w:tr>
      <w:tr>
        <w:tc>
          <w:tcPr>
            <w:tcW w:type="dxa" w:w="3360"/>
            <w:vAlign w:val="center"/>
            <w:tcBorders>
              <w:top w:val="single" w:sz="6" w:color="D9D9D9"/>
              <w:left w:val="single" w:sz="6" w:color="D9D9D9"/>
              <w:bottom w:val="single" w:sz="6" w:color="D9D9D9"/>
              <w:right w:val="single" w:sz="6" w:color="D9D9D9"/>
            </w:tcBorders>
          </w:tcPr>
          <w:p>
            <w:pPr>
              <w:spacing w:after="40"/>
            </w:pPr>
            <w:r/>
            <w:r>
              <w:rPr>
                <w:b/>
                <w:sz w:val="18"/>
              </w:rPr>
              <w:t>5</w:t>
            </w:r>
          </w:p>
        </w:tc>
        <w:tc>
          <w:tcPr>
            <w:tcW w:type="dxa" w:w="3360"/>
            <w:vAlign w:val="center"/>
            <w:tcBorders>
              <w:top w:val="single" w:sz="6" w:color="D9D9D9"/>
              <w:left w:val="single" w:sz="6" w:color="D9D9D9"/>
              <w:bottom w:val="single" w:sz="6" w:color="D9D9D9"/>
              <w:right w:val="single" w:sz="6" w:color="D9D9D9"/>
            </w:tcBorders>
          </w:tcPr>
          <w:p>
            <w:pPr>
              <w:spacing w:after="40"/>
            </w:pPr>
            <w:r/>
            <w:r>
              <w:rPr>
                <w:b/>
                <w:sz w:val="18"/>
              </w:rPr>
              <w:t>Make local verification frictionless</w:t>
            </w:r>
          </w:p>
        </w:tc>
        <w:tc>
          <w:tcPr>
            <w:tcW w:type="dxa" w:w="3360"/>
            <w:vAlign w:val="center"/>
            <w:tcBorders>
              <w:top w:val="single" w:sz="6" w:color="D9D9D9"/>
              <w:left w:val="single" w:sz="6" w:color="D9D9D9"/>
              <w:bottom w:val="single" w:sz="6" w:color="D9D9D9"/>
              <w:right w:val="single" w:sz="6" w:color="D9D9D9"/>
            </w:tcBorders>
          </w:tcPr>
          <w:p>
            <w:pPr>
              <w:spacing w:after="40"/>
            </w:pPr>
            <w:r/>
            <w:r>
              <w:rPr>
                <w:b w:val="0"/>
                <w:sz w:val="18"/>
              </w:rPr>
              <w:t>Fix pytest discovery so pytest -q is dependable for teammates and CI.</w:t>
            </w:r>
          </w:p>
        </w:tc>
      </w:tr>
    </w:tbl>
    <w:p>
      <w:pPr>
        <w:pStyle w:val="Heading1"/>
      </w:pPr>
      <w:r>
        <w:t>Positive observations</w:t>
      </w:r>
    </w:p>
    <w:p>
      <w:pPr>
        <w:pStyle w:val="ListBullet"/>
      </w:pPr>
      <w:r>
        <w:t>The core routing pipeline is easy to follow: analyze, split, choose a tier, verify, escalate, merge, and log.</w:t>
      </w:r>
    </w:p>
    <w:p>
      <w:pPr>
        <w:pStyle w:val="ListBullet"/>
      </w:pPr>
      <w:r>
        <w:t>The verifier interface cleanly separates routing from evaluation and includes guard tests designed to prevent benchmark or gold-answer leakage.</w:t>
      </w:r>
    </w:p>
    <w:p>
      <w:pPr>
        <w:pStyle w:val="ListBullet"/>
      </w:pPr>
      <w:r>
        <w:t>The configuration model makes tier and provider swaps straightforward, and the dashboard gives useful visibility into routing decisions.</w:t>
      </w:r>
    </w:p>
    <w:p>
      <w:pPr>
        <w:pStyle w:val="Heading1"/>
      </w:pPr>
      <w:r>
        <w:t>Conclusion</w:t>
      </w:r>
    </w:p>
    <w:p>
      <w:r>
        <w:t>TierRoute is a promising course-project router with a solid demonstration and evaluation foundation. The next milestone should be a security hardening pass, not more routing features. Once unsafe code execution, API access control, and TLS handling are fixed, the project will be in a much better position for team demos and controlled deployment.</w:t>
      </w:r>
    </w:p>
    <w:sectPr w:rsidR="00FC693F" w:rsidRPr="0006063C" w:rsidSect="00034616">
      <w:footerReference w:type="default" r:id="rId9"/>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TierRoute Project Review  |  Internal team discussion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TierRoute Project Review</dc:title>
  <dc:subject>Code review findings and recommended next steps</dc:subject>
  <dc:creator>TierRoute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