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A3663"/>
          <w:sz w:val="42"/>
        </w:rPr>
        <w:t>OILGUARD: Forecasting-Based Early Warning of Abnormal Events in Oil Wells</w:t>
      </w:r>
    </w:p>
    <w:p>
      <w:pPr>
        <w:spacing w:after="280"/>
      </w:pPr>
      <w:r>
        <w:rPr>
          <w:rFonts w:ascii="Calibri" w:hAnsi="Calibri"/>
          <w:i/>
          <w:color w:val="555555"/>
          <w:sz w:val="25"/>
        </w:rPr>
        <w:t>Technical Research Report: Petrobras 3W Benchmark Audit, Novel OILGUARD-AC Method, and Leak-Free LOEO-CV Evaluation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Pr>
          <w:p>
            <w:pPr>
              <w:spacing w:line="288" w:lineRule="auto" w:after="0"/>
            </w:pPr>
            <w:r>
              <w:rPr>
                <w:b/>
                <w:color w:val="0A3663"/>
                <w:sz w:val="19"/>
              </w:rPr>
              <w:t xml:space="preserve">Author: </w:t>
            </w:r>
            <w:r>
              <w:rPr>
                <w:b w:val="0"/>
                <w:sz w:val="19"/>
              </w:rPr>
              <w:t>Antigravity Research Team</w:t>
              <w:br/>
            </w:r>
            <w:r>
              <w:rPr>
                <w:b/>
                <w:color w:val="0A3663"/>
                <w:sz w:val="19"/>
              </w:rPr>
              <w:t xml:space="preserve">Domain: </w:t>
            </w:r>
            <w:r>
              <w:rPr>
                <w:b w:val="0"/>
                <w:sz w:val="19"/>
              </w:rPr>
              <w:t>Offshore Petroleum Engineering &amp; Time Series Anomaly Detection</w:t>
              <w:br/>
            </w:r>
            <w:r>
              <w:rPr>
                <w:b/>
                <w:color w:val="0A3663"/>
                <w:sz w:val="19"/>
              </w:rPr>
              <w:t xml:space="preserve">Target Event: </w:t>
            </w:r>
            <w:r>
              <w:rPr>
                <w:b w:val="0"/>
                <w:sz w:val="19"/>
              </w:rPr>
              <w:t>Class 2 — Spurious Closure of Downhole Safety Valve (DHSV)</w:t>
              <w:br/>
            </w:r>
            <w:r>
              <w:rPr>
                <w:b/>
                <w:color w:val="0A3663"/>
                <w:sz w:val="19"/>
              </w:rPr>
              <w:t xml:space="preserve">Sensors: </w:t>
            </w:r>
            <w:r>
              <w:rPr>
                <w:b w:val="0"/>
                <w:sz w:val="19"/>
              </w:rPr>
              <w:t>Downhole Pressure Transducer (P-TPT, MPa) &amp; Temperature Transducer (T-TPT, °C)</w:t>
              <w:br/>
            </w:r>
            <w:r>
              <w:rPr>
                <w:b/>
                <w:color w:val="0A3663"/>
                <w:sz w:val="19"/>
              </w:rPr>
              <w:t xml:space="preserve">Benchmark Dataset: </w:t>
            </w:r>
            <w:r>
              <w:rPr>
                <w:b w:val="0"/>
                <w:sz w:val="19"/>
              </w:rPr>
              <w:t>Petrobras 3W Dataset v2.0.0 (Authentic Offshore Production Wells)</w:t>
              <w:br/>
            </w:r>
            <w:r>
              <w:rPr>
                <w:b/>
                <w:color w:val="0A3663"/>
                <w:sz w:val="19"/>
              </w:rPr>
              <w:t xml:space="preserve">Verified Cohort: </w:t>
            </w:r>
            <w:r>
              <w:rPr>
                <w:b w:val="0"/>
                <w:sz w:val="19"/>
              </w:rPr>
              <w:t>19 Gold-Standard Real-Well Events (Strict Denominator = 19)</w:t>
              <w:br/>
            </w:r>
            <w:r>
              <w:rPr>
                <w:b/>
                <w:color w:val="0A3663"/>
                <w:sz w:val="19"/>
              </w:rPr>
              <w:t xml:space="preserve">Candidate Novelty: </w:t>
            </w:r>
            <w:r>
              <w:rPr>
                <w:b w:val="0"/>
                <w:sz w:val="19"/>
              </w:rPr>
              <w:t>OILGUARD-AC (Alarm-Constrained, Multisensor Residual Early Warning)</w:t>
            </w:r>
          </w:p>
        </w:tc>
      </w:tr>
    </w:tbl>
    <w:p>
      <w:pPr>
        <w:spacing w:after="160"/>
      </w:pPr>
    </w:p>
    <w:p>
      <w:pPr>
        <w:pStyle w:val="Heading1"/>
      </w:pPr>
      <w:r>
        <w:t>1. Executive Summary</w:t>
      </w:r>
    </w:p>
    <w:p>
      <w:r>
        <w:t>In offshore petroleum completions, an uncommanded or spurious closure of the Downhole Safety Valve (DHSV, designated as Class 2 in the Petrobras 3W taxonomy) violently interrupts multiphase production, trapping reservoir pressures upstream while inducing catastrophic pressure collapse downstream. Conventional SCADA alarms rely on fixed threshold boundaries that trigger only after the transient has fully manifested, providing zero actionable lead time for preventative intervention.</w:t>
      </w:r>
    </w:p>
    <w:p>
      <w:r>
        <w:t>This research paper provides an exhaustive audit of the Petrobras 3W Class 2 benchmark cohort, resolves event-count discrepancies, evaluates classical time series forecasting (ARIMA, SARIMAX, and Naive baselines), and develops OILGUARD-AC: an alarm-constrained, multisensor early warning framework evaluated under strict Leave-One-Event-Out Cross-Validation (LOEO-CV) against established non-forecasting anomaly detectors (Local Outlier Factor, LOF).</w:t>
      </w:r>
    </w:p>
    <w:p>
      <w:r>
        <w:t>Key Verified Findings:</w:t>
        <w:br/>
        <w:t>1. Event Cohort Resolution: Rigorous auditing of the 22 authentic Class 2 instances excludes 3 corrupted files (1 load failure with missing sensor stream, 1 unrecorded transmission gap &gt;10 minutes, and 1 sensor flatline with zero normal variance), establishing an immutable gold cohort of exactly 19 real-world offshore shutdown events.</w:t>
        <w:br/>
        <w:t>2. Forecasting Accuracy Dominance: Rolling 1-step ARIMA and SARIMAX achieve test-set Mean Absolute Errors of 0.0163 MPa and 0.0162 MPa (8.69% MAPE), outperforming the industrial Naive baseline (0.0307 MPa MAE, 18.22% MAPE) by 47.1%.</w:t>
        <w:br/>
        <w:t>3. Audited Early Warning Policy: Enforcing an explicit pre-event window of [T_transient - 10 min, T_transient) ensures alarms occurring during ordinary operation (e.g., hours earlier) are strictly cataloged as false alarms and penalize the False Alarm Rate (FAR / hr).</w:t>
        <w:br/>
        <w:t>4. Unbiased Generalization (LOEO-CV): Under a strict operational nuisance-alarm budget (B_FAR &lt;= 1.0 FA/hr), ARIMA achieves 42.1% early detection (8/19) with 4.31 min lead time, while multisensor SARIMAX achieves 68.4% early detection (13/19) with 5.40 min lead time. In contrast, non-forecasting LOF over-triggers on unseen holdouts, generating 2.01 FA/hr and violating the operational budget by 2x.</w:t>
      </w:r>
    </w:p>
    <w:p>
      <w:pPr>
        <w:pStyle w:val="Heading1"/>
      </w:pPr>
      <w:r>
        <w:t>2. Literature Review &amp; Identified Research Gap</w:t>
      </w:r>
    </w:p>
    <w:p>
      <w:r>
        <w:t>Industrial anomaly detection on the Petrobras 3W benchmark has primarily been framed as macroscopic fault classification rather than prospective early warning. We critically review five foundational and recent publications:</w:t>
        <w:br/>
        <w:t>• Vargas et al. (2019, 2026): Introduced and updated the 3W benchmark. These studies evaluate time-step classification accuracy, without computing advance warning lead times prior to transient onset (T_transient) or reporting false alarm rates per operating hour.</w:t>
        <w:br/>
        <w:t>• Fernandes Jr., Komati &amp; Gazolli (2023): Compared One-Class Classifiers (LOF, Isolation Forest, OCSVM, Autoencoders) on 3W, reporting that LOF achieved the highest macroscopic F1-score (~87%). However, outlier scores were not constrained by operational alarm budgets.</w:t>
        <w:br/>
        <w:t>• Wang et al. (2024): Demonstrated on industrial benchmarks that combining prediction residuals with cross-sensor relational shifts improves fault detection, motivating multisensor residual coupling.</w:t>
        <w:br/>
        <w:t>• Khan et al. (2026): Developed physics-guided residual learning with calibrated thresholds for early fault detection, emphasizing the necessity of false-alarm budget constraints.</w:t>
      </w:r>
    </w:p>
    <w:p>
      <w:r>
        <w:t>The Research Gap: Existing 3W studies do not evaluate early-warning lead times strictly prior to transient onset under an explicit operational nuisance-alarm budget, nor do they test whether multisensor thermodynamic coupling (P-TPT and T-TPT) outperforms univariate forecasting and established non-forecasting baselines (LOF) under leak-free leave-one-event-out cross-validation.</w:t>
      </w:r>
    </w:p>
    <w:p>
      <w:pPr>
        <w:pStyle w:val="Heading1"/>
      </w:pPr>
      <w:r>
        <w:t>3. Dataset Auditing &amp; Cohort Resolution</w:t>
      </w:r>
    </w:p>
    <w:p>
      <w:r>
        <w:t>The raw Petrobras 3W dataset contains 2,228 files (1.87 GB). We strictly isolated authentic offshore well instances (WELL-*) experiencing Class 2 (Spurious DHSV Closure). To ensure rigorous data hygiene, three events were excluded:</w:t>
        <w:br/>
        <w:t>1. WELL-00010_20171218180131: Excluded due to absent target sensor stream (P-TPT unrecorded).</w:t>
        <w:br/>
        <w:t>2. WELL-00011_20140515083000: Excluded due to an unrecorded 1,608-second transmission gap (&gt;10 minutes).</w:t>
        <w:br/>
        <w:t>3. WELL-00002_20131104004101: Excluded due to zero variance in the normal training target (constant-normal-target, std = 0.0).</w:t>
        <w:br/>
        <w:t>This establishes an immutable gold cohort of exactly 19 events. An earlier reporting of 20 events was traced to an orphaned parquet artifact from a preliminary scan; deleting the file and enforcing strict candidate table joins resolved the denominator to 19 across all modules.</w:t>
      </w:r>
    </w:p>
    <w:p>
      <w:pPr>
        <w:pStyle w:val="Heading1"/>
      </w:pPr>
      <w:r>
        <w:t>4. Statistical Forecasting Accuracy</w:t>
      </w:r>
    </w:p>
    <w:p>
      <w:r>
        <w:t>Rolling 1-step-ahead forecasts were evaluated across all 19 gold events during the untouched test split (Table 1). ARIMA and SARIMAX cut forecasting error by 47.1% compared to the Naive baseline, proving that statistical time series models accurately capture the underlying autoregressive dynamics.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A3663"/>
            <w:tcMar>
              <w:top w:w="100" w:type="dxa"/>
              <w:bottom w:w="100" w:type="dxa"/>
              <w:left w:w="100" w:type="dxa"/>
              <w:right w:w="100" w:type="dxa"/>
            </w:tcMar>
          </w:tcPr>
          <w:p>
            <w:pPr>
              <w:jc w:val="center"/>
            </w:pPr>
            <w:r>
              <w:rPr>
                <w:b/>
                <w:color w:val="FFFFFF"/>
                <w:sz w:val="19"/>
              </w:rPr>
              <w:t>Model</w:t>
            </w:r>
          </w:p>
        </w:tc>
        <w:tc>
          <w:tcPr>
            <w:tcW w:type="dxa" w:w="1560"/>
            <w:shd w:fill="0A3663"/>
            <w:tcMar>
              <w:top w:w="100" w:type="dxa"/>
              <w:bottom w:w="100" w:type="dxa"/>
              <w:left w:w="100" w:type="dxa"/>
              <w:right w:w="100" w:type="dxa"/>
            </w:tcMar>
          </w:tcPr>
          <w:p>
            <w:pPr>
              <w:jc w:val="center"/>
            </w:pPr>
            <w:r>
              <w:rPr>
                <w:b/>
                <w:color w:val="FFFFFF"/>
                <w:sz w:val="19"/>
              </w:rPr>
              <w:t>MAE (MPa)</w:t>
            </w:r>
          </w:p>
        </w:tc>
        <w:tc>
          <w:tcPr>
            <w:tcW w:type="dxa" w:w="1560"/>
            <w:shd w:fill="0A3663"/>
            <w:tcMar>
              <w:top w:w="100" w:type="dxa"/>
              <w:bottom w:w="100" w:type="dxa"/>
              <w:left w:w="100" w:type="dxa"/>
              <w:right w:w="100" w:type="dxa"/>
            </w:tcMar>
          </w:tcPr>
          <w:p>
            <w:pPr>
              <w:jc w:val="center"/>
            </w:pPr>
            <w:r>
              <w:rPr>
                <w:b/>
                <w:color w:val="FFFFFF"/>
                <w:sz w:val="19"/>
              </w:rPr>
              <w:t>RMSE (MPa)</w:t>
            </w:r>
          </w:p>
        </w:tc>
        <w:tc>
          <w:tcPr>
            <w:tcW w:type="dxa" w:w="1560"/>
            <w:shd w:fill="0A3663"/>
            <w:tcMar>
              <w:top w:w="100" w:type="dxa"/>
              <w:bottom w:w="100" w:type="dxa"/>
              <w:left w:w="100" w:type="dxa"/>
              <w:right w:w="100" w:type="dxa"/>
            </w:tcMar>
          </w:tcPr>
          <w:p>
            <w:pPr>
              <w:jc w:val="center"/>
            </w:pPr>
            <w:r>
              <w:rPr>
                <w:b/>
                <w:color w:val="FFFFFF"/>
                <w:sz w:val="19"/>
              </w:rPr>
              <w:t>MAPE (%)</w:t>
            </w:r>
          </w:p>
        </w:tc>
        <w:tc>
          <w:tcPr>
            <w:tcW w:type="dxa" w:w="1560"/>
            <w:shd w:fill="0A3663"/>
            <w:tcMar>
              <w:top w:w="100" w:type="dxa"/>
              <w:bottom w:w="100" w:type="dxa"/>
              <w:left w:w="100" w:type="dxa"/>
              <w:right w:w="100" w:type="dxa"/>
            </w:tcMar>
          </w:tcPr>
          <w:p>
            <w:pPr>
              <w:jc w:val="center"/>
            </w:pPr>
            <w:r>
              <w:rPr>
                <w:b/>
                <w:color w:val="FFFFFF"/>
                <w:sz w:val="19"/>
              </w:rPr>
              <w:t>R² Score</w:t>
            </w:r>
          </w:p>
        </w:tc>
        <w:tc>
          <w:tcPr>
            <w:tcW w:type="dxa" w:w="1560"/>
            <w:shd w:fill="0A3663"/>
            <w:tcMar>
              <w:top w:w="100" w:type="dxa"/>
              <w:bottom w:w="100" w:type="dxa"/>
              <w:left w:w="100" w:type="dxa"/>
              <w:right w:w="100" w:type="dxa"/>
            </w:tcMar>
          </w:tcPr>
          <w:p>
            <w:pPr>
              <w:jc w:val="center"/>
            </w:pPr>
            <w:r>
              <w:rPr>
                <w:b/>
                <w:color w:val="FFFFFF"/>
                <w:sz w:val="19"/>
              </w:rPr>
              <w:t>Performance vs. Baseline</w:t>
            </w:r>
          </w:p>
        </w:tc>
      </w:tr>
      <w:tr>
        <w:tc>
          <w:tcPr>
            <w:tcW w:type="dxa" w:w="1560"/>
            <w:shd w:fill="F9FBFD"/>
            <w:tcMar>
              <w:top w:w="80" w:type="dxa"/>
              <w:bottom w:w="80" w:type="dxa"/>
              <w:left w:w="100" w:type="dxa"/>
              <w:right w:w="100" w:type="dxa"/>
            </w:tcMar>
          </w:tcPr>
          <w:p>
            <w:pPr>
              <w:jc w:val="left"/>
            </w:pPr>
            <w:r>
              <w:rPr>
                <w:b/>
                <w:sz w:val="19"/>
              </w:rPr>
              <w:t>ARIMA</w:t>
            </w:r>
          </w:p>
        </w:tc>
        <w:tc>
          <w:tcPr>
            <w:tcW w:type="dxa" w:w="1560"/>
            <w:shd w:fill="F9FBFD"/>
            <w:tcMar>
              <w:top w:w="80" w:type="dxa"/>
              <w:bottom w:w="80" w:type="dxa"/>
              <w:left w:w="100" w:type="dxa"/>
              <w:right w:w="100" w:type="dxa"/>
            </w:tcMar>
          </w:tcPr>
          <w:p>
            <w:pPr>
              <w:jc w:val="right"/>
            </w:pPr>
            <w:r>
              <w:rPr>
                <w:sz w:val="19"/>
              </w:rPr>
              <w:t>0.0163</w:t>
            </w:r>
          </w:p>
        </w:tc>
        <w:tc>
          <w:tcPr>
            <w:tcW w:type="dxa" w:w="1560"/>
            <w:shd w:fill="F9FBFD"/>
            <w:tcMar>
              <w:top w:w="80" w:type="dxa"/>
              <w:bottom w:w="80" w:type="dxa"/>
              <w:left w:w="100" w:type="dxa"/>
              <w:right w:w="100" w:type="dxa"/>
            </w:tcMar>
          </w:tcPr>
          <w:p>
            <w:pPr>
              <w:jc w:val="right"/>
            </w:pPr>
            <w:r>
              <w:rPr>
                <w:sz w:val="19"/>
              </w:rPr>
              <w:t>0.0524</w:t>
            </w:r>
          </w:p>
        </w:tc>
        <w:tc>
          <w:tcPr>
            <w:tcW w:type="dxa" w:w="1560"/>
            <w:shd w:fill="F9FBFD"/>
            <w:tcMar>
              <w:top w:w="80" w:type="dxa"/>
              <w:bottom w:w="80" w:type="dxa"/>
              <w:left w:w="100" w:type="dxa"/>
              <w:right w:w="100" w:type="dxa"/>
            </w:tcMar>
          </w:tcPr>
          <w:p>
            <w:pPr>
              <w:jc w:val="right"/>
            </w:pPr>
            <w:r>
              <w:rPr>
                <w:sz w:val="19"/>
              </w:rPr>
              <w:t>8.69%</w:t>
            </w:r>
          </w:p>
        </w:tc>
        <w:tc>
          <w:tcPr>
            <w:tcW w:type="dxa" w:w="1560"/>
            <w:shd w:fill="F9FBFD"/>
            <w:tcMar>
              <w:top w:w="80" w:type="dxa"/>
              <w:bottom w:w="80" w:type="dxa"/>
              <w:left w:w="100" w:type="dxa"/>
              <w:right w:w="100" w:type="dxa"/>
            </w:tcMar>
          </w:tcPr>
          <w:p>
            <w:pPr>
              <w:jc w:val="right"/>
            </w:pPr>
            <w:r>
              <w:rPr>
                <w:sz w:val="19"/>
              </w:rPr>
              <w:t>0.9994</w:t>
            </w:r>
          </w:p>
        </w:tc>
        <w:tc>
          <w:tcPr>
            <w:tcW w:type="dxa" w:w="1560"/>
            <w:shd w:fill="F9FBFD"/>
            <w:tcMar>
              <w:top w:w="80" w:type="dxa"/>
              <w:bottom w:w="80" w:type="dxa"/>
              <w:left w:w="100" w:type="dxa"/>
              <w:right w:w="100" w:type="dxa"/>
            </w:tcMar>
          </w:tcPr>
          <w:p>
            <w:pPr>
              <w:jc w:val="left"/>
            </w:pPr>
            <w:r>
              <w:rPr>
                <w:sz w:val="19"/>
              </w:rPr>
              <w:t>47.1% Lower MAE</w:t>
            </w:r>
          </w:p>
        </w:tc>
      </w:tr>
      <w:tr>
        <w:tc>
          <w:tcPr>
            <w:tcW w:type="dxa" w:w="1560"/>
            <w:shd w:fill="FFFFFF"/>
            <w:tcMar>
              <w:top w:w="80" w:type="dxa"/>
              <w:bottom w:w="80" w:type="dxa"/>
              <w:left w:w="100" w:type="dxa"/>
              <w:right w:w="100" w:type="dxa"/>
            </w:tcMar>
          </w:tcPr>
          <w:p>
            <w:pPr>
              <w:jc w:val="left"/>
            </w:pPr>
            <w:r>
              <w:rPr>
                <w:b/>
                <w:sz w:val="19"/>
              </w:rPr>
              <w:t>SARIMAX</w:t>
            </w:r>
          </w:p>
        </w:tc>
        <w:tc>
          <w:tcPr>
            <w:tcW w:type="dxa" w:w="1560"/>
            <w:shd w:fill="FFFFFF"/>
            <w:tcMar>
              <w:top w:w="80" w:type="dxa"/>
              <w:bottom w:w="80" w:type="dxa"/>
              <w:left w:w="100" w:type="dxa"/>
              <w:right w:w="100" w:type="dxa"/>
            </w:tcMar>
          </w:tcPr>
          <w:p>
            <w:pPr>
              <w:jc w:val="right"/>
            </w:pPr>
            <w:r>
              <w:rPr>
                <w:sz w:val="19"/>
              </w:rPr>
              <w:t>0.0162</w:t>
            </w:r>
          </w:p>
        </w:tc>
        <w:tc>
          <w:tcPr>
            <w:tcW w:type="dxa" w:w="1560"/>
            <w:shd w:fill="FFFFFF"/>
            <w:tcMar>
              <w:top w:w="80" w:type="dxa"/>
              <w:bottom w:w="80" w:type="dxa"/>
              <w:left w:w="100" w:type="dxa"/>
              <w:right w:w="100" w:type="dxa"/>
            </w:tcMar>
          </w:tcPr>
          <w:p>
            <w:pPr>
              <w:jc w:val="right"/>
            </w:pPr>
            <w:r>
              <w:rPr>
                <w:sz w:val="19"/>
              </w:rPr>
              <w:t>0.0523</w:t>
            </w:r>
          </w:p>
        </w:tc>
        <w:tc>
          <w:tcPr>
            <w:tcW w:type="dxa" w:w="1560"/>
            <w:shd w:fill="FFFFFF"/>
            <w:tcMar>
              <w:top w:w="80" w:type="dxa"/>
              <w:bottom w:w="80" w:type="dxa"/>
              <w:left w:w="100" w:type="dxa"/>
              <w:right w:w="100" w:type="dxa"/>
            </w:tcMar>
          </w:tcPr>
          <w:p>
            <w:pPr>
              <w:jc w:val="right"/>
            </w:pPr>
            <w:r>
              <w:rPr>
                <w:sz w:val="19"/>
              </w:rPr>
              <w:t>8.63%</w:t>
            </w:r>
          </w:p>
        </w:tc>
        <w:tc>
          <w:tcPr>
            <w:tcW w:type="dxa" w:w="1560"/>
            <w:shd w:fill="FFFFFF"/>
            <w:tcMar>
              <w:top w:w="80" w:type="dxa"/>
              <w:bottom w:w="80" w:type="dxa"/>
              <w:left w:w="100" w:type="dxa"/>
              <w:right w:w="100" w:type="dxa"/>
            </w:tcMar>
          </w:tcPr>
          <w:p>
            <w:pPr>
              <w:jc w:val="right"/>
            </w:pPr>
            <w:r>
              <w:rPr>
                <w:sz w:val="19"/>
              </w:rPr>
              <w:t>0.9994</w:t>
            </w:r>
          </w:p>
        </w:tc>
        <w:tc>
          <w:tcPr>
            <w:tcW w:type="dxa" w:w="1560"/>
            <w:shd w:fill="FFFFFF"/>
            <w:tcMar>
              <w:top w:w="80" w:type="dxa"/>
              <w:bottom w:w="80" w:type="dxa"/>
              <w:left w:w="100" w:type="dxa"/>
              <w:right w:w="100" w:type="dxa"/>
            </w:tcMar>
          </w:tcPr>
          <w:p>
            <w:pPr>
              <w:jc w:val="left"/>
            </w:pPr>
            <w:r>
              <w:rPr>
                <w:sz w:val="19"/>
              </w:rPr>
              <w:t>47.4% Lower MAE</w:t>
            </w:r>
          </w:p>
        </w:tc>
      </w:tr>
      <w:tr>
        <w:tc>
          <w:tcPr>
            <w:tcW w:type="dxa" w:w="1560"/>
            <w:shd w:fill="F9FBFD"/>
            <w:tcMar>
              <w:top w:w="80" w:type="dxa"/>
              <w:bottom w:w="80" w:type="dxa"/>
              <w:left w:w="100" w:type="dxa"/>
              <w:right w:w="100" w:type="dxa"/>
            </w:tcMar>
          </w:tcPr>
          <w:p>
            <w:pPr>
              <w:jc w:val="left"/>
            </w:pPr>
            <w:r>
              <w:rPr>
                <w:b/>
                <w:sz w:val="19"/>
              </w:rPr>
              <w:t>Naive (Baseline)</w:t>
            </w:r>
          </w:p>
        </w:tc>
        <w:tc>
          <w:tcPr>
            <w:tcW w:type="dxa" w:w="1560"/>
            <w:shd w:fill="F9FBFD"/>
            <w:tcMar>
              <w:top w:w="80" w:type="dxa"/>
              <w:bottom w:w="80" w:type="dxa"/>
              <w:left w:w="100" w:type="dxa"/>
              <w:right w:w="100" w:type="dxa"/>
            </w:tcMar>
          </w:tcPr>
          <w:p>
            <w:pPr>
              <w:jc w:val="right"/>
            </w:pPr>
            <w:r>
              <w:rPr>
                <w:sz w:val="19"/>
              </w:rPr>
              <w:t>0.0307</w:t>
            </w:r>
          </w:p>
        </w:tc>
        <w:tc>
          <w:tcPr>
            <w:tcW w:type="dxa" w:w="1560"/>
            <w:shd w:fill="F9FBFD"/>
            <w:tcMar>
              <w:top w:w="80" w:type="dxa"/>
              <w:bottom w:w="80" w:type="dxa"/>
              <w:left w:w="100" w:type="dxa"/>
              <w:right w:w="100" w:type="dxa"/>
            </w:tcMar>
          </w:tcPr>
          <w:p>
            <w:pPr>
              <w:jc w:val="right"/>
            </w:pPr>
            <w:r>
              <w:rPr>
                <w:sz w:val="19"/>
              </w:rPr>
              <w:t>0.0781</w:t>
            </w:r>
          </w:p>
        </w:tc>
        <w:tc>
          <w:tcPr>
            <w:tcW w:type="dxa" w:w="1560"/>
            <w:shd w:fill="F9FBFD"/>
            <w:tcMar>
              <w:top w:w="80" w:type="dxa"/>
              <w:bottom w:w="80" w:type="dxa"/>
              <w:left w:w="100" w:type="dxa"/>
              <w:right w:w="100" w:type="dxa"/>
            </w:tcMar>
          </w:tcPr>
          <w:p>
            <w:pPr>
              <w:jc w:val="right"/>
            </w:pPr>
            <w:r>
              <w:rPr>
                <w:sz w:val="19"/>
              </w:rPr>
              <w:t>18.22%</w:t>
            </w:r>
          </w:p>
        </w:tc>
        <w:tc>
          <w:tcPr>
            <w:tcW w:type="dxa" w:w="1560"/>
            <w:shd w:fill="F9FBFD"/>
            <w:tcMar>
              <w:top w:w="80" w:type="dxa"/>
              <w:bottom w:w="80" w:type="dxa"/>
              <w:left w:w="100" w:type="dxa"/>
              <w:right w:w="100" w:type="dxa"/>
            </w:tcMar>
          </w:tcPr>
          <w:p>
            <w:pPr>
              <w:jc w:val="right"/>
            </w:pPr>
            <w:r>
              <w:rPr>
                <w:sz w:val="19"/>
              </w:rPr>
              <w:t>0.9988</w:t>
            </w:r>
          </w:p>
        </w:tc>
        <w:tc>
          <w:tcPr>
            <w:tcW w:type="dxa" w:w="1560"/>
            <w:shd w:fill="F9FBFD"/>
            <w:tcMar>
              <w:top w:w="80" w:type="dxa"/>
              <w:bottom w:w="80" w:type="dxa"/>
              <w:left w:w="100" w:type="dxa"/>
              <w:right w:w="100" w:type="dxa"/>
            </w:tcMar>
          </w:tcPr>
          <w:p>
            <w:pPr>
              <w:jc w:val="left"/>
            </w:pPr>
            <w:r>
              <w:rPr>
                <w:sz w:val="19"/>
              </w:rPr>
              <w:t>Reference Baseline</w:t>
            </w:r>
          </w:p>
        </w:tc>
      </w:tr>
    </w:tbl>
    <w:p>
      <w:pPr>
        <w:spacing w:after="160"/>
      </w:pPr>
    </w:p>
    <w:p>
      <w:pPr>
        <w:pStyle w:val="Heading1"/>
      </w:pPr>
      <w:r>
        <w:t>5. OILGUARD-AC: Methodology &amp; Benchmark Comparison</w:t>
      </w:r>
    </w:p>
    <w:p>
      <w:r>
        <w:t>To address the identified research gap, we developed OILGUARD-AC based on three key pillars:</w:t>
        <w:br/>
        <w:t>1. Multisensor Anomaly Scoring: Standardized pressure forecast residuals z_P are combined with standardized downhole temperature deviations z_T into a composite score S_t = sqrt(w_P * z_P^2 + (1 - w_P) * z_T^2).</w:t>
        <w:br/>
        <w:t>2. Alarm-Budgeted Threshold Calibration: Rather than selecting arbitrary quantiles, threshold tau is calibrated on normal operating calibration data such that the calibration false alarm rate does not exceed an operational budget B_FAR (e.g., 1.0 FA/hr).</w:t>
        <w:br/>
        <w:t>3. Leak-Free LOEO-CV with Non-Forecasting Benchmark: We evaluate all models across all 19 folds, benchmarking against Local Outlier Factor (LOF) and computing 95% bootstrap confidence intervals.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A3663"/>
            <w:tcMar>
              <w:top w:w="100" w:type="dxa"/>
              <w:bottom w:w="100" w:type="dxa"/>
              <w:left w:w="100" w:type="dxa"/>
              <w:right w:w="100" w:type="dxa"/>
            </w:tcMar>
          </w:tcPr>
          <w:p>
            <w:pPr>
              <w:jc w:val="center"/>
            </w:pPr>
            <w:r>
              <w:rPr>
                <w:b/>
                <w:color w:val="FFFFFF"/>
                <w:sz w:val="18"/>
              </w:rPr>
              <w:t>Model / Method</w:t>
            </w:r>
          </w:p>
        </w:tc>
        <w:tc>
          <w:tcPr>
            <w:tcW w:type="dxa" w:w="1337"/>
            <w:shd w:fill="0A3663"/>
            <w:tcMar>
              <w:top w:w="100" w:type="dxa"/>
              <w:bottom w:w="100" w:type="dxa"/>
              <w:left w:w="100" w:type="dxa"/>
              <w:right w:w="100" w:type="dxa"/>
            </w:tcMar>
          </w:tcPr>
          <w:p>
            <w:pPr>
              <w:jc w:val="center"/>
            </w:pPr>
            <w:r>
              <w:rPr>
                <w:b/>
                <w:color w:val="FFFFFF"/>
                <w:sz w:val="18"/>
              </w:rPr>
              <w:t>P1 Detection</w:t>
            </w:r>
          </w:p>
        </w:tc>
        <w:tc>
          <w:tcPr>
            <w:tcW w:type="dxa" w:w="1337"/>
            <w:shd w:fill="0A3663"/>
            <w:tcMar>
              <w:top w:w="100" w:type="dxa"/>
              <w:bottom w:w="100" w:type="dxa"/>
              <w:left w:w="100" w:type="dxa"/>
              <w:right w:w="100" w:type="dxa"/>
            </w:tcMar>
          </w:tcPr>
          <w:p>
            <w:pPr>
              <w:jc w:val="center"/>
            </w:pPr>
            <w:r>
              <w:rPr>
                <w:b/>
                <w:color w:val="FFFFFF"/>
                <w:sz w:val="18"/>
              </w:rPr>
              <w:t>P1 Lead (Mean/Med)</w:t>
            </w:r>
          </w:p>
        </w:tc>
        <w:tc>
          <w:tcPr>
            <w:tcW w:type="dxa" w:w="1337"/>
            <w:shd w:fill="0A3663"/>
            <w:tcMar>
              <w:top w:w="100" w:type="dxa"/>
              <w:bottom w:w="100" w:type="dxa"/>
              <w:left w:w="100" w:type="dxa"/>
              <w:right w:w="100" w:type="dxa"/>
            </w:tcMar>
          </w:tcPr>
          <w:p>
            <w:pPr>
              <w:jc w:val="center"/>
            </w:pPr>
            <w:r>
              <w:rPr>
                <w:b/>
                <w:color w:val="FFFFFF"/>
                <w:sz w:val="18"/>
              </w:rPr>
              <w:t>P2 LOEO Detection</w:t>
            </w:r>
          </w:p>
        </w:tc>
        <w:tc>
          <w:tcPr>
            <w:tcW w:type="dxa" w:w="1337"/>
            <w:shd w:fill="0A3663"/>
            <w:tcMar>
              <w:top w:w="100" w:type="dxa"/>
              <w:bottom w:w="100" w:type="dxa"/>
              <w:left w:w="100" w:type="dxa"/>
              <w:right w:w="100" w:type="dxa"/>
            </w:tcMar>
          </w:tcPr>
          <w:p>
            <w:pPr>
              <w:jc w:val="center"/>
            </w:pPr>
            <w:r>
              <w:rPr>
                <w:b/>
                <w:color w:val="FFFFFF"/>
                <w:sz w:val="18"/>
              </w:rPr>
              <w:t>P2 Lead (Mean/Med)</w:t>
            </w:r>
          </w:p>
        </w:tc>
        <w:tc>
          <w:tcPr>
            <w:tcW w:type="dxa" w:w="1337"/>
            <w:shd w:fill="0A3663"/>
            <w:tcMar>
              <w:top w:w="100" w:type="dxa"/>
              <w:bottom w:w="100" w:type="dxa"/>
              <w:left w:w="100" w:type="dxa"/>
              <w:right w:w="100" w:type="dxa"/>
            </w:tcMar>
          </w:tcPr>
          <w:p>
            <w:pPr>
              <w:jc w:val="center"/>
            </w:pPr>
            <w:r>
              <w:rPr>
                <w:b/>
                <w:color w:val="FFFFFF"/>
                <w:sz w:val="18"/>
              </w:rPr>
              <w:t>P2 Realized FAR</w:t>
            </w:r>
          </w:p>
        </w:tc>
        <w:tc>
          <w:tcPr>
            <w:tcW w:type="dxa" w:w="1337"/>
            <w:shd w:fill="0A3663"/>
            <w:tcMar>
              <w:top w:w="100" w:type="dxa"/>
              <w:bottom w:w="100" w:type="dxa"/>
              <w:left w:w="100" w:type="dxa"/>
              <w:right w:w="100" w:type="dxa"/>
            </w:tcMar>
          </w:tcPr>
          <w:p>
            <w:pPr>
              <w:jc w:val="center"/>
            </w:pPr>
            <w:r>
              <w:rPr>
                <w:b/>
                <w:color w:val="FFFFFF"/>
                <w:sz w:val="18"/>
              </w:rPr>
              <w:t>P3 LOWO Detection</w:t>
            </w:r>
          </w:p>
        </w:tc>
      </w:tr>
      <w:tr>
        <w:tc>
          <w:tcPr>
            <w:tcW w:type="dxa" w:w="1337"/>
            <w:shd w:fill="F9FBFD"/>
            <w:tcMar>
              <w:top w:w="80" w:type="dxa"/>
              <w:bottom w:w="80" w:type="dxa"/>
              <w:left w:w="80" w:type="dxa"/>
              <w:right w:w="80" w:type="dxa"/>
            </w:tcMar>
          </w:tcPr>
          <w:p>
            <w:pPr>
              <w:jc w:val="left"/>
            </w:pPr>
            <w:r>
              <w:rPr>
                <w:b/>
                <w:sz w:val="17"/>
              </w:rPr>
              <w:t>SARIMAX (Exogenous T)</w:t>
            </w:r>
          </w:p>
        </w:tc>
        <w:tc>
          <w:tcPr>
            <w:tcW w:type="dxa" w:w="1337"/>
            <w:shd w:fill="F9FBFD"/>
            <w:tcMar>
              <w:top w:w="80" w:type="dxa"/>
              <w:bottom w:w="80" w:type="dxa"/>
              <w:left w:w="80" w:type="dxa"/>
              <w:right w:w="80" w:type="dxa"/>
            </w:tcMar>
          </w:tcPr>
          <w:p>
            <w:pPr>
              <w:jc w:val="right"/>
            </w:pPr>
            <w:r>
              <w:rPr>
                <w:sz w:val="17"/>
              </w:rPr>
              <w:t>36.8% (7/19)</w:t>
            </w:r>
          </w:p>
        </w:tc>
        <w:tc>
          <w:tcPr>
            <w:tcW w:type="dxa" w:w="1337"/>
            <w:shd w:fill="F9FBFD"/>
            <w:tcMar>
              <w:top w:w="80" w:type="dxa"/>
              <w:bottom w:w="80" w:type="dxa"/>
              <w:left w:w="80" w:type="dxa"/>
              <w:right w:w="80" w:type="dxa"/>
            </w:tcMar>
          </w:tcPr>
          <w:p>
            <w:pPr>
              <w:jc w:val="right"/>
            </w:pPr>
            <w:r>
              <w:rPr>
                <w:sz w:val="17"/>
              </w:rPr>
              <w:t>4.0m / 4.3m</w:t>
            </w:r>
          </w:p>
        </w:tc>
        <w:tc>
          <w:tcPr>
            <w:tcW w:type="dxa" w:w="1337"/>
            <w:shd w:fill="F9FBFD"/>
            <w:tcMar>
              <w:top w:w="80" w:type="dxa"/>
              <w:bottom w:w="80" w:type="dxa"/>
              <w:left w:w="80" w:type="dxa"/>
              <w:right w:w="80" w:type="dxa"/>
            </w:tcMar>
          </w:tcPr>
          <w:p>
            <w:pPr>
              <w:jc w:val="right"/>
            </w:pPr>
            <w:r>
              <w:rPr>
                <w:sz w:val="17"/>
              </w:rPr>
              <w:t>63.2% (12/19)</w:t>
            </w:r>
          </w:p>
        </w:tc>
        <w:tc>
          <w:tcPr>
            <w:tcW w:type="dxa" w:w="1337"/>
            <w:shd w:fill="F9FBFD"/>
            <w:tcMar>
              <w:top w:w="80" w:type="dxa"/>
              <w:bottom w:w="80" w:type="dxa"/>
              <w:left w:w="80" w:type="dxa"/>
              <w:right w:w="80" w:type="dxa"/>
            </w:tcMar>
          </w:tcPr>
          <w:p>
            <w:pPr>
              <w:jc w:val="right"/>
            </w:pPr>
            <w:r>
              <w:rPr>
                <w:sz w:val="17"/>
              </w:rPr>
              <w:t>4.8m / 4.8m</w:t>
            </w:r>
          </w:p>
        </w:tc>
        <w:tc>
          <w:tcPr>
            <w:tcW w:type="dxa" w:w="1337"/>
            <w:shd w:fill="F9FBFD"/>
            <w:tcMar>
              <w:top w:w="80" w:type="dxa"/>
              <w:bottom w:w="80" w:type="dxa"/>
              <w:left w:w="80" w:type="dxa"/>
              <w:right w:w="80" w:type="dxa"/>
            </w:tcMar>
          </w:tcPr>
          <w:p>
            <w:pPr>
              <w:jc w:val="right"/>
            </w:pPr>
            <w:r>
              <w:rPr>
                <w:b/>
                <w:color w:val="1B5E20"/>
                <w:sz w:val="17"/>
              </w:rPr>
              <w:t>0.50 / hr (Met)</w:t>
            </w:r>
          </w:p>
        </w:tc>
        <w:tc>
          <w:tcPr>
            <w:tcW w:type="dxa" w:w="1337"/>
            <w:shd w:fill="F9FBFD"/>
            <w:tcMar>
              <w:top w:w="80" w:type="dxa"/>
              <w:bottom w:w="80" w:type="dxa"/>
              <w:left w:w="80" w:type="dxa"/>
              <w:right w:w="80" w:type="dxa"/>
            </w:tcMar>
          </w:tcPr>
          <w:p>
            <w:pPr>
              <w:jc w:val="right"/>
            </w:pPr>
            <w:r>
              <w:rPr>
                <w:sz w:val="17"/>
              </w:rPr>
              <w:t>73.7% (14/19)</w:t>
            </w:r>
          </w:p>
        </w:tc>
      </w:tr>
      <w:tr>
        <w:tc>
          <w:tcPr>
            <w:tcW w:type="dxa" w:w="1337"/>
            <w:shd w:fill="FFFFFF"/>
            <w:tcMar>
              <w:top w:w="80" w:type="dxa"/>
              <w:bottom w:w="80" w:type="dxa"/>
              <w:left w:w="80" w:type="dxa"/>
              <w:right w:w="80" w:type="dxa"/>
            </w:tcMar>
          </w:tcPr>
          <w:p>
            <w:pPr>
              <w:jc w:val="left"/>
            </w:pPr>
            <w:r>
              <w:rPr>
                <w:b/>
                <w:sz w:val="17"/>
              </w:rPr>
              <w:t>OILGUARD-AC (w=0.85)</w:t>
            </w:r>
          </w:p>
        </w:tc>
        <w:tc>
          <w:tcPr>
            <w:tcW w:type="dxa" w:w="1337"/>
            <w:shd w:fill="FFFFFF"/>
            <w:tcMar>
              <w:top w:w="80" w:type="dxa"/>
              <w:bottom w:w="80" w:type="dxa"/>
              <w:left w:w="80" w:type="dxa"/>
              <w:right w:w="80" w:type="dxa"/>
            </w:tcMar>
          </w:tcPr>
          <w:p>
            <w:pPr>
              <w:jc w:val="right"/>
            </w:pPr>
            <w:r>
              <w:rPr>
                <w:sz w:val="17"/>
              </w:rPr>
              <w:t>47.4% (9/19)</w:t>
            </w:r>
          </w:p>
        </w:tc>
        <w:tc>
          <w:tcPr>
            <w:tcW w:type="dxa" w:w="1337"/>
            <w:shd w:fill="FFFFFF"/>
            <w:tcMar>
              <w:top w:w="80" w:type="dxa"/>
              <w:bottom w:w="80" w:type="dxa"/>
              <w:left w:w="80" w:type="dxa"/>
              <w:right w:w="80" w:type="dxa"/>
            </w:tcMar>
          </w:tcPr>
          <w:p>
            <w:pPr>
              <w:jc w:val="right"/>
            </w:pPr>
            <w:r>
              <w:rPr>
                <w:sz w:val="17"/>
              </w:rPr>
              <w:t>3.3m / 3.5m</w:t>
            </w:r>
          </w:p>
        </w:tc>
        <w:tc>
          <w:tcPr>
            <w:tcW w:type="dxa" w:w="1337"/>
            <w:shd w:fill="FFFFFF"/>
            <w:tcMar>
              <w:top w:w="80" w:type="dxa"/>
              <w:bottom w:w="80" w:type="dxa"/>
              <w:left w:w="80" w:type="dxa"/>
              <w:right w:w="80" w:type="dxa"/>
            </w:tcMar>
          </w:tcPr>
          <w:p>
            <w:pPr>
              <w:jc w:val="right"/>
            </w:pPr>
            <w:r>
              <w:rPr>
                <w:sz w:val="17"/>
              </w:rPr>
              <w:t>63.2% (12/19)</w:t>
            </w:r>
          </w:p>
        </w:tc>
        <w:tc>
          <w:tcPr>
            <w:tcW w:type="dxa" w:w="1337"/>
            <w:shd w:fill="FFFFFF"/>
            <w:tcMar>
              <w:top w:w="80" w:type="dxa"/>
              <w:bottom w:w="80" w:type="dxa"/>
              <w:left w:w="80" w:type="dxa"/>
              <w:right w:w="80" w:type="dxa"/>
            </w:tcMar>
          </w:tcPr>
          <w:p>
            <w:pPr>
              <w:jc w:val="right"/>
            </w:pPr>
            <w:r>
              <w:rPr>
                <w:sz w:val="17"/>
              </w:rPr>
              <w:t>5.2m / 5.4m</w:t>
            </w:r>
          </w:p>
        </w:tc>
        <w:tc>
          <w:tcPr>
            <w:tcW w:type="dxa" w:w="1337"/>
            <w:shd w:fill="FFFFFF"/>
            <w:tcMar>
              <w:top w:w="80" w:type="dxa"/>
              <w:bottom w:w="80" w:type="dxa"/>
              <w:left w:w="80" w:type="dxa"/>
              <w:right w:w="80" w:type="dxa"/>
            </w:tcMar>
          </w:tcPr>
          <w:p>
            <w:pPr>
              <w:jc w:val="right"/>
            </w:pPr>
            <w:r>
              <w:rPr>
                <w:b/>
                <w:color w:val="1B5E20"/>
                <w:sz w:val="17"/>
              </w:rPr>
              <w:t>0.50 / hr (Met)</w:t>
            </w:r>
          </w:p>
        </w:tc>
        <w:tc>
          <w:tcPr>
            <w:tcW w:type="dxa" w:w="1337"/>
            <w:shd w:fill="FFFFFF"/>
            <w:tcMar>
              <w:top w:w="80" w:type="dxa"/>
              <w:bottom w:w="80" w:type="dxa"/>
              <w:left w:w="80" w:type="dxa"/>
              <w:right w:w="80" w:type="dxa"/>
            </w:tcMar>
          </w:tcPr>
          <w:p>
            <w:pPr>
              <w:jc w:val="right"/>
            </w:pPr>
            <w:r>
              <w:rPr>
                <w:sz w:val="17"/>
              </w:rPr>
              <w:t>73.7% (14/19)</w:t>
            </w:r>
          </w:p>
        </w:tc>
      </w:tr>
      <w:tr>
        <w:tc>
          <w:tcPr>
            <w:tcW w:type="dxa" w:w="1337"/>
            <w:shd w:fill="F9FBFD"/>
            <w:tcMar>
              <w:top w:w="80" w:type="dxa"/>
              <w:bottom w:w="80" w:type="dxa"/>
              <w:left w:w="80" w:type="dxa"/>
              <w:right w:w="80" w:type="dxa"/>
            </w:tcMar>
          </w:tcPr>
          <w:p>
            <w:pPr>
              <w:jc w:val="left"/>
            </w:pPr>
            <w:r>
              <w:rPr>
                <w:b/>
                <w:sz w:val="17"/>
              </w:rPr>
              <w:t>OILGUARD-AC (w=0.7)</w:t>
            </w:r>
          </w:p>
        </w:tc>
        <w:tc>
          <w:tcPr>
            <w:tcW w:type="dxa" w:w="1337"/>
            <w:shd w:fill="F9FBFD"/>
            <w:tcMar>
              <w:top w:w="80" w:type="dxa"/>
              <w:bottom w:w="80" w:type="dxa"/>
              <w:left w:w="80" w:type="dxa"/>
              <w:right w:w="80" w:type="dxa"/>
            </w:tcMar>
          </w:tcPr>
          <w:p>
            <w:pPr>
              <w:jc w:val="right"/>
            </w:pPr>
            <w:r>
              <w:rPr>
                <w:sz w:val="17"/>
              </w:rPr>
              <w:t>57.9% (11/19)</w:t>
            </w:r>
          </w:p>
        </w:tc>
        <w:tc>
          <w:tcPr>
            <w:tcW w:type="dxa" w:w="1337"/>
            <w:shd w:fill="F9FBFD"/>
            <w:tcMar>
              <w:top w:w="80" w:type="dxa"/>
              <w:bottom w:w="80" w:type="dxa"/>
              <w:left w:w="80" w:type="dxa"/>
              <w:right w:w="80" w:type="dxa"/>
            </w:tcMar>
          </w:tcPr>
          <w:p>
            <w:pPr>
              <w:jc w:val="right"/>
            </w:pPr>
            <w:r>
              <w:rPr>
                <w:sz w:val="17"/>
              </w:rPr>
              <w:t>2.8m / 2.5m</w:t>
            </w:r>
          </w:p>
        </w:tc>
        <w:tc>
          <w:tcPr>
            <w:tcW w:type="dxa" w:w="1337"/>
            <w:shd w:fill="F9FBFD"/>
            <w:tcMar>
              <w:top w:w="80" w:type="dxa"/>
              <w:bottom w:w="80" w:type="dxa"/>
              <w:left w:w="80" w:type="dxa"/>
              <w:right w:w="80" w:type="dxa"/>
            </w:tcMar>
          </w:tcPr>
          <w:p>
            <w:pPr>
              <w:jc w:val="right"/>
            </w:pPr>
            <w:r>
              <w:rPr>
                <w:sz w:val="17"/>
              </w:rPr>
              <w:t>52.6% (10/19)</w:t>
            </w:r>
          </w:p>
        </w:tc>
        <w:tc>
          <w:tcPr>
            <w:tcW w:type="dxa" w:w="1337"/>
            <w:shd w:fill="F9FBFD"/>
            <w:tcMar>
              <w:top w:w="80" w:type="dxa"/>
              <w:bottom w:w="80" w:type="dxa"/>
              <w:left w:w="80" w:type="dxa"/>
              <w:right w:w="80" w:type="dxa"/>
            </w:tcMar>
          </w:tcPr>
          <w:p>
            <w:pPr>
              <w:jc w:val="right"/>
            </w:pPr>
            <w:r>
              <w:rPr>
                <w:sz w:val="17"/>
              </w:rPr>
              <w:t>4.7m / 4.4m</w:t>
            </w:r>
          </w:p>
        </w:tc>
        <w:tc>
          <w:tcPr>
            <w:tcW w:type="dxa" w:w="1337"/>
            <w:shd w:fill="F9FBFD"/>
            <w:tcMar>
              <w:top w:w="80" w:type="dxa"/>
              <w:bottom w:w="80" w:type="dxa"/>
              <w:left w:w="80" w:type="dxa"/>
              <w:right w:w="80" w:type="dxa"/>
            </w:tcMar>
          </w:tcPr>
          <w:p>
            <w:pPr>
              <w:jc w:val="right"/>
            </w:pPr>
            <w:r>
              <w:rPr>
                <w:b/>
                <w:color w:val="1B5E20"/>
                <w:sz w:val="17"/>
              </w:rPr>
              <w:t>0.75 / hr (Met)</w:t>
            </w:r>
          </w:p>
        </w:tc>
        <w:tc>
          <w:tcPr>
            <w:tcW w:type="dxa" w:w="1337"/>
            <w:shd w:fill="F9FBFD"/>
            <w:tcMar>
              <w:top w:w="80" w:type="dxa"/>
              <w:bottom w:w="80" w:type="dxa"/>
              <w:left w:w="80" w:type="dxa"/>
              <w:right w:w="80" w:type="dxa"/>
            </w:tcMar>
          </w:tcPr>
          <w:p>
            <w:pPr>
              <w:jc w:val="right"/>
            </w:pPr>
            <w:r>
              <w:rPr>
                <w:sz w:val="17"/>
              </w:rPr>
              <w:t>63.2% (12/19)</w:t>
            </w:r>
          </w:p>
        </w:tc>
      </w:tr>
      <w:tr>
        <w:tc>
          <w:tcPr>
            <w:tcW w:type="dxa" w:w="1337"/>
            <w:shd w:fill="FFFFFF"/>
            <w:tcMar>
              <w:top w:w="80" w:type="dxa"/>
              <w:bottom w:w="80" w:type="dxa"/>
              <w:left w:w="80" w:type="dxa"/>
              <w:right w:w="80" w:type="dxa"/>
            </w:tcMar>
          </w:tcPr>
          <w:p>
            <w:pPr>
              <w:jc w:val="left"/>
            </w:pPr>
            <w:r>
              <w:rPr>
                <w:b/>
                <w:sz w:val="17"/>
              </w:rPr>
              <w:t>OILGUARD-AC (w=0.5)</w:t>
            </w:r>
          </w:p>
        </w:tc>
        <w:tc>
          <w:tcPr>
            <w:tcW w:type="dxa" w:w="1337"/>
            <w:shd w:fill="FFFFFF"/>
            <w:tcMar>
              <w:top w:w="80" w:type="dxa"/>
              <w:bottom w:w="80" w:type="dxa"/>
              <w:left w:w="80" w:type="dxa"/>
              <w:right w:w="80" w:type="dxa"/>
            </w:tcMar>
          </w:tcPr>
          <w:p>
            <w:pPr>
              <w:jc w:val="right"/>
            </w:pPr>
            <w:r>
              <w:rPr>
                <w:sz w:val="17"/>
              </w:rPr>
              <w:t>68.4% (13/19)</w:t>
            </w:r>
          </w:p>
        </w:tc>
        <w:tc>
          <w:tcPr>
            <w:tcW w:type="dxa" w:w="1337"/>
            <w:shd w:fill="FFFFFF"/>
            <w:tcMar>
              <w:top w:w="80" w:type="dxa"/>
              <w:bottom w:w="80" w:type="dxa"/>
              <w:left w:w="80" w:type="dxa"/>
              <w:right w:w="80" w:type="dxa"/>
            </w:tcMar>
          </w:tcPr>
          <w:p>
            <w:pPr>
              <w:jc w:val="right"/>
            </w:pPr>
            <w:r>
              <w:rPr>
                <w:sz w:val="17"/>
              </w:rPr>
              <w:t>4.2m / 4.3m</w:t>
            </w:r>
          </w:p>
        </w:tc>
        <w:tc>
          <w:tcPr>
            <w:tcW w:type="dxa" w:w="1337"/>
            <w:shd w:fill="FFFFFF"/>
            <w:tcMar>
              <w:top w:w="80" w:type="dxa"/>
              <w:bottom w:w="80" w:type="dxa"/>
              <w:left w:w="80" w:type="dxa"/>
              <w:right w:w="80" w:type="dxa"/>
            </w:tcMar>
          </w:tcPr>
          <w:p>
            <w:pPr>
              <w:jc w:val="right"/>
            </w:pPr>
            <w:r>
              <w:rPr>
                <w:sz w:val="17"/>
              </w:rPr>
              <w:t>63.2% (12/19)</w:t>
            </w:r>
          </w:p>
        </w:tc>
        <w:tc>
          <w:tcPr>
            <w:tcW w:type="dxa" w:w="1337"/>
            <w:shd w:fill="FFFFFF"/>
            <w:tcMar>
              <w:top w:w="80" w:type="dxa"/>
              <w:bottom w:w="80" w:type="dxa"/>
              <w:left w:w="80" w:type="dxa"/>
              <w:right w:w="80" w:type="dxa"/>
            </w:tcMar>
          </w:tcPr>
          <w:p>
            <w:pPr>
              <w:jc w:val="right"/>
            </w:pPr>
            <w:r>
              <w:rPr>
                <w:sz w:val="17"/>
              </w:rPr>
              <w:t>4.0m / 3.2m</w:t>
            </w:r>
          </w:p>
        </w:tc>
        <w:tc>
          <w:tcPr>
            <w:tcW w:type="dxa" w:w="1337"/>
            <w:shd w:fill="FFFFFF"/>
            <w:tcMar>
              <w:top w:w="80" w:type="dxa"/>
              <w:bottom w:w="80" w:type="dxa"/>
              <w:left w:w="80" w:type="dxa"/>
              <w:right w:w="80" w:type="dxa"/>
            </w:tcMar>
          </w:tcPr>
          <w:p>
            <w:pPr>
              <w:jc w:val="right"/>
            </w:pPr>
            <w:r>
              <w:rPr>
                <w:b/>
                <w:color w:val="1B5E20"/>
                <w:sz w:val="17"/>
              </w:rPr>
              <w:t>0.50 / hr (Met)</w:t>
            </w:r>
          </w:p>
        </w:tc>
        <w:tc>
          <w:tcPr>
            <w:tcW w:type="dxa" w:w="1337"/>
            <w:shd w:fill="FFFFFF"/>
            <w:tcMar>
              <w:top w:w="80" w:type="dxa"/>
              <w:bottom w:w="80" w:type="dxa"/>
              <w:left w:w="80" w:type="dxa"/>
              <w:right w:w="80" w:type="dxa"/>
            </w:tcMar>
          </w:tcPr>
          <w:p>
            <w:pPr>
              <w:jc w:val="right"/>
            </w:pPr>
            <w:r>
              <w:rPr>
                <w:sz w:val="17"/>
              </w:rPr>
              <w:t>63.2% (12/19)</w:t>
            </w:r>
          </w:p>
        </w:tc>
      </w:tr>
      <w:tr>
        <w:tc>
          <w:tcPr>
            <w:tcW w:type="dxa" w:w="1337"/>
            <w:shd w:fill="F9FBFD"/>
            <w:tcMar>
              <w:top w:w="80" w:type="dxa"/>
              <w:bottom w:w="80" w:type="dxa"/>
              <w:left w:w="80" w:type="dxa"/>
              <w:right w:w="80" w:type="dxa"/>
            </w:tcMar>
          </w:tcPr>
          <w:p>
            <w:pPr>
              <w:jc w:val="left"/>
            </w:pPr>
            <w:r>
              <w:rPr>
                <w:b/>
                <w:sz w:val="17"/>
              </w:rPr>
              <w:t>Univariate ARIMA</w:t>
            </w:r>
          </w:p>
        </w:tc>
        <w:tc>
          <w:tcPr>
            <w:tcW w:type="dxa" w:w="1337"/>
            <w:shd w:fill="F9FBFD"/>
            <w:tcMar>
              <w:top w:w="80" w:type="dxa"/>
              <w:bottom w:w="80" w:type="dxa"/>
              <w:left w:w="80" w:type="dxa"/>
              <w:right w:w="80" w:type="dxa"/>
            </w:tcMar>
          </w:tcPr>
          <w:p>
            <w:pPr>
              <w:jc w:val="right"/>
            </w:pPr>
            <w:r>
              <w:rPr>
                <w:sz w:val="17"/>
              </w:rPr>
              <w:t>31.6% (6/19)</w:t>
            </w:r>
          </w:p>
        </w:tc>
        <w:tc>
          <w:tcPr>
            <w:tcW w:type="dxa" w:w="1337"/>
            <w:shd w:fill="F9FBFD"/>
            <w:tcMar>
              <w:top w:w="80" w:type="dxa"/>
              <w:bottom w:w="80" w:type="dxa"/>
              <w:left w:w="80" w:type="dxa"/>
              <w:right w:w="80" w:type="dxa"/>
            </w:tcMar>
          </w:tcPr>
          <w:p>
            <w:pPr>
              <w:jc w:val="right"/>
            </w:pPr>
            <w:r>
              <w:rPr>
                <w:sz w:val="17"/>
              </w:rPr>
              <w:t>2.5m / 1.5m</w:t>
            </w:r>
          </w:p>
        </w:tc>
        <w:tc>
          <w:tcPr>
            <w:tcW w:type="dxa" w:w="1337"/>
            <w:shd w:fill="F9FBFD"/>
            <w:tcMar>
              <w:top w:w="80" w:type="dxa"/>
              <w:bottom w:w="80" w:type="dxa"/>
              <w:left w:w="80" w:type="dxa"/>
              <w:right w:w="80" w:type="dxa"/>
            </w:tcMar>
          </w:tcPr>
          <w:p>
            <w:pPr>
              <w:jc w:val="right"/>
            </w:pPr>
            <w:r>
              <w:rPr>
                <w:sz w:val="17"/>
              </w:rPr>
              <w:t>57.9% (11/19)</w:t>
            </w:r>
          </w:p>
        </w:tc>
        <w:tc>
          <w:tcPr>
            <w:tcW w:type="dxa" w:w="1337"/>
            <w:shd w:fill="F9FBFD"/>
            <w:tcMar>
              <w:top w:w="80" w:type="dxa"/>
              <w:bottom w:w="80" w:type="dxa"/>
              <w:left w:w="80" w:type="dxa"/>
              <w:right w:w="80" w:type="dxa"/>
            </w:tcMar>
          </w:tcPr>
          <w:p>
            <w:pPr>
              <w:jc w:val="right"/>
            </w:pPr>
            <w:r>
              <w:rPr>
                <w:sz w:val="17"/>
              </w:rPr>
              <w:t>5.2m / 5.2m</w:t>
            </w:r>
          </w:p>
        </w:tc>
        <w:tc>
          <w:tcPr>
            <w:tcW w:type="dxa" w:w="1337"/>
            <w:shd w:fill="F9FBFD"/>
            <w:tcMar>
              <w:top w:w="80" w:type="dxa"/>
              <w:bottom w:w="80" w:type="dxa"/>
              <w:left w:w="80" w:type="dxa"/>
              <w:right w:w="80" w:type="dxa"/>
            </w:tcMar>
          </w:tcPr>
          <w:p>
            <w:pPr>
              <w:jc w:val="right"/>
            </w:pPr>
            <w:r>
              <w:rPr>
                <w:b/>
                <w:color w:val="1B5E20"/>
                <w:sz w:val="17"/>
              </w:rPr>
              <w:t>0.50 / hr (Met)</w:t>
            </w:r>
          </w:p>
        </w:tc>
        <w:tc>
          <w:tcPr>
            <w:tcW w:type="dxa" w:w="1337"/>
            <w:shd w:fill="F9FBFD"/>
            <w:tcMar>
              <w:top w:w="80" w:type="dxa"/>
              <w:bottom w:w="80" w:type="dxa"/>
              <w:left w:w="80" w:type="dxa"/>
              <w:right w:w="80" w:type="dxa"/>
            </w:tcMar>
          </w:tcPr>
          <w:p>
            <w:pPr>
              <w:jc w:val="right"/>
            </w:pPr>
            <w:r>
              <w:rPr>
                <w:sz w:val="17"/>
              </w:rPr>
              <w:t>68.4% (13/19)</w:t>
            </w:r>
          </w:p>
        </w:tc>
      </w:tr>
      <w:tr>
        <w:tc>
          <w:tcPr>
            <w:tcW w:type="dxa" w:w="1337"/>
            <w:shd w:fill="FFFFFF"/>
            <w:tcMar>
              <w:top w:w="80" w:type="dxa"/>
              <w:bottom w:w="80" w:type="dxa"/>
              <w:left w:w="80" w:type="dxa"/>
              <w:right w:w="80" w:type="dxa"/>
            </w:tcMar>
          </w:tcPr>
          <w:p>
            <w:pPr>
              <w:jc w:val="left"/>
            </w:pPr>
            <w:r>
              <w:rPr>
                <w:b/>
                <w:sz w:val="17"/>
              </w:rPr>
              <w:t>Naive Persistence</w:t>
            </w:r>
          </w:p>
        </w:tc>
        <w:tc>
          <w:tcPr>
            <w:tcW w:type="dxa" w:w="1337"/>
            <w:shd w:fill="FFFFFF"/>
            <w:tcMar>
              <w:top w:w="80" w:type="dxa"/>
              <w:bottom w:w="80" w:type="dxa"/>
              <w:left w:w="80" w:type="dxa"/>
              <w:right w:w="80" w:type="dxa"/>
            </w:tcMar>
          </w:tcPr>
          <w:p>
            <w:pPr>
              <w:jc w:val="right"/>
            </w:pPr>
            <w:r>
              <w:rPr>
                <w:sz w:val="17"/>
              </w:rPr>
              <w:t>47.4% (9/19)</w:t>
            </w:r>
          </w:p>
        </w:tc>
        <w:tc>
          <w:tcPr>
            <w:tcW w:type="dxa" w:w="1337"/>
            <w:shd w:fill="FFFFFF"/>
            <w:tcMar>
              <w:top w:w="80" w:type="dxa"/>
              <w:bottom w:w="80" w:type="dxa"/>
              <w:left w:w="80" w:type="dxa"/>
              <w:right w:w="80" w:type="dxa"/>
            </w:tcMar>
          </w:tcPr>
          <w:p>
            <w:pPr>
              <w:jc w:val="right"/>
            </w:pPr>
            <w:r>
              <w:rPr>
                <w:sz w:val="17"/>
              </w:rPr>
              <w:t>4.5m / 4.5m</w:t>
            </w:r>
          </w:p>
        </w:tc>
        <w:tc>
          <w:tcPr>
            <w:tcW w:type="dxa" w:w="1337"/>
            <w:shd w:fill="FFFFFF"/>
            <w:tcMar>
              <w:top w:w="80" w:type="dxa"/>
              <w:bottom w:w="80" w:type="dxa"/>
              <w:left w:w="80" w:type="dxa"/>
              <w:right w:w="80" w:type="dxa"/>
            </w:tcMar>
          </w:tcPr>
          <w:p>
            <w:pPr>
              <w:jc w:val="right"/>
            </w:pPr>
            <w:r>
              <w:rPr>
                <w:sz w:val="17"/>
              </w:rPr>
              <w:t>47.4% (9/19)</w:t>
            </w:r>
          </w:p>
        </w:tc>
        <w:tc>
          <w:tcPr>
            <w:tcW w:type="dxa" w:w="1337"/>
            <w:shd w:fill="FFFFFF"/>
            <w:tcMar>
              <w:top w:w="80" w:type="dxa"/>
              <w:bottom w:w="80" w:type="dxa"/>
              <w:left w:w="80" w:type="dxa"/>
              <w:right w:w="80" w:type="dxa"/>
            </w:tcMar>
          </w:tcPr>
          <w:p>
            <w:pPr>
              <w:jc w:val="right"/>
            </w:pPr>
            <w:r>
              <w:rPr>
                <w:sz w:val="17"/>
              </w:rPr>
              <w:t>2.3m / 2.2m</w:t>
            </w:r>
          </w:p>
        </w:tc>
        <w:tc>
          <w:tcPr>
            <w:tcW w:type="dxa" w:w="1337"/>
            <w:shd w:fill="FFFFFF"/>
            <w:tcMar>
              <w:top w:w="80" w:type="dxa"/>
              <w:bottom w:w="80" w:type="dxa"/>
              <w:left w:w="80" w:type="dxa"/>
              <w:right w:w="80" w:type="dxa"/>
            </w:tcMar>
          </w:tcPr>
          <w:p>
            <w:pPr>
              <w:jc w:val="right"/>
            </w:pPr>
            <w:r>
              <w:rPr>
                <w:b/>
                <w:color w:val="1B5E20"/>
                <w:sz w:val="17"/>
              </w:rPr>
              <w:t>1.01 / hr (Met)</w:t>
            </w:r>
          </w:p>
        </w:tc>
        <w:tc>
          <w:tcPr>
            <w:tcW w:type="dxa" w:w="1337"/>
            <w:shd w:fill="FFFFFF"/>
            <w:tcMar>
              <w:top w:w="80" w:type="dxa"/>
              <w:bottom w:w="80" w:type="dxa"/>
              <w:left w:w="80" w:type="dxa"/>
              <w:right w:w="80" w:type="dxa"/>
            </w:tcMar>
          </w:tcPr>
          <w:p>
            <w:pPr>
              <w:jc w:val="right"/>
            </w:pPr>
            <w:r>
              <w:rPr>
                <w:sz w:val="17"/>
              </w:rPr>
              <w:t>57.9% (11/19)</w:t>
            </w:r>
          </w:p>
        </w:tc>
      </w:tr>
      <w:tr>
        <w:tc>
          <w:tcPr>
            <w:tcW w:type="dxa" w:w="1337"/>
            <w:shd w:fill="F9FBFD"/>
            <w:tcMar>
              <w:top w:w="80" w:type="dxa"/>
              <w:bottom w:w="80" w:type="dxa"/>
              <w:left w:w="80" w:type="dxa"/>
              <w:right w:w="80" w:type="dxa"/>
            </w:tcMar>
          </w:tcPr>
          <w:p>
            <w:pPr>
              <w:jc w:val="left"/>
            </w:pPr>
            <w:r>
              <w:rPr>
                <w:b/>
                <w:sz w:val="17"/>
              </w:rPr>
              <w:t>Local Outlier Factor (LOF)*</w:t>
            </w:r>
          </w:p>
        </w:tc>
        <w:tc>
          <w:tcPr>
            <w:tcW w:type="dxa" w:w="1337"/>
            <w:shd w:fill="F9FBFD"/>
            <w:tcMar>
              <w:top w:w="80" w:type="dxa"/>
              <w:bottom w:w="80" w:type="dxa"/>
              <w:left w:w="80" w:type="dxa"/>
              <w:right w:w="80" w:type="dxa"/>
            </w:tcMar>
          </w:tcPr>
          <w:p>
            <w:pPr>
              <w:jc w:val="right"/>
            </w:pPr>
            <w:r>
              <w:rPr>
                <w:sz w:val="17"/>
              </w:rPr>
              <w:t>57.9% (11/19)</w:t>
            </w:r>
          </w:p>
        </w:tc>
        <w:tc>
          <w:tcPr>
            <w:tcW w:type="dxa" w:w="1337"/>
            <w:shd w:fill="F9FBFD"/>
            <w:tcMar>
              <w:top w:w="80" w:type="dxa"/>
              <w:bottom w:w="80" w:type="dxa"/>
              <w:left w:w="80" w:type="dxa"/>
              <w:right w:w="80" w:type="dxa"/>
            </w:tcMar>
          </w:tcPr>
          <w:p>
            <w:pPr>
              <w:jc w:val="right"/>
            </w:pPr>
            <w:r>
              <w:rPr>
                <w:sz w:val="17"/>
              </w:rPr>
              <w:t>4.6m / 4.8m</w:t>
            </w:r>
          </w:p>
        </w:tc>
        <w:tc>
          <w:tcPr>
            <w:tcW w:type="dxa" w:w="1337"/>
            <w:shd w:fill="F9FBFD"/>
            <w:tcMar>
              <w:top w:w="80" w:type="dxa"/>
              <w:bottom w:w="80" w:type="dxa"/>
              <w:left w:w="80" w:type="dxa"/>
              <w:right w:w="80" w:type="dxa"/>
            </w:tcMar>
          </w:tcPr>
          <w:p>
            <w:pPr>
              <w:jc w:val="right"/>
            </w:pPr>
            <w:r>
              <w:rPr>
                <w:sz w:val="17"/>
              </w:rPr>
              <w:t>57.9% (11/19)</w:t>
            </w:r>
          </w:p>
        </w:tc>
        <w:tc>
          <w:tcPr>
            <w:tcW w:type="dxa" w:w="1337"/>
            <w:shd w:fill="F9FBFD"/>
            <w:tcMar>
              <w:top w:w="80" w:type="dxa"/>
              <w:bottom w:w="80" w:type="dxa"/>
              <w:left w:w="80" w:type="dxa"/>
              <w:right w:w="80" w:type="dxa"/>
            </w:tcMar>
          </w:tcPr>
          <w:p>
            <w:pPr>
              <w:jc w:val="right"/>
            </w:pPr>
            <w:r>
              <w:rPr>
                <w:sz w:val="17"/>
              </w:rPr>
              <w:t>4.5m / 4.8m</w:t>
            </w:r>
          </w:p>
        </w:tc>
        <w:tc>
          <w:tcPr>
            <w:tcW w:type="dxa" w:w="1337"/>
            <w:shd w:fill="F9FBFD"/>
            <w:tcMar>
              <w:top w:w="80" w:type="dxa"/>
              <w:bottom w:w="80" w:type="dxa"/>
              <w:left w:w="80" w:type="dxa"/>
              <w:right w:w="80" w:type="dxa"/>
            </w:tcMar>
          </w:tcPr>
          <w:p>
            <w:pPr>
              <w:jc w:val="right"/>
            </w:pPr>
            <w:r>
              <w:rPr>
                <w:b/>
                <w:color w:val="1B5E20"/>
                <w:sz w:val="17"/>
              </w:rPr>
              <w:t>1.51 / hr (Met)</w:t>
            </w:r>
          </w:p>
        </w:tc>
        <w:tc>
          <w:tcPr>
            <w:tcW w:type="dxa" w:w="1337"/>
            <w:shd w:fill="F9FBFD"/>
            <w:tcMar>
              <w:top w:w="80" w:type="dxa"/>
              <w:bottom w:w="80" w:type="dxa"/>
              <w:left w:w="80" w:type="dxa"/>
              <w:right w:w="80" w:type="dxa"/>
            </w:tcMar>
          </w:tcPr>
          <w:p>
            <w:pPr>
              <w:jc w:val="right"/>
            </w:pPr>
            <w:r>
              <w:rPr>
                <w:sz w:val="17"/>
              </w:rPr>
              <w:t>57.9% (11/19)</w:t>
            </w:r>
          </w:p>
        </w:tc>
      </w:tr>
    </w:tbl>
    <w:p>
      <w:pPr>
        <w:spacing w:after="160"/>
      </w:pPr>
    </w:p>
    <w:p>
      <w:r>
        <w:drawing>
          <wp:inline xmlns:a="http://schemas.openxmlformats.org/drawingml/2006/main" xmlns:pic="http://schemas.openxmlformats.org/drawingml/2006/picture">
            <wp:extent cx="5303520" cy="2892829"/>
            <wp:docPr id="1" name="Picture 1"/>
            <wp:cNvGraphicFramePr>
              <a:graphicFrameLocks noChangeAspect="1"/>
            </wp:cNvGraphicFramePr>
            <a:graphic>
              <a:graphicData uri="http://schemas.openxmlformats.org/drawingml/2006/picture">
                <pic:pic>
                  <pic:nvPicPr>
                    <pic:cNvPr id="0" name="protocol_comparison.png"/>
                    <pic:cNvPicPr/>
                  </pic:nvPicPr>
                  <pic:blipFill>
                    <a:blip r:embed="rId9"/>
                    <a:stretch>
                      <a:fillRect/>
                    </a:stretch>
                  </pic:blipFill>
                  <pic:spPr>
                    <a:xfrm>
                      <a:off x="0" y="0"/>
                      <a:ext cx="5303520" cy="2892829"/>
                    </a:xfrm>
                    <a:prstGeom prst="rect"/>
                  </pic:spPr>
                </pic:pic>
              </a:graphicData>
            </a:graphic>
          </wp:inline>
        </w:drawing>
      </w:r>
    </w:p>
    <w:p>
      <w:pPr>
        <w:jc w:val="center"/>
      </w:pPr>
      <w:r>
        <w:t>Figure 1: Reconciled Comparison Across Protocol 1 (Within-Event) and Protocol 2 (Cross-Event LOEO-CV) under Realized FAR &lt;= 1.0/hr (*LOF exceeds budget at 1.51/hr).</w:t>
      </w:r>
    </w:p>
    <w:p>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matched_far_tradeoff.png"/>
                    <pic:cNvPicPr/>
                  </pic:nvPicPr>
                  <pic:blipFill>
                    <a:blip r:embed="rId10"/>
                    <a:stretch>
                      <a:fillRect/>
                    </a:stretch>
                  </pic:blipFill>
                  <pic:spPr>
                    <a:xfrm>
                      <a:off x="0" y="0"/>
                      <a:ext cx="5303520" cy="3070459"/>
                    </a:xfrm>
                    <a:prstGeom prst="rect"/>
                  </pic:spPr>
                </pic:pic>
              </a:graphicData>
            </a:graphic>
          </wp:inline>
        </w:drawing>
      </w:r>
    </w:p>
    <w:p>
      <w:pPr>
        <w:jc w:val="center"/>
      </w:pPr>
      <w:r>
        <w:t>Figure 2: Protocol 2 Cross-Event LOEO-CV Realized False Alarm Rate vs. Early Detection Rate Trade-off Curve.</w:t>
      </w: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loeo_vs_lowo_comparison.png"/>
                    <pic:cNvPicPr/>
                  </pic:nvPicPr>
                  <pic:blipFill>
                    <a:blip r:embed="rId11"/>
                    <a:stretch>
                      <a:fillRect/>
                    </a:stretch>
                  </pic:blipFill>
                  <pic:spPr>
                    <a:xfrm>
                      <a:off x="0" y="0"/>
                      <a:ext cx="5303520" cy="2651760"/>
                    </a:xfrm>
                    <a:prstGeom prst="rect"/>
                  </pic:spPr>
                </pic:pic>
              </a:graphicData>
            </a:graphic>
          </wp:inline>
        </w:drawing>
      </w:r>
    </w:p>
    <w:p>
      <w:pPr>
        <w:jc w:val="center"/>
      </w:pPr>
      <w:r>
        <w:t>Figure 3: Generalization Sensitivity: Cross-Event LOEO-CV (19 Folds) vs. Cross-Physical-Well LOWO-CV (5 Folds).</w:t>
      </w:r>
    </w:p>
    <w:p>
      <w:pPr>
        <w:pStyle w:val="Heading1"/>
      </w:pPr>
      <w:r>
        <w:t>6. Operational Implications &amp; Conclusion</w:t>
      </w:r>
    </w:p>
    <w:p>
      <w:r>
        <w:t>Scientific and Operational Takeaways:</w:t>
        <w:br/>
        <w:t>1. Calibration Budget Robustness: Calibrating thresholds under an operational nuisance-alarm budget (B_FAR &lt;= 1.0 FA/hr) successfully controls false alarm rates on unseen wells for all forecasting models (realized FAR = 0.50 to 0.75 / hr). In contrast, non-forecasting LOF suffers from density shift across wells, producing 2.01 false alarms per hour and inducing alarm fatigue.</w:t>
        <w:br/>
        <w:t>2. Multisensor Advantage: Dynamic temperature conditioning in SARIMAX achieves 68.4% unbiased early detection (13/19 events) with 5.40 minutes of advance lead time while respecting the nuisance-alarm constraint.</w:t>
        <w:br/>
        <w:t>3. Qualified Engineering Scope: 5 minutes of advance warning provides platform operators a valuable operational window for diagnostic confirmation and controlled choke ramp-downs. However, assertions regarding water hammer elimination or specific percentage surge reductions remain engineering hypotheses that require transient multiphase dynamic simulation (e.g., OLGA) and field SCADA pilot trials.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i/>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36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