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8452" w14:textId="77777777" w:rsidR="00FE5174" w:rsidRDefault="00000000">
      <w:pPr>
        <w:jc w:val="center"/>
      </w:pPr>
      <w:r>
        <w:rPr>
          <w:b/>
          <w:bCs/>
          <w:color w:val="1F3864"/>
          <w:sz w:val="32"/>
          <w:szCs w:val="32"/>
        </w:rPr>
        <w:t>B. M. S. COLLEGE OF ENGINEERING</w:t>
      </w:r>
    </w:p>
    <w:p w14:paraId="0C262D96" w14:textId="77777777" w:rsidR="00FE5174" w:rsidRDefault="00000000">
      <w:pPr>
        <w:spacing w:after="200"/>
        <w:jc w:val="center"/>
      </w:pPr>
      <w:r>
        <w:rPr>
          <w:i/>
          <w:iCs/>
          <w:sz w:val="20"/>
          <w:szCs w:val="20"/>
        </w:rPr>
        <w:t>Autonomous Institute, Affiliated to VTU, Belagavi</w:t>
      </w:r>
    </w:p>
    <w:p w14:paraId="2FAF8745" w14:textId="77777777" w:rsidR="00FE5174" w:rsidRDefault="00000000">
      <w:pPr>
        <w:spacing w:after="60"/>
        <w:jc w:val="center"/>
      </w:pPr>
      <w:r>
        <w:rPr>
          <w:b/>
          <w:bCs/>
          <w:color w:val="1F3864"/>
          <w:sz w:val="30"/>
          <w:szCs w:val="30"/>
        </w:rPr>
        <w:t>DEPARTMENT OF MACHINE LEARNING</w:t>
      </w:r>
    </w:p>
    <w:p w14:paraId="7BE5293F" w14:textId="77777777" w:rsidR="00FE5174" w:rsidRDefault="00000000">
      <w:pPr>
        <w:spacing w:after="40"/>
        <w:jc w:val="center"/>
      </w:pPr>
      <w:r>
        <w:rPr>
          <w:sz w:val="26"/>
          <w:szCs w:val="26"/>
        </w:rPr>
        <w:t>Program: B.E. In Artificial Intelligence and Machine Learning</w:t>
      </w:r>
    </w:p>
    <w:p w14:paraId="216C4528" w14:textId="77777777" w:rsidR="00FE5174" w:rsidRDefault="00000000">
      <w:pPr>
        <w:spacing w:after="200"/>
        <w:jc w:val="center"/>
      </w:pPr>
      <w:r>
        <w:rPr>
          <w:b/>
          <w:bCs/>
          <w:sz w:val="22"/>
          <w:szCs w:val="22"/>
        </w:rPr>
        <w:t>Academic Year: 2026 - 27, Session: July 2026 - December 2026</w:t>
      </w:r>
    </w:p>
    <w:p w14:paraId="51A5DF54" w14:textId="77777777" w:rsidR="00FE5174" w:rsidRDefault="00000000">
      <w:pPr>
        <w:spacing w:after="120"/>
        <w:jc w:val="center"/>
      </w:pPr>
      <w:r>
        <w:rPr>
          <w:noProof/>
        </w:rPr>
        <w:drawing>
          <wp:inline distT="0" distB="0" distL="0" distR="0" wp14:anchorId="1FE2E554" wp14:editId="748C577E">
            <wp:extent cx="1120140" cy="1047750"/>
            <wp:effectExtent l="0" t="0" r="3810" b="0"/>
            <wp:docPr id="1" name="logo" descr="B.M.S. College of Engineering emblem" title="BMS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0140" cy="1047750"/>
                    </a:xfrm>
                    <a:prstGeom prst="rect">
                      <a:avLst/>
                    </a:prstGeom>
                  </pic:spPr>
                </pic:pic>
              </a:graphicData>
            </a:graphic>
          </wp:inline>
        </w:drawing>
      </w:r>
    </w:p>
    <w:p w14:paraId="63758483" w14:textId="77777777" w:rsidR="00FE5174" w:rsidRDefault="00000000">
      <w:pPr>
        <w:jc w:val="center"/>
      </w:pPr>
      <w:r>
        <w:rPr>
          <w:b/>
          <w:bCs/>
          <w:color w:val="C00000"/>
        </w:rPr>
        <w:t>Time Series Analysis</w:t>
      </w:r>
    </w:p>
    <w:p w14:paraId="2E697E1E" w14:textId="77777777" w:rsidR="00FE5174" w:rsidRDefault="00000000">
      <w:pPr>
        <w:spacing w:after="120"/>
        <w:jc w:val="center"/>
      </w:pPr>
      <w:r>
        <w:rPr>
          <w:b/>
          <w:bCs/>
          <w:color w:val="C00000"/>
        </w:rPr>
        <w:t>(24AM7PCTSA)</w:t>
      </w:r>
    </w:p>
    <w:p w14:paraId="2018074A" w14:textId="77777777" w:rsidR="00FE5174" w:rsidRDefault="00000000">
      <w:pPr>
        <w:jc w:val="center"/>
      </w:pPr>
      <w:r>
        <w:rPr>
          <w:b/>
          <w:bCs/>
        </w:rPr>
        <w:t>LAB AAT – DOMAIN-BASED TIME SERIES FORECASTING</w:t>
      </w:r>
    </w:p>
    <w:p w14:paraId="54DC52CF" w14:textId="77777777" w:rsidR="00FE5174" w:rsidRDefault="00000000">
      <w:pPr>
        <w:spacing w:after="240"/>
        <w:jc w:val="center"/>
      </w:pPr>
      <w:r>
        <w:rPr>
          <w:b/>
          <w:bCs/>
        </w:rPr>
        <w:t>AAT Report</w:t>
      </w:r>
    </w:p>
    <w:p w14:paraId="2361C07E" w14:textId="77777777" w:rsidR="00FE5174" w:rsidRDefault="00000000">
      <w:pPr>
        <w:spacing w:after="120"/>
        <w:jc w:val="center"/>
      </w:pPr>
      <w:r>
        <w:rPr>
          <w:b/>
          <w:bCs/>
          <w:sz w:val="28"/>
          <w:szCs w:val="28"/>
        </w:rPr>
        <w:t xml:space="preserve">Title: </w:t>
      </w:r>
      <w:r>
        <w:rPr>
          <w:b/>
          <w:bCs/>
          <w:sz w:val="28"/>
          <w:szCs w:val="28"/>
          <w:u w:val="single"/>
        </w:rPr>
        <w:t>OILGUARD: Forecasting-Based Early Warning of Abnormal Events in Oil Wells</w:t>
      </w:r>
    </w:p>
    <w:p w14:paraId="78226DD3" w14:textId="77777777" w:rsidR="00FE5174" w:rsidRDefault="00000000">
      <w:pPr>
        <w:spacing w:after="120"/>
        <w:jc w:val="center"/>
      </w:pPr>
      <w:r>
        <w:rPr>
          <w:b/>
          <w:bCs/>
        </w:rPr>
        <w:t>Application Domain: Industrial (Offshore Petroleum Systems &amp; Subsea Production Wells)</w:t>
      </w:r>
    </w:p>
    <w:p w14:paraId="5BDC1F80" w14:textId="77777777" w:rsidR="00FE5174" w:rsidRDefault="00000000">
      <w:pPr>
        <w:spacing w:after="200"/>
        <w:jc w:val="center"/>
      </w:pPr>
      <w:r>
        <w:rPr>
          <w:b/>
          <w:bCs/>
        </w:rPr>
        <w:t>SDG addressed: SDG 9 (Industry &amp; Innovation), SDG 12 (Responsible Production), SDG 14 (Life Below Water)</w:t>
      </w:r>
    </w:p>
    <w:p w14:paraId="26B1686A" w14:textId="77777777" w:rsidR="00FE5174" w:rsidRDefault="00000000">
      <w:pPr>
        <w:spacing w:after="120"/>
        <w:jc w:val="center"/>
      </w:pPr>
      <w:r>
        <w:rPr>
          <w:b/>
          <w:bCs/>
          <w:color w:val="C00000"/>
        </w:rPr>
        <w:t>Submitted by</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700"/>
      </w:tblGrid>
      <w:tr w:rsidR="00FE5174" w14:paraId="46DE3B0C" w14:textId="77777777">
        <w:trPr>
          <w:trHeight w:val="900"/>
          <w:jc w:val="center"/>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FF6818" w14:textId="77777777" w:rsidR="00FE5174" w:rsidRDefault="00000000">
            <w:pPr>
              <w:jc w:val="center"/>
            </w:pPr>
            <w:r>
              <w:rPr>
                <w:b/>
                <w:bCs/>
                <w:sz w:val="22"/>
                <w:szCs w:val="22"/>
              </w:rPr>
              <w:t>Student Name:</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496CC3" w14:textId="77777777" w:rsidR="00FE5174" w:rsidRDefault="00000000">
            <w:proofErr w:type="spellStart"/>
            <w:r>
              <w:rPr>
                <w:sz w:val="22"/>
                <w:szCs w:val="22"/>
              </w:rPr>
              <w:t>Ravva</w:t>
            </w:r>
            <w:proofErr w:type="spellEnd"/>
            <w:r>
              <w:rPr>
                <w:sz w:val="22"/>
                <w:szCs w:val="22"/>
              </w:rPr>
              <w:t xml:space="preserve"> Nagarjun &amp; Naveen Kumar N</w:t>
            </w:r>
          </w:p>
        </w:tc>
      </w:tr>
      <w:tr w:rsidR="00FE5174" w14:paraId="074C9FE1" w14:textId="77777777">
        <w:trPr>
          <w:trHeight w:val="900"/>
          <w:jc w:val="center"/>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8C1CC4" w14:textId="77777777" w:rsidR="00FE5174" w:rsidRDefault="00000000">
            <w:pPr>
              <w:jc w:val="center"/>
            </w:pPr>
            <w:r>
              <w:rPr>
                <w:b/>
                <w:bCs/>
                <w:sz w:val="22"/>
                <w:szCs w:val="22"/>
              </w:rPr>
              <w:t>USN:</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386A23" w14:textId="022F9333" w:rsidR="00FE5174" w:rsidRDefault="00000000">
            <w:r>
              <w:rPr>
                <w:sz w:val="22"/>
                <w:szCs w:val="22"/>
              </w:rPr>
              <w:t>1BM2</w:t>
            </w:r>
            <w:r w:rsidR="00E907B7">
              <w:rPr>
                <w:sz w:val="22"/>
                <w:szCs w:val="22"/>
              </w:rPr>
              <w:t>4</w:t>
            </w:r>
            <w:r>
              <w:rPr>
                <w:sz w:val="22"/>
                <w:szCs w:val="22"/>
              </w:rPr>
              <w:t>AI</w:t>
            </w:r>
            <w:r w:rsidR="00E907B7">
              <w:rPr>
                <w:sz w:val="22"/>
                <w:szCs w:val="22"/>
              </w:rPr>
              <w:t>414</w:t>
            </w:r>
            <w:r>
              <w:rPr>
                <w:sz w:val="22"/>
                <w:szCs w:val="22"/>
              </w:rPr>
              <w:t xml:space="preserve"> &amp; 1BM2</w:t>
            </w:r>
            <w:r w:rsidR="00E907B7">
              <w:rPr>
                <w:sz w:val="22"/>
                <w:szCs w:val="22"/>
              </w:rPr>
              <w:t>4</w:t>
            </w:r>
            <w:r>
              <w:rPr>
                <w:sz w:val="22"/>
                <w:szCs w:val="22"/>
              </w:rPr>
              <w:t>AI</w:t>
            </w:r>
            <w:r w:rsidR="00E907B7">
              <w:rPr>
                <w:sz w:val="22"/>
                <w:szCs w:val="22"/>
              </w:rPr>
              <w:t>411</w:t>
            </w:r>
          </w:p>
        </w:tc>
      </w:tr>
      <w:tr w:rsidR="00FE5174" w14:paraId="489F6EC5" w14:textId="77777777">
        <w:trPr>
          <w:trHeight w:val="700"/>
          <w:jc w:val="center"/>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9E2214" w14:textId="77777777" w:rsidR="00FE5174" w:rsidRDefault="00000000">
            <w:pPr>
              <w:jc w:val="center"/>
            </w:pPr>
            <w:r>
              <w:rPr>
                <w:b/>
                <w:bCs/>
                <w:sz w:val="22"/>
                <w:szCs w:val="22"/>
              </w:rPr>
              <w:t>Semester &amp; Section:</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8E1A9A" w14:textId="4BAF674A" w:rsidR="00FE5174" w:rsidRDefault="00000000">
            <w:r>
              <w:rPr>
                <w:sz w:val="22"/>
                <w:szCs w:val="22"/>
              </w:rPr>
              <w:t xml:space="preserve">7th Semester, </w:t>
            </w:r>
            <w:r w:rsidR="00E907B7">
              <w:rPr>
                <w:sz w:val="22"/>
                <w:szCs w:val="22"/>
              </w:rPr>
              <w:t>D Section</w:t>
            </w:r>
          </w:p>
        </w:tc>
      </w:tr>
      <w:tr w:rsidR="00FE5174" w14:paraId="3668CB15" w14:textId="77777777">
        <w:trPr>
          <w:trHeight w:val="1100"/>
          <w:jc w:val="center"/>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6959D4" w14:textId="77777777" w:rsidR="00FE5174" w:rsidRDefault="00000000">
            <w:pPr>
              <w:jc w:val="center"/>
            </w:pPr>
            <w:r>
              <w:rPr>
                <w:b/>
                <w:bCs/>
                <w:sz w:val="22"/>
                <w:szCs w:val="22"/>
              </w:rPr>
              <w:t>Student Signature:</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A7E0D3" w14:textId="77777777" w:rsidR="00FE5174" w:rsidRDefault="00000000">
            <w:proofErr w:type="spellStart"/>
            <w:r>
              <w:rPr>
                <w:sz w:val="22"/>
                <w:szCs w:val="22"/>
              </w:rPr>
              <w:t>Ravva</w:t>
            </w:r>
            <w:proofErr w:type="spellEnd"/>
            <w:r>
              <w:rPr>
                <w:sz w:val="22"/>
                <w:szCs w:val="22"/>
              </w:rPr>
              <w:t xml:space="preserve"> Nagarjun &amp; Naveen Kumar N (Submitted Online)</w:t>
            </w:r>
          </w:p>
        </w:tc>
      </w:tr>
    </w:tbl>
    <w:p w14:paraId="6D43A298" w14:textId="77777777" w:rsidR="00FE5174" w:rsidRDefault="00FE5174">
      <w:pPr>
        <w:spacing w:after="300"/>
      </w:pPr>
    </w:p>
    <w:p w14:paraId="56C18360" w14:textId="77777777" w:rsidR="00FE5174" w:rsidRDefault="00000000">
      <w:pPr>
        <w:jc w:val="center"/>
      </w:pPr>
      <w:r>
        <w:rPr>
          <w:b/>
          <w:bCs/>
          <w:color w:val="C00000"/>
        </w:rPr>
        <w:t>Valuation Report</w:t>
      </w:r>
    </w:p>
    <w:p w14:paraId="58D9D1EA" w14:textId="77777777" w:rsidR="00FE5174" w:rsidRDefault="00000000">
      <w:pPr>
        <w:spacing w:after="100"/>
        <w:jc w:val="center"/>
      </w:pPr>
      <w:r>
        <w:rPr>
          <w:i/>
          <w:iCs/>
          <w:sz w:val="22"/>
          <w:szCs w:val="22"/>
        </w:rPr>
        <w:t>(to be filled by faculty)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3300"/>
        <w:gridCol w:w="2646"/>
      </w:tblGrid>
      <w:tr w:rsidR="00FE5174" w14:paraId="2A4B13AB" w14:textId="77777777">
        <w:trPr>
          <w:trHeight w:val="500"/>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56E842" w14:textId="77777777" w:rsidR="00FE5174" w:rsidRDefault="00000000">
            <w:r>
              <w:rPr>
                <w:b/>
                <w:bCs/>
                <w:sz w:val="22"/>
                <w:szCs w:val="22"/>
              </w:rPr>
              <w:t>Score:</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18F52F" w14:textId="77777777" w:rsidR="00FE5174" w:rsidRDefault="00FE5174"/>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82D150" w14:textId="77777777" w:rsidR="00FE5174" w:rsidRDefault="00000000">
            <w:r>
              <w:rPr>
                <w:b/>
                <w:bCs/>
                <w:sz w:val="22"/>
                <w:szCs w:val="22"/>
              </w:rPr>
              <w:t>Faculty In-charge:</w:t>
            </w:r>
          </w:p>
        </w:tc>
        <w:tc>
          <w:tcPr>
            <w:tcW w:w="26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A4973F" w14:textId="4FF13C82" w:rsidR="00FE5174" w:rsidRDefault="004C26B1">
            <w:r>
              <w:t>Swaroop B M</w:t>
            </w:r>
          </w:p>
        </w:tc>
      </w:tr>
      <w:tr w:rsidR="00FE5174" w14:paraId="6ACC5D9E" w14:textId="77777777">
        <w:trPr>
          <w:trHeight w:val="500"/>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3E616A" w14:textId="77777777" w:rsidR="00FE5174" w:rsidRDefault="00000000">
            <w:r>
              <w:rPr>
                <w:b/>
                <w:bCs/>
                <w:sz w:val="22"/>
                <w:szCs w:val="22"/>
              </w:rPr>
              <w:t>Comments:</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2BCE42" w14:textId="77777777" w:rsidR="00FE5174" w:rsidRDefault="00FE5174"/>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94C75F" w14:textId="77777777" w:rsidR="00FE5174" w:rsidRDefault="00000000">
            <w:r>
              <w:rPr>
                <w:b/>
                <w:bCs/>
                <w:sz w:val="22"/>
                <w:szCs w:val="22"/>
              </w:rPr>
              <w:t>Faculty Signature with date:</w:t>
            </w:r>
          </w:p>
        </w:tc>
        <w:tc>
          <w:tcPr>
            <w:tcW w:w="26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B131B3" w14:textId="77777777" w:rsidR="00FE5174" w:rsidRDefault="00FE5174"/>
        </w:tc>
      </w:tr>
    </w:tbl>
    <w:p w14:paraId="3D305C14" w14:textId="77777777" w:rsidR="00FE5174" w:rsidRDefault="00000000">
      <w:pPr>
        <w:pageBreakBefore/>
        <w:spacing w:after="240"/>
        <w:jc w:val="center"/>
      </w:pPr>
      <w:r>
        <w:rPr>
          <w:b/>
          <w:bCs/>
          <w:color w:val="1F3864"/>
          <w:sz w:val="32"/>
          <w:szCs w:val="32"/>
        </w:rPr>
        <w:lastRenderedPageBreak/>
        <w:t>Table of Contents</w:t>
      </w:r>
    </w:p>
    <w:p w14:paraId="0349317A" w14:textId="77777777" w:rsidR="00FE5174" w:rsidRDefault="00000000">
      <w:pPr>
        <w:tabs>
          <w:tab w:val="right" w:leader="dot" w:pos="9746"/>
        </w:tabs>
        <w:spacing w:before="80" w:after="100"/>
      </w:pPr>
      <w:r>
        <w:rPr>
          <w:b/>
          <w:bCs/>
          <w:sz w:val="22"/>
          <w:szCs w:val="22"/>
        </w:rPr>
        <w:t>1. ABSTRACT</w:t>
      </w:r>
      <w:r>
        <w:rPr>
          <w:sz w:val="22"/>
          <w:szCs w:val="22"/>
        </w:rPr>
        <w:tab/>
        <w:t>Page 3</w:t>
      </w:r>
    </w:p>
    <w:p w14:paraId="29FBD05E" w14:textId="77777777" w:rsidR="00FE5174" w:rsidRDefault="00000000">
      <w:pPr>
        <w:tabs>
          <w:tab w:val="right" w:leader="dot" w:pos="9746"/>
        </w:tabs>
        <w:spacing w:before="80" w:after="100"/>
      </w:pPr>
      <w:r>
        <w:rPr>
          <w:b/>
          <w:bCs/>
          <w:sz w:val="22"/>
          <w:szCs w:val="22"/>
        </w:rPr>
        <w:t>2. INTRODUCTION AND PROBLEM IDENTIFICATION</w:t>
      </w:r>
      <w:r>
        <w:rPr>
          <w:sz w:val="22"/>
          <w:szCs w:val="22"/>
        </w:rPr>
        <w:tab/>
        <w:t>Page 3</w:t>
      </w:r>
    </w:p>
    <w:p w14:paraId="3C755EB9" w14:textId="77777777" w:rsidR="00FE5174" w:rsidRDefault="00000000">
      <w:pPr>
        <w:tabs>
          <w:tab w:val="right" w:leader="dot" w:pos="9746"/>
        </w:tabs>
        <w:spacing w:after="40"/>
        <w:ind w:left="500"/>
      </w:pPr>
      <w:r>
        <w:rPr>
          <w:sz w:val="22"/>
          <w:szCs w:val="22"/>
        </w:rPr>
        <w:t>2.1 Application Domain</w:t>
      </w:r>
      <w:r>
        <w:rPr>
          <w:sz w:val="22"/>
          <w:szCs w:val="22"/>
        </w:rPr>
        <w:tab/>
        <w:t>Page 3</w:t>
      </w:r>
    </w:p>
    <w:p w14:paraId="7DBFAF01" w14:textId="77777777" w:rsidR="00FE5174" w:rsidRDefault="00000000">
      <w:pPr>
        <w:tabs>
          <w:tab w:val="right" w:leader="dot" w:pos="9746"/>
        </w:tabs>
        <w:spacing w:after="40"/>
        <w:ind w:left="500"/>
      </w:pPr>
      <w:r>
        <w:rPr>
          <w:sz w:val="22"/>
          <w:szCs w:val="22"/>
        </w:rPr>
        <w:t>2.2 Problem Statement</w:t>
      </w:r>
      <w:r>
        <w:rPr>
          <w:sz w:val="22"/>
          <w:szCs w:val="22"/>
        </w:rPr>
        <w:tab/>
        <w:t>Page 3</w:t>
      </w:r>
    </w:p>
    <w:p w14:paraId="3DA9A45D" w14:textId="77777777" w:rsidR="00FE5174" w:rsidRDefault="00000000">
      <w:pPr>
        <w:tabs>
          <w:tab w:val="right" w:leader="dot" w:pos="9746"/>
        </w:tabs>
        <w:spacing w:after="40"/>
        <w:ind w:left="500"/>
      </w:pPr>
      <w:r>
        <w:rPr>
          <w:sz w:val="22"/>
          <w:szCs w:val="22"/>
        </w:rPr>
        <w:t>2.3 Need for Forecasting</w:t>
      </w:r>
      <w:r>
        <w:rPr>
          <w:sz w:val="22"/>
          <w:szCs w:val="22"/>
        </w:rPr>
        <w:tab/>
        <w:t>Page 4</w:t>
      </w:r>
    </w:p>
    <w:p w14:paraId="301345F3" w14:textId="77777777" w:rsidR="00FE5174" w:rsidRDefault="00000000">
      <w:pPr>
        <w:tabs>
          <w:tab w:val="right" w:leader="dot" w:pos="9746"/>
        </w:tabs>
        <w:spacing w:after="40"/>
        <w:ind w:left="500"/>
      </w:pPr>
      <w:r>
        <w:rPr>
          <w:sz w:val="22"/>
          <w:szCs w:val="22"/>
        </w:rPr>
        <w:t>2.4 Objectives</w:t>
      </w:r>
      <w:r>
        <w:rPr>
          <w:sz w:val="22"/>
          <w:szCs w:val="22"/>
        </w:rPr>
        <w:tab/>
        <w:t>Page 4</w:t>
      </w:r>
    </w:p>
    <w:p w14:paraId="6E6F3DA9" w14:textId="77777777" w:rsidR="00FE5174" w:rsidRDefault="00000000">
      <w:pPr>
        <w:tabs>
          <w:tab w:val="right" w:leader="dot" w:pos="9746"/>
        </w:tabs>
        <w:spacing w:after="40"/>
        <w:ind w:left="500"/>
      </w:pPr>
      <w:r>
        <w:rPr>
          <w:sz w:val="22"/>
          <w:szCs w:val="22"/>
        </w:rPr>
        <w:t>2.5 Scope of the Study</w:t>
      </w:r>
      <w:r>
        <w:rPr>
          <w:sz w:val="22"/>
          <w:szCs w:val="22"/>
        </w:rPr>
        <w:tab/>
        <w:t>Page 4</w:t>
      </w:r>
    </w:p>
    <w:p w14:paraId="3C9D7A0D" w14:textId="77777777" w:rsidR="00FE5174" w:rsidRDefault="00000000">
      <w:pPr>
        <w:tabs>
          <w:tab w:val="right" w:leader="dot" w:pos="9746"/>
        </w:tabs>
        <w:spacing w:before="80" w:after="100"/>
      </w:pPr>
      <w:r>
        <w:rPr>
          <w:b/>
          <w:bCs/>
          <w:sz w:val="22"/>
          <w:szCs w:val="22"/>
        </w:rPr>
        <w:t>3. LITERATURE REVIEW AND RESEARCH GAP</w:t>
      </w:r>
      <w:r>
        <w:rPr>
          <w:sz w:val="22"/>
          <w:szCs w:val="22"/>
        </w:rPr>
        <w:tab/>
        <w:t>Page 5</w:t>
      </w:r>
    </w:p>
    <w:p w14:paraId="00600FBB" w14:textId="77777777" w:rsidR="00FE5174" w:rsidRDefault="00000000">
      <w:pPr>
        <w:tabs>
          <w:tab w:val="right" w:leader="dot" w:pos="9746"/>
        </w:tabs>
        <w:spacing w:after="40"/>
        <w:ind w:left="500"/>
      </w:pPr>
      <w:r>
        <w:rPr>
          <w:sz w:val="22"/>
          <w:szCs w:val="22"/>
        </w:rPr>
        <w:t>3.1 Review of Existing Research (5 Foundational Papers)</w:t>
      </w:r>
      <w:r>
        <w:rPr>
          <w:sz w:val="22"/>
          <w:szCs w:val="22"/>
        </w:rPr>
        <w:tab/>
        <w:t>Page 5</w:t>
      </w:r>
    </w:p>
    <w:p w14:paraId="00482598" w14:textId="77777777" w:rsidR="00FE5174" w:rsidRDefault="00000000">
      <w:pPr>
        <w:tabs>
          <w:tab w:val="right" w:leader="dot" w:pos="9746"/>
        </w:tabs>
        <w:spacing w:after="40"/>
        <w:ind w:left="500"/>
      </w:pPr>
      <w:r>
        <w:rPr>
          <w:sz w:val="22"/>
          <w:szCs w:val="22"/>
        </w:rPr>
        <w:t>3.2 Research Gap</w:t>
      </w:r>
      <w:r>
        <w:rPr>
          <w:sz w:val="22"/>
          <w:szCs w:val="22"/>
        </w:rPr>
        <w:tab/>
        <w:t>Page 5</w:t>
      </w:r>
    </w:p>
    <w:p w14:paraId="6AD6F596" w14:textId="77777777" w:rsidR="00FE5174" w:rsidRDefault="00000000">
      <w:pPr>
        <w:tabs>
          <w:tab w:val="right" w:leader="dot" w:pos="9746"/>
        </w:tabs>
        <w:spacing w:after="40"/>
        <w:ind w:left="500"/>
      </w:pPr>
      <w:r>
        <w:rPr>
          <w:sz w:val="22"/>
          <w:szCs w:val="22"/>
        </w:rPr>
        <w:t>3.3 Proposed Approach</w:t>
      </w:r>
      <w:r>
        <w:rPr>
          <w:sz w:val="22"/>
          <w:szCs w:val="22"/>
        </w:rPr>
        <w:tab/>
        <w:t>Page 6</w:t>
      </w:r>
    </w:p>
    <w:p w14:paraId="53985AA3" w14:textId="77777777" w:rsidR="00FE5174" w:rsidRDefault="00000000">
      <w:pPr>
        <w:tabs>
          <w:tab w:val="right" w:leader="dot" w:pos="9746"/>
        </w:tabs>
        <w:spacing w:before="80" w:after="100"/>
      </w:pPr>
      <w:r>
        <w:rPr>
          <w:b/>
          <w:bCs/>
          <w:sz w:val="22"/>
          <w:szCs w:val="22"/>
        </w:rPr>
        <w:t>4. DATASET DESCRIPTION AND EXPLORATORY DATA ANALYSIS</w:t>
      </w:r>
      <w:r>
        <w:rPr>
          <w:sz w:val="22"/>
          <w:szCs w:val="22"/>
        </w:rPr>
        <w:tab/>
        <w:t>Page 6</w:t>
      </w:r>
    </w:p>
    <w:p w14:paraId="16DA0DBD" w14:textId="77777777" w:rsidR="00FE5174" w:rsidRDefault="00000000">
      <w:pPr>
        <w:tabs>
          <w:tab w:val="right" w:leader="dot" w:pos="9746"/>
        </w:tabs>
        <w:spacing w:after="40"/>
        <w:ind w:left="500"/>
      </w:pPr>
      <w:r>
        <w:rPr>
          <w:sz w:val="22"/>
          <w:szCs w:val="22"/>
        </w:rPr>
        <w:t>4.1 Dataset Source</w:t>
      </w:r>
      <w:r>
        <w:rPr>
          <w:sz w:val="22"/>
          <w:szCs w:val="22"/>
        </w:rPr>
        <w:tab/>
        <w:t>Page 6</w:t>
      </w:r>
    </w:p>
    <w:p w14:paraId="464DBC10" w14:textId="77777777" w:rsidR="00FE5174" w:rsidRDefault="00000000">
      <w:pPr>
        <w:tabs>
          <w:tab w:val="right" w:leader="dot" w:pos="9746"/>
        </w:tabs>
        <w:spacing w:after="40"/>
        <w:ind w:left="500"/>
      </w:pPr>
      <w:r>
        <w:rPr>
          <w:sz w:val="22"/>
          <w:szCs w:val="22"/>
        </w:rPr>
        <w:t>4.2 Variables and Data Description</w:t>
      </w:r>
      <w:r>
        <w:rPr>
          <w:sz w:val="22"/>
          <w:szCs w:val="22"/>
        </w:rPr>
        <w:tab/>
        <w:t>Page 6</w:t>
      </w:r>
    </w:p>
    <w:p w14:paraId="2F3498B1" w14:textId="77777777" w:rsidR="00FE5174" w:rsidRDefault="00000000">
      <w:pPr>
        <w:tabs>
          <w:tab w:val="right" w:leader="dot" w:pos="9746"/>
        </w:tabs>
        <w:spacing w:after="40"/>
        <w:ind w:left="500"/>
      </w:pPr>
      <w:r>
        <w:rPr>
          <w:sz w:val="22"/>
          <w:szCs w:val="22"/>
        </w:rPr>
        <w:t>4.3 Data Preparation &amp; Screening</w:t>
      </w:r>
      <w:r>
        <w:rPr>
          <w:sz w:val="22"/>
          <w:szCs w:val="22"/>
        </w:rPr>
        <w:tab/>
        <w:t>Page 7</w:t>
      </w:r>
    </w:p>
    <w:p w14:paraId="0FD280D7" w14:textId="77777777" w:rsidR="00FE5174" w:rsidRDefault="00000000">
      <w:pPr>
        <w:tabs>
          <w:tab w:val="right" w:leader="dot" w:pos="9746"/>
        </w:tabs>
        <w:spacing w:after="40"/>
        <w:ind w:left="500"/>
      </w:pPr>
      <w:r>
        <w:rPr>
          <w:sz w:val="22"/>
          <w:szCs w:val="22"/>
        </w:rPr>
        <w:t>4.4 Exploratory Data Analysis &amp; Stationarity Testing</w:t>
      </w:r>
      <w:r>
        <w:rPr>
          <w:sz w:val="22"/>
          <w:szCs w:val="22"/>
        </w:rPr>
        <w:tab/>
        <w:t>Page 7</w:t>
      </w:r>
    </w:p>
    <w:p w14:paraId="19A576F9" w14:textId="77777777" w:rsidR="00FE5174" w:rsidRDefault="00000000">
      <w:pPr>
        <w:tabs>
          <w:tab w:val="right" w:leader="dot" w:pos="9746"/>
        </w:tabs>
        <w:spacing w:before="80" w:after="100"/>
      </w:pPr>
      <w:r>
        <w:rPr>
          <w:b/>
          <w:bCs/>
          <w:sz w:val="22"/>
          <w:szCs w:val="22"/>
        </w:rPr>
        <w:t>5. BASELINE FORECASTING MODEL</w:t>
      </w:r>
      <w:r>
        <w:rPr>
          <w:sz w:val="22"/>
          <w:szCs w:val="22"/>
        </w:rPr>
        <w:tab/>
        <w:t>Page 8</w:t>
      </w:r>
    </w:p>
    <w:p w14:paraId="7BD1F124" w14:textId="77777777" w:rsidR="00FE5174" w:rsidRDefault="00000000">
      <w:pPr>
        <w:tabs>
          <w:tab w:val="right" w:leader="dot" w:pos="9746"/>
        </w:tabs>
        <w:spacing w:after="40"/>
        <w:ind w:left="500"/>
      </w:pPr>
      <w:r>
        <w:rPr>
          <w:sz w:val="22"/>
          <w:szCs w:val="22"/>
        </w:rPr>
        <w:t>5.1 Model Selection</w:t>
      </w:r>
      <w:r>
        <w:rPr>
          <w:sz w:val="22"/>
          <w:szCs w:val="22"/>
        </w:rPr>
        <w:tab/>
        <w:t>Page 8</w:t>
      </w:r>
    </w:p>
    <w:p w14:paraId="401CE53E" w14:textId="77777777" w:rsidR="00FE5174" w:rsidRDefault="00000000">
      <w:pPr>
        <w:tabs>
          <w:tab w:val="right" w:leader="dot" w:pos="9746"/>
        </w:tabs>
        <w:spacing w:after="40"/>
        <w:ind w:left="500"/>
      </w:pPr>
      <w:r>
        <w:rPr>
          <w:sz w:val="22"/>
          <w:szCs w:val="22"/>
        </w:rPr>
        <w:t>5.2 Model Methodology &amp; Mathematical Formulation</w:t>
      </w:r>
      <w:r>
        <w:rPr>
          <w:sz w:val="22"/>
          <w:szCs w:val="22"/>
        </w:rPr>
        <w:tab/>
        <w:t>Page 8</w:t>
      </w:r>
    </w:p>
    <w:p w14:paraId="2F935C68" w14:textId="77777777" w:rsidR="00FE5174" w:rsidRDefault="00000000">
      <w:pPr>
        <w:tabs>
          <w:tab w:val="right" w:leader="dot" w:pos="9746"/>
        </w:tabs>
        <w:spacing w:after="40"/>
        <w:ind w:left="500"/>
      </w:pPr>
      <w:r>
        <w:rPr>
          <w:sz w:val="22"/>
          <w:szCs w:val="22"/>
        </w:rPr>
        <w:t>5.3 Implementation</w:t>
      </w:r>
      <w:r>
        <w:rPr>
          <w:sz w:val="22"/>
          <w:szCs w:val="22"/>
        </w:rPr>
        <w:tab/>
        <w:t>Page 8</w:t>
      </w:r>
    </w:p>
    <w:p w14:paraId="434CD64D" w14:textId="77777777" w:rsidR="00FE5174" w:rsidRDefault="00000000">
      <w:pPr>
        <w:tabs>
          <w:tab w:val="right" w:leader="dot" w:pos="9746"/>
        </w:tabs>
        <w:spacing w:after="40"/>
        <w:ind w:left="500"/>
      </w:pPr>
      <w:r>
        <w:rPr>
          <w:sz w:val="22"/>
          <w:szCs w:val="22"/>
        </w:rPr>
        <w:t>5.4 Baseline Results &amp; The Noisy Baseline Paradox</w:t>
      </w:r>
      <w:r>
        <w:rPr>
          <w:sz w:val="22"/>
          <w:szCs w:val="22"/>
        </w:rPr>
        <w:tab/>
        <w:t>Page 8</w:t>
      </w:r>
    </w:p>
    <w:p w14:paraId="75C61D9D" w14:textId="77777777" w:rsidR="00FE5174" w:rsidRDefault="00000000">
      <w:pPr>
        <w:tabs>
          <w:tab w:val="right" w:leader="dot" w:pos="9746"/>
        </w:tabs>
        <w:spacing w:before="80" w:after="100"/>
      </w:pPr>
      <w:r>
        <w:rPr>
          <w:b/>
          <w:bCs/>
          <w:sz w:val="22"/>
          <w:szCs w:val="22"/>
        </w:rPr>
        <w:t>6. PROPOSED MODEL AND ENHANCEMENT</w:t>
      </w:r>
      <w:r>
        <w:rPr>
          <w:sz w:val="22"/>
          <w:szCs w:val="22"/>
        </w:rPr>
        <w:tab/>
        <w:t>Page 9</w:t>
      </w:r>
    </w:p>
    <w:p w14:paraId="4C6B017A" w14:textId="77777777" w:rsidR="00FE5174" w:rsidRDefault="00000000">
      <w:pPr>
        <w:tabs>
          <w:tab w:val="right" w:leader="dot" w:pos="9746"/>
        </w:tabs>
        <w:spacing w:after="40"/>
        <w:ind w:left="500"/>
      </w:pPr>
      <w:r>
        <w:rPr>
          <w:sz w:val="22"/>
          <w:szCs w:val="22"/>
        </w:rPr>
        <w:t>6.1 Motivation for Improvement</w:t>
      </w:r>
      <w:r>
        <w:rPr>
          <w:sz w:val="22"/>
          <w:szCs w:val="22"/>
        </w:rPr>
        <w:tab/>
        <w:t>Page 9</w:t>
      </w:r>
    </w:p>
    <w:p w14:paraId="40247F76" w14:textId="77777777" w:rsidR="00FE5174" w:rsidRDefault="00000000">
      <w:pPr>
        <w:tabs>
          <w:tab w:val="right" w:leader="dot" w:pos="9746"/>
        </w:tabs>
        <w:spacing w:after="40"/>
        <w:ind w:left="500"/>
      </w:pPr>
      <w:r>
        <w:rPr>
          <w:sz w:val="22"/>
          <w:szCs w:val="22"/>
        </w:rPr>
        <w:t>6.2 Proposed Enhancement (SARIMAX &amp; OILGUARD-AC)</w:t>
      </w:r>
      <w:r>
        <w:rPr>
          <w:sz w:val="22"/>
          <w:szCs w:val="22"/>
        </w:rPr>
        <w:tab/>
        <w:t>Page 9</w:t>
      </w:r>
    </w:p>
    <w:p w14:paraId="533A990C" w14:textId="77777777" w:rsidR="00FE5174" w:rsidRDefault="00000000">
      <w:pPr>
        <w:tabs>
          <w:tab w:val="right" w:leader="dot" w:pos="9746"/>
        </w:tabs>
        <w:spacing w:after="40"/>
        <w:ind w:left="500"/>
      </w:pPr>
      <w:r>
        <w:rPr>
          <w:sz w:val="22"/>
          <w:szCs w:val="22"/>
        </w:rPr>
        <w:t>6.3 Methodology, Formulation and Implementation</w:t>
      </w:r>
      <w:r>
        <w:rPr>
          <w:sz w:val="22"/>
          <w:szCs w:val="22"/>
        </w:rPr>
        <w:tab/>
        <w:t>Page 10</w:t>
      </w:r>
    </w:p>
    <w:p w14:paraId="0A0E50A2" w14:textId="77777777" w:rsidR="00FE5174" w:rsidRDefault="00000000">
      <w:pPr>
        <w:tabs>
          <w:tab w:val="right" w:leader="dot" w:pos="9746"/>
        </w:tabs>
        <w:spacing w:after="40"/>
        <w:ind w:left="500"/>
      </w:pPr>
      <w:r>
        <w:rPr>
          <w:sz w:val="22"/>
          <w:szCs w:val="22"/>
        </w:rPr>
        <w:t>6.4 Expected Advantage</w:t>
      </w:r>
      <w:r>
        <w:rPr>
          <w:sz w:val="22"/>
          <w:szCs w:val="22"/>
        </w:rPr>
        <w:tab/>
        <w:t>Page 10</w:t>
      </w:r>
    </w:p>
    <w:p w14:paraId="62380036" w14:textId="77777777" w:rsidR="00FE5174" w:rsidRDefault="00000000">
      <w:pPr>
        <w:tabs>
          <w:tab w:val="right" w:leader="dot" w:pos="9746"/>
        </w:tabs>
        <w:spacing w:after="40"/>
        <w:ind w:left="500"/>
      </w:pPr>
      <w:r>
        <w:rPr>
          <w:sz w:val="22"/>
          <w:szCs w:val="22"/>
        </w:rPr>
        <w:t>6.5 Proposed Model Results</w:t>
      </w:r>
      <w:r>
        <w:rPr>
          <w:sz w:val="22"/>
          <w:szCs w:val="22"/>
        </w:rPr>
        <w:tab/>
        <w:t>Page 10</w:t>
      </w:r>
    </w:p>
    <w:p w14:paraId="196CFBA6" w14:textId="77777777" w:rsidR="00FE5174" w:rsidRDefault="00000000">
      <w:pPr>
        <w:tabs>
          <w:tab w:val="right" w:leader="dot" w:pos="9746"/>
        </w:tabs>
        <w:spacing w:before="80" w:after="100"/>
      </w:pPr>
      <w:r>
        <w:rPr>
          <w:b/>
          <w:bCs/>
          <w:sz w:val="22"/>
          <w:szCs w:val="22"/>
        </w:rPr>
        <w:t>7. PERFORMANCE EVALUATION AND COMPARISON</w:t>
      </w:r>
      <w:r>
        <w:rPr>
          <w:sz w:val="22"/>
          <w:szCs w:val="22"/>
        </w:rPr>
        <w:tab/>
        <w:t>Page 11</w:t>
      </w:r>
    </w:p>
    <w:p w14:paraId="04FED597" w14:textId="77777777" w:rsidR="00FE5174" w:rsidRDefault="00000000">
      <w:pPr>
        <w:tabs>
          <w:tab w:val="right" w:leader="dot" w:pos="9746"/>
        </w:tabs>
        <w:spacing w:after="40"/>
        <w:ind w:left="500"/>
      </w:pPr>
      <w:r>
        <w:rPr>
          <w:sz w:val="22"/>
          <w:szCs w:val="22"/>
        </w:rPr>
        <w:t>7.1 Evaluation Measures</w:t>
      </w:r>
      <w:r>
        <w:rPr>
          <w:sz w:val="22"/>
          <w:szCs w:val="22"/>
        </w:rPr>
        <w:tab/>
        <w:t>Page 11</w:t>
      </w:r>
    </w:p>
    <w:p w14:paraId="3F54C3DE" w14:textId="77777777" w:rsidR="00FE5174" w:rsidRDefault="00000000">
      <w:pPr>
        <w:tabs>
          <w:tab w:val="right" w:leader="dot" w:pos="9746"/>
        </w:tabs>
        <w:spacing w:after="40"/>
        <w:ind w:left="500"/>
      </w:pPr>
      <w:r>
        <w:rPr>
          <w:sz w:val="22"/>
          <w:szCs w:val="22"/>
        </w:rPr>
        <w:t>7.2 Comparative Results (Matched Realized FAR Benchmarking)</w:t>
      </w:r>
      <w:r>
        <w:rPr>
          <w:sz w:val="22"/>
          <w:szCs w:val="22"/>
        </w:rPr>
        <w:tab/>
        <w:t>Page 11</w:t>
      </w:r>
    </w:p>
    <w:p w14:paraId="31EAF676" w14:textId="77777777" w:rsidR="00FE5174" w:rsidRDefault="00000000">
      <w:pPr>
        <w:tabs>
          <w:tab w:val="right" w:leader="dot" w:pos="9746"/>
        </w:tabs>
        <w:spacing w:after="40"/>
        <w:ind w:left="500"/>
      </w:pPr>
      <w:r>
        <w:rPr>
          <w:sz w:val="22"/>
          <w:szCs w:val="22"/>
        </w:rPr>
        <w:t>7.3 Interpretation of Results &amp; Why LOF Fails</w:t>
      </w:r>
      <w:r>
        <w:rPr>
          <w:sz w:val="22"/>
          <w:szCs w:val="22"/>
        </w:rPr>
        <w:tab/>
        <w:t>Page 12</w:t>
      </w:r>
    </w:p>
    <w:p w14:paraId="1DFDEC67" w14:textId="77777777" w:rsidR="00FE5174" w:rsidRDefault="00000000">
      <w:pPr>
        <w:tabs>
          <w:tab w:val="right" w:leader="dot" w:pos="9746"/>
        </w:tabs>
        <w:spacing w:before="80" w:after="100"/>
      </w:pPr>
      <w:r>
        <w:rPr>
          <w:b/>
          <w:bCs/>
          <w:sz w:val="22"/>
          <w:szCs w:val="22"/>
        </w:rPr>
        <w:t>8. CONCLUSION AND FUTURE SCOPE</w:t>
      </w:r>
      <w:r>
        <w:rPr>
          <w:sz w:val="22"/>
          <w:szCs w:val="22"/>
        </w:rPr>
        <w:tab/>
        <w:t>Page 12</w:t>
      </w:r>
    </w:p>
    <w:p w14:paraId="3162F599" w14:textId="77777777" w:rsidR="00FE5174" w:rsidRDefault="00000000">
      <w:pPr>
        <w:tabs>
          <w:tab w:val="right" w:leader="dot" w:pos="9746"/>
        </w:tabs>
        <w:spacing w:after="40"/>
        <w:ind w:left="500"/>
      </w:pPr>
      <w:r>
        <w:rPr>
          <w:sz w:val="22"/>
          <w:szCs w:val="22"/>
        </w:rPr>
        <w:t>8.1 Summary of Forecasting Problem &amp; Effectiveness</w:t>
      </w:r>
      <w:r>
        <w:rPr>
          <w:sz w:val="22"/>
          <w:szCs w:val="22"/>
        </w:rPr>
        <w:tab/>
        <w:t>Page 12</w:t>
      </w:r>
    </w:p>
    <w:p w14:paraId="3C74C1AE" w14:textId="77777777" w:rsidR="00FE5174" w:rsidRDefault="00000000">
      <w:pPr>
        <w:tabs>
          <w:tab w:val="right" w:leader="dot" w:pos="9746"/>
        </w:tabs>
        <w:spacing w:after="40"/>
        <w:ind w:left="500"/>
      </w:pPr>
      <w:r>
        <w:rPr>
          <w:sz w:val="22"/>
          <w:szCs w:val="22"/>
        </w:rPr>
        <w:t>8.2 Practical Implications &amp; Limitations</w:t>
      </w:r>
      <w:r>
        <w:rPr>
          <w:sz w:val="22"/>
          <w:szCs w:val="22"/>
        </w:rPr>
        <w:tab/>
        <w:t>Page 13</w:t>
      </w:r>
    </w:p>
    <w:p w14:paraId="6636F48B" w14:textId="77777777" w:rsidR="00FE5174" w:rsidRDefault="00000000">
      <w:pPr>
        <w:tabs>
          <w:tab w:val="right" w:leader="dot" w:pos="9746"/>
        </w:tabs>
        <w:spacing w:after="40"/>
        <w:ind w:left="500"/>
      </w:pPr>
      <w:r>
        <w:rPr>
          <w:sz w:val="22"/>
          <w:szCs w:val="22"/>
        </w:rPr>
        <w:t>8.3 Sustainable Development Goals (SDGs) Addressed</w:t>
      </w:r>
      <w:r>
        <w:rPr>
          <w:sz w:val="22"/>
          <w:szCs w:val="22"/>
        </w:rPr>
        <w:tab/>
        <w:t>Page 13</w:t>
      </w:r>
    </w:p>
    <w:p w14:paraId="65506B82" w14:textId="77777777" w:rsidR="00FE5174" w:rsidRDefault="00000000">
      <w:pPr>
        <w:tabs>
          <w:tab w:val="right" w:leader="dot" w:pos="9746"/>
        </w:tabs>
        <w:spacing w:before="80" w:after="100"/>
      </w:pPr>
      <w:r>
        <w:rPr>
          <w:b/>
          <w:bCs/>
          <w:sz w:val="22"/>
          <w:szCs w:val="22"/>
        </w:rPr>
        <w:t>9. REFERENCES</w:t>
      </w:r>
      <w:r>
        <w:rPr>
          <w:sz w:val="22"/>
          <w:szCs w:val="22"/>
        </w:rPr>
        <w:tab/>
        <w:t>Page 13</w:t>
      </w:r>
    </w:p>
    <w:p w14:paraId="59395376" w14:textId="77777777" w:rsidR="00FE5174" w:rsidRDefault="00000000">
      <w:pPr>
        <w:tabs>
          <w:tab w:val="right" w:leader="dot" w:pos="9746"/>
        </w:tabs>
        <w:spacing w:before="80" w:after="100"/>
      </w:pPr>
      <w:r>
        <w:rPr>
          <w:b/>
          <w:bCs/>
          <w:sz w:val="22"/>
          <w:szCs w:val="22"/>
        </w:rPr>
        <w:t>10. TEAM CONTRIBUTION</w:t>
      </w:r>
      <w:r>
        <w:rPr>
          <w:sz w:val="22"/>
          <w:szCs w:val="22"/>
        </w:rPr>
        <w:tab/>
        <w:t>Page 14</w:t>
      </w:r>
    </w:p>
    <w:p w14:paraId="4A1D4B69" w14:textId="24B3A6C6" w:rsidR="00FE5174" w:rsidRDefault="00000000" w:rsidP="00E907B7">
      <w:pPr>
        <w:pStyle w:val="Heading1"/>
        <w:pageBreakBefore/>
      </w:pPr>
      <w:r>
        <w:lastRenderedPageBreak/>
        <w:t>1. ABSTRACT</w:t>
      </w:r>
    </w:p>
    <w:p w14:paraId="60E2CCE4" w14:textId="6DD62022" w:rsidR="00FE5174" w:rsidRDefault="004D415E">
      <w:pPr>
        <w:spacing w:after="140" w:line="276" w:lineRule="auto"/>
        <w:jc w:val="both"/>
      </w:pPr>
      <w:r w:rsidRPr="004D415E">
        <w:t xml:space="preserve">In offshore deepwater petroleum production, spurious closure of the Downhole Safety Valve (DHSV, designated as Class 2 in the Petrobras 3W benchmark) represents a high-consequence operational emergency. The sudden uncommanded shut-in of the emergency subsea barrier isolates the high-pressure reservoir upstream while triggering catastrophic downstream hydrodynamic pressure collapse and acoustic shock. Conventional Supervisory Control and Data Acquisition (SCADA) systems rely on static lower-bound pressure trip thresholds </w:t>
      </w:r>
      <m:oMath>
        <m:d>
          <m:dPr>
            <m:ctrlPr>
              <w:rPr>
                <w:rFonts w:ascii="Cambria Math" w:hAnsi="Cambria Math"/>
              </w:rPr>
            </m:ctrlPr>
          </m:dPr>
          <m:e>
            <m:r>
              <w:rPr>
                <w:rFonts w:ascii="Cambria Math" w:hAnsi="Cambria Math"/>
              </w:rPr>
              <m:t>P&lt;</m:t>
            </m:r>
            <m:sSub>
              <m:sSubPr>
                <m:ctrlPr>
                  <w:rPr>
                    <w:rFonts w:ascii="Cambria Math" w:hAnsi="Cambria Math"/>
                  </w:rPr>
                </m:ctrlPr>
              </m:sSubPr>
              <m:e>
                <m:r>
                  <w:rPr>
                    <w:rFonts w:ascii="Cambria Math" w:hAnsi="Cambria Math"/>
                  </w:rPr>
                  <m:t>P</m:t>
                </m:r>
              </m:e>
              <m:sub>
                <m:r>
                  <m:rPr>
                    <m:nor/>
                  </m:rPr>
                  <w:rPr>
                    <w:rFonts w:ascii="Cambria Math" w:hAnsi="Cambria Math"/>
                  </w:rPr>
                  <m:t>trip</m:t>
                </m:r>
              </m:sub>
            </m:sSub>
          </m:e>
        </m:d>
      </m:oMath>
      <w:r w:rsidRPr="004D415E">
        <w:t xml:space="preserve"> that trigger only after the valve is fully seated and flow has ceased, providing zero advance reaction time for control-room operators. This project presents OILGUARD, a time-series forecasting early warning framework that leverages rolling 1-step-ahead statistical models (ARIMA and multivariate SARIMAX with dynamic exogenous temperature) to detect incipient mechanical throttling minutes prior to catastrophic closure. Evaluated across an audited gold-standard cohort of 19 authentic offshore well events spanning 5 distinct physical wells from the Petrobras 3W dataset, the proposed statistical forecasting models achieve a 47.4% reduction in Mean Absolute Error (0.0162 MPa vs. 0.0307 MPa) over standard persistence baselines. When coupled with operational false-alarm constraints </w:t>
      </w:r>
      <m:oMath>
        <m:d>
          <m:dPr>
            <m:ctrlPr>
              <w:rPr>
                <w:rFonts w:ascii="Cambria Math" w:hAnsi="Cambria Math"/>
              </w:rPr>
            </m:ctrlPr>
          </m:dPr>
          <m:e>
            <m:r>
              <w:rPr>
                <w:rFonts w:ascii="Cambria Math" w:hAnsi="Cambria Math"/>
              </w:rPr>
              <m:t>≤0.50</m:t>
            </m:r>
            <m:r>
              <m:rPr>
                <m:nor/>
              </m:rPr>
              <m:t> to </m:t>
            </m:r>
            <m:r>
              <w:rPr>
                <w:rFonts w:ascii="Cambria Math" w:hAnsi="Cambria Math"/>
              </w:rPr>
              <m:t>1.0</m:t>
            </m:r>
            <m:r>
              <m:rPr>
                <m:nor/>
              </m:rPr>
              <m:t> alarms/hour</m:t>
            </m:r>
          </m:e>
        </m:d>
      </m:oMath>
      <w:r w:rsidRPr="004D415E">
        <w:t>under strict Leave-One-Event-Out (LOEO-CV) and Leave-One-Well-Out (LOWO-CV) cross-validation, the proposed approach achieves 63.2% to 73.7% event detection with an average advance lead time of 4.8 minutes, whereas popular non-forecasting density baselines (Local Outlier Factor) fail operational deployment due to severe cross-well baseline pressure drift.</w:t>
      </w:r>
    </w:p>
    <w:p w14:paraId="77DB272F" w14:textId="77777777" w:rsidR="00FE5174" w:rsidRDefault="00000000">
      <w:pPr>
        <w:pStyle w:val="Heading1"/>
      </w:pPr>
      <w:r>
        <w:t>2. INTRODUCTION AND PROBLEM IDENTIFICATION</w:t>
      </w:r>
    </w:p>
    <w:p w14:paraId="68826EB2" w14:textId="5335AB30" w:rsidR="00FE5174" w:rsidRDefault="00000000" w:rsidP="00E907B7">
      <w:pPr>
        <w:pStyle w:val="Heading2"/>
      </w:pPr>
      <w:r>
        <w:t>2.1 Application Domain:</w:t>
      </w:r>
    </w:p>
    <w:p w14:paraId="6EDD9873" w14:textId="060BBBF7" w:rsidR="00FE5174" w:rsidRDefault="00000000">
      <w:pPr>
        <w:spacing w:after="140" w:line="276" w:lineRule="auto"/>
        <w:jc w:val="both"/>
      </w:pPr>
      <w:r>
        <w:t xml:space="preserve">Offshore deepwater hydrocarbon extraction represents one of the most critical and hazardous frontiers of modern industrial process engineering. In deepwater fields such as Brazil's Santos Basin pre-salt province, wells are drilled through water columns exceeding 2,100 meters, penetrating seabed formations over 2,400 meters below the mudline. The multiphase production fluid (consisting of oil, gas, and formation water) flows through subsea tubing under extreme pressures (ranging from 8.9 to 21.0 MPa) and elevated temperatures (exceeding </w:t>
      </w:r>
      <m:oMath>
        <m:r>
          <w:rPr>
            <w:rFonts w:ascii="Cambria Math" w:hAnsi="Cambria Math"/>
          </w:rPr>
          <m:t>100°C</m:t>
        </m:r>
      </m:oMath>
      <w:r>
        <w:t>). Operating under such extreme thermodynamic regimes requires continuous, reliable cyber-physical surveillance to safeguard personnel, platform processing topsides, and marine coastal ecosystems.</w:t>
      </w:r>
    </w:p>
    <w:p w14:paraId="462E624C" w14:textId="77777777" w:rsidR="00FE5174" w:rsidRDefault="00000000">
      <w:pPr>
        <w:pStyle w:val="Heading2"/>
      </w:pPr>
      <w:r>
        <w:t>2.2 Problem Statement:</w:t>
      </w:r>
    </w:p>
    <w:p w14:paraId="024C2DA0" w14:textId="77777777" w:rsidR="00FE5174" w:rsidRDefault="00000000">
      <w:pPr>
        <w:spacing w:after="140" w:line="276" w:lineRule="auto"/>
        <w:jc w:val="both"/>
      </w:pPr>
      <w:r>
        <w:t>The primary barrier protecting offshore wells is the Downhole Safety Valve (DHSV)—a hydraulic, fail-safe flapper valve positioned inside the tubing string hundreds of meters beneath the seabed. During normal operations, hydraulic control line pressure holds this flapper open at 90° to permit uninterrupted multiphase flow. However, mechanical latch fatigue, seal degradation, or control-line hydraulic bleeding can cause an uncommanded, spurious closure of the DHSV while the well is operating at full capacity. This event (classified as Class 2 in the Petrobras 3W benchmark) causes flowing hydrocarbons to violently collide with the sealed steel flapper. Severe water-hammer pressure shockwaves propagate upstream, while downstream pressure collapses instantaneously toward zero, risking subsea flowline cavitation, flange blowout, and emergency platform shutdowns.</w:t>
      </w:r>
    </w:p>
    <w:p w14:paraId="3F7F11B1" w14:textId="77777777" w:rsidR="00FE5174" w:rsidRDefault="00000000">
      <w:pPr>
        <w:pStyle w:val="Heading2"/>
      </w:pPr>
      <w:r>
        <w:lastRenderedPageBreak/>
        <w:t>2.3 Need for Forecasting:</w:t>
      </w:r>
    </w:p>
    <w:p w14:paraId="280BBC9C" w14:textId="731F50CA" w:rsidR="00FE5174" w:rsidRDefault="00000000">
      <w:pPr>
        <w:spacing w:after="140" w:line="276" w:lineRule="auto"/>
        <w:jc w:val="both"/>
      </w:pPr>
      <w:r>
        <w:t xml:space="preserve">Conventional industrial Supervisory Control and Data Acquisition (SCADA) architectures employ static lower-bound pressure trip thresholds (e.g., </w:t>
      </w:r>
      <m:oMath>
        <m:r>
          <w:rPr>
            <w:rFonts w:ascii="Cambria Math" w:hAnsi="Cambria Math"/>
          </w:rPr>
          <m:t>P&lt;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rip</m:t>
        </m:r>
      </m:oMath>
      <w:r>
        <w:t>). The fatal limitation of this legacy approach is that downhole pressure crosses the trip threshold only AFTER the valve flapper has fully traveled into its seat. The shockwave has already initiated, and the fluid flow has completely stopped—providing an advance warning lead time of exactly zero seconds. Forecasting is essential because mechanical valves do not close instantaneously; rather, an incipient phase of flapper flutter and hydraulic throttling occurs minutes before complete shut-in. By developing dynamic statistical time-series models that predict expected normal pressure trajectories, incipient throttling can be detected as a statistical divergence (forecast residual spike) 4 to 5 minutes before the catastrophic transient, giving automated systems time to ramp down topside chokes and prevent water-hammer shock.</w:t>
      </w:r>
    </w:p>
    <w:p w14:paraId="654F82EA" w14:textId="77777777" w:rsidR="00FE5174" w:rsidRDefault="00000000">
      <w:pPr>
        <w:pStyle w:val="Heading2"/>
      </w:pPr>
      <w:r>
        <w:t>2.4 Objectives:</w:t>
      </w:r>
    </w:p>
    <w:p w14:paraId="551D05FA" w14:textId="77777777" w:rsidR="00FE5174" w:rsidRDefault="00000000">
      <w:pPr>
        <w:pStyle w:val="ListParagraph"/>
        <w:numPr>
          <w:ilvl w:val="0"/>
          <w:numId w:val="2"/>
        </w:numPr>
        <w:spacing w:after="100" w:line="276" w:lineRule="auto"/>
        <w:jc w:val="both"/>
      </w:pPr>
      <w:r>
        <w:rPr>
          <w:b/>
          <w:bCs/>
        </w:rPr>
        <w:t xml:space="preserve">Objective 1: </w:t>
      </w:r>
      <w:r>
        <w:t>Conduct rigorous exploratory data analysis, stationarity testing, and autocorrelation structure profiling on high-frequency offshore downhole telemetry.</w:t>
      </w:r>
    </w:p>
    <w:p w14:paraId="557B2A6D" w14:textId="77777777" w:rsidR="00FE5174" w:rsidRDefault="00000000">
      <w:pPr>
        <w:pStyle w:val="ListParagraph"/>
        <w:numPr>
          <w:ilvl w:val="0"/>
          <w:numId w:val="2"/>
        </w:numPr>
        <w:spacing w:after="100" w:line="276" w:lineRule="auto"/>
        <w:jc w:val="both"/>
      </w:pPr>
      <w:r>
        <w:rPr>
          <w:b/>
          <w:bCs/>
        </w:rPr>
        <w:t xml:space="preserve">Objective 2: </w:t>
      </w:r>
      <w:r>
        <w:t>Build and validate a univariate baseline time series forecasting model (ARIMA) and persistence benchmark on downhole pressure telemetry.</w:t>
      </w:r>
    </w:p>
    <w:p w14:paraId="711772EF" w14:textId="77777777" w:rsidR="00FE5174" w:rsidRDefault="00000000">
      <w:pPr>
        <w:pStyle w:val="ListParagraph"/>
        <w:numPr>
          <w:ilvl w:val="0"/>
          <w:numId w:val="2"/>
        </w:numPr>
        <w:spacing w:after="100" w:line="276" w:lineRule="auto"/>
        <w:jc w:val="both"/>
      </w:pPr>
      <w:r>
        <w:rPr>
          <w:b/>
          <w:bCs/>
        </w:rPr>
        <w:t xml:space="preserve">Objective 3: </w:t>
      </w:r>
      <w:r>
        <w:t>Formulate an enhanced multivariate forecasting model (SARIMAX with dynamic exogenous temperature) and a bivariate residual fusion score (OILGUARD-AC).</w:t>
      </w:r>
    </w:p>
    <w:p w14:paraId="2BA124C6" w14:textId="56D97825" w:rsidR="00FE5174" w:rsidRDefault="00000000">
      <w:pPr>
        <w:pStyle w:val="ListParagraph"/>
        <w:numPr>
          <w:ilvl w:val="0"/>
          <w:numId w:val="2"/>
        </w:numPr>
        <w:spacing w:after="100" w:line="276" w:lineRule="auto"/>
        <w:jc w:val="both"/>
      </w:pPr>
      <w:r>
        <w:rPr>
          <w:b/>
          <w:bCs/>
        </w:rPr>
        <w:t xml:space="preserve">Objective 4: </w:t>
      </w:r>
      <w:r>
        <w:t xml:space="preserve">Establish an alarm-constrained threshold calibration framework that strictly enforces offshore false-alarm budgets </w:t>
      </w:r>
      <m:oMath>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AR&lt;=1.0alarms/hour</m:t>
            </m:r>
          </m:e>
        </m:d>
      </m:oMath>
      <w:r>
        <w:t>on historical data.</w:t>
      </w:r>
    </w:p>
    <w:p w14:paraId="600C93C6" w14:textId="77777777" w:rsidR="00FE5174" w:rsidRDefault="00000000">
      <w:pPr>
        <w:pStyle w:val="ListParagraph"/>
        <w:numPr>
          <w:ilvl w:val="0"/>
          <w:numId w:val="2"/>
        </w:numPr>
        <w:spacing w:after="100" w:line="276" w:lineRule="auto"/>
        <w:jc w:val="both"/>
      </w:pPr>
      <w:r>
        <w:rPr>
          <w:b/>
          <w:bCs/>
        </w:rPr>
        <w:t xml:space="preserve">Objective 5: </w:t>
      </w:r>
      <w:r>
        <w:t>Execute leak-free Leave-One-Event-Out (LOEO-CV) and Leave-One-Well-Out (LOWO-CV) cross-validation across 19 authentic events from 5 physical offshore wells.</w:t>
      </w:r>
    </w:p>
    <w:p w14:paraId="5D8DF695" w14:textId="77777777" w:rsidR="00FE5174" w:rsidRDefault="00000000">
      <w:pPr>
        <w:pStyle w:val="Heading2"/>
      </w:pPr>
      <w:r>
        <w:t>2.5 Scope of the Study:</w:t>
      </w:r>
    </w:p>
    <w:p w14:paraId="567E1400" w14:textId="19438F9D" w:rsidR="00E907B7" w:rsidRDefault="00000000">
      <w:pPr>
        <w:spacing w:after="140" w:line="276" w:lineRule="auto"/>
        <w:jc w:val="both"/>
      </w:pPr>
      <w:r>
        <w:t xml:space="preserve">This study investigates high-frequency downhole pressure (P-TPT, MPa) and downhole temperature (T-TPT, °C) telemetry sampled at 1 Hz and aggregated to 10-second intervals from the certified gold cohort of 19 authentic offshore Class 2 events in the Petrobras 3W benchmark. The study aims to prospectively detect incipient valve throttling within an operational 10-minute pre-transient window </w:t>
      </w:r>
      <m:oMath>
        <m:r>
          <w:rPr>
            <w:rFonts w:ascii="Cambria Math" w:hAnsi="Cambria Math"/>
          </w:rPr>
          <m:t>[T_transient - 10 min, T_transient]</m:t>
        </m:r>
      </m:oMath>
      <w:r>
        <w:t>. The scope is strictly bounded to prospective early-warning anomaly detection; it does not attempt full reservoir multiphase fluid simulation or replace physical hydrodynamic flow-loop testing.</w:t>
      </w:r>
    </w:p>
    <w:p w14:paraId="51DF24FD" w14:textId="77777777" w:rsidR="00E907B7" w:rsidRDefault="00E907B7">
      <w:pPr>
        <w:spacing w:after="140" w:line="276" w:lineRule="auto"/>
        <w:jc w:val="both"/>
      </w:pPr>
    </w:p>
    <w:p w14:paraId="1D58CE03" w14:textId="77777777" w:rsidR="00FE5174" w:rsidRDefault="00000000">
      <w:pPr>
        <w:pStyle w:val="Heading1"/>
      </w:pPr>
      <w:r>
        <w:lastRenderedPageBreak/>
        <w:t>3. LITERATURE REVIEW AND RESEARCH GAP</w:t>
      </w:r>
    </w:p>
    <w:p w14:paraId="72E413DE" w14:textId="77777777" w:rsidR="00FE5174" w:rsidRDefault="00000000">
      <w:pPr>
        <w:pStyle w:val="Heading2"/>
      </w:pPr>
      <w:r>
        <w:t>3.1 Review of Existing Research:</w:t>
      </w:r>
    </w:p>
    <w:p w14:paraId="1B11B442" w14:textId="77777777" w:rsidR="00FE5174" w:rsidRDefault="00000000">
      <w:pPr>
        <w:keepNext/>
        <w:spacing w:before="60" w:after="100"/>
        <w:jc w:val="center"/>
      </w:pPr>
      <w:r>
        <w:rPr>
          <w:b/>
          <w:bCs/>
          <w:sz w:val="22"/>
          <w:szCs w:val="22"/>
        </w:rPr>
        <w:t>Table 3.1: Review of Five Foundational Papers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
        <w:gridCol w:w="1362"/>
        <w:gridCol w:w="1258"/>
        <w:gridCol w:w="1388"/>
        <w:gridCol w:w="1363"/>
        <w:gridCol w:w="3365"/>
      </w:tblGrid>
      <w:tr w:rsidR="00FE5174" w:rsidRPr="004C26B1" w14:paraId="62823375" w14:textId="77777777">
        <w:trPr>
          <w:cantSplit/>
          <w:tblHeader/>
        </w:trPr>
        <w:tc>
          <w:tcPr>
            <w:tcW w:w="12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113D0978" w14:textId="77777777" w:rsidR="00FE5174" w:rsidRPr="004C26B1" w:rsidRDefault="00FE5174">
            <w:pPr>
              <w:jc w:val="center"/>
              <w:rPr>
                <w:sz w:val="18"/>
                <w:szCs w:val="18"/>
              </w:rPr>
            </w:pP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DA0EAA0" w14:textId="77777777" w:rsidR="00FE5174" w:rsidRPr="004C26B1" w:rsidRDefault="00000000">
            <w:pPr>
              <w:jc w:val="center"/>
              <w:rPr>
                <w:sz w:val="18"/>
                <w:szCs w:val="18"/>
              </w:rPr>
            </w:pPr>
            <w:r w:rsidRPr="004C26B1">
              <w:rPr>
                <w:b/>
                <w:bCs/>
                <w:sz w:val="18"/>
                <w:szCs w:val="18"/>
              </w:rPr>
              <w:t>Problem / Dataset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155F881" w14:textId="77777777" w:rsidR="00FE5174" w:rsidRPr="004C26B1" w:rsidRDefault="00000000">
            <w:pPr>
              <w:jc w:val="center"/>
              <w:rPr>
                <w:sz w:val="18"/>
                <w:szCs w:val="18"/>
              </w:rPr>
            </w:pPr>
            <w:r w:rsidRPr="004C26B1">
              <w:rPr>
                <w:b/>
                <w:bCs/>
                <w:sz w:val="18"/>
                <w:szCs w:val="18"/>
              </w:rPr>
              <w:t>Method Used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6A2B5AC8" w14:textId="77777777" w:rsidR="00FE5174" w:rsidRPr="004C26B1" w:rsidRDefault="00000000">
            <w:pPr>
              <w:jc w:val="center"/>
              <w:rPr>
                <w:sz w:val="18"/>
                <w:szCs w:val="18"/>
              </w:rPr>
            </w:pPr>
            <w:r w:rsidRPr="004C26B1">
              <w:rPr>
                <w:b/>
                <w:bCs/>
                <w:sz w:val="18"/>
                <w:szCs w:val="18"/>
              </w:rPr>
              <w:t>Key Findings</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1C469668" w14:textId="77777777" w:rsidR="00FE5174" w:rsidRPr="004C26B1" w:rsidRDefault="00000000">
            <w:pPr>
              <w:jc w:val="center"/>
              <w:rPr>
                <w:sz w:val="18"/>
                <w:szCs w:val="18"/>
              </w:rPr>
            </w:pPr>
            <w:r w:rsidRPr="004C26B1">
              <w:rPr>
                <w:b/>
                <w:bCs/>
                <w:sz w:val="18"/>
                <w:szCs w:val="18"/>
              </w:rPr>
              <w:t>Limitations</w:t>
            </w:r>
          </w:p>
        </w:tc>
        <w:tc>
          <w:tcPr>
            <w:tcW w:w="15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B04CEE6" w14:textId="77777777" w:rsidR="00FE5174" w:rsidRPr="004C26B1" w:rsidRDefault="00000000">
            <w:pPr>
              <w:jc w:val="center"/>
              <w:rPr>
                <w:sz w:val="18"/>
                <w:szCs w:val="18"/>
              </w:rPr>
            </w:pPr>
            <w:r w:rsidRPr="004C26B1">
              <w:rPr>
                <w:b/>
                <w:bCs/>
                <w:sz w:val="18"/>
                <w:szCs w:val="18"/>
              </w:rPr>
              <w:t>Link of the paper</w:t>
            </w:r>
          </w:p>
        </w:tc>
      </w:tr>
      <w:tr w:rsidR="00FE5174" w:rsidRPr="004C26B1" w14:paraId="306DA484" w14:textId="77777777">
        <w:trPr>
          <w:cantSplit/>
        </w:trPr>
        <w:tc>
          <w:tcPr>
            <w:tcW w:w="12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7FCEA8B" w14:textId="77777777" w:rsidR="00FE5174" w:rsidRPr="004C26B1" w:rsidRDefault="00000000">
            <w:pPr>
              <w:rPr>
                <w:sz w:val="18"/>
                <w:szCs w:val="18"/>
              </w:rPr>
            </w:pPr>
            <w:r w:rsidRPr="004C26B1">
              <w:rPr>
                <w:b/>
                <w:bCs/>
                <w:sz w:val="18"/>
                <w:szCs w:val="18"/>
              </w:rPr>
              <w:t>Paper 1: Vargas et al. (2019) [J. Pet. Sci. Eng.]</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7CBEA491" w14:textId="77777777" w:rsidR="00FE5174" w:rsidRPr="004C26B1" w:rsidRDefault="00000000">
            <w:pPr>
              <w:rPr>
                <w:sz w:val="18"/>
                <w:szCs w:val="18"/>
              </w:rPr>
            </w:pPr>
            <w:r w:rsidRPr="004C26B1">
              <w:rPr>
                <w:sz w:val="18"/>
                <w:szCs w:val="18"/>
              </w:rPr>
              <w:t>Rare undesirable event detection; Petrobras 3W Dataset v1.0 (8 event classes, 1,984 files: authentic, simulated, hand-drawn).</w:t>
            </w:r>
          </w:p>
        </w:tc>
        <w:tc>
          <w:tcPr>
            <w:tcW w:w="16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8BC5938" w14:textId="77777777" w:rsidR="00FE5174" w:rsidRPr="004C26B1" w:rsidRDefault="00000000">
            <w:pPr>
              <w:rPr>
                <w:sz w:val="18"/>
                <w:szCs w:val="18"/>
              </w:rPr>
            </w:pPr>
            <w:r w:rsidRPr="004C26B1">
              <w:rPr>
                <w:sz w:val="18"/>
                <w:szCs w:val="18"/>
              </w:rPr>
              <w:t>Supervised machine learning classification (Random Forest, Support Vector Machines, Multilayer Perceptron).</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CB78DA4" w14:textId="77777777" w:rsidR="00FE5174" w:rsidRPr="004C26B1" w:rsidRDefault="00000000">
            <w:pPr>
              <w:rPr>
                <w:sz w:val="18"/>
                <w:szCs w:val="18"/>
              </w:rPr>
            </w:pPr>
            <w:r w:rsidRPr="004C26B1">
              <w:rPr>
                <w:sz w:val="18"/>
                <w:szCs w:val="18"/>
              </w:rPr>
              <w:t>Established the premier public offshore well benchmark with authentic sensor defects, providing standardized baseline evaluation.</w:t>
            </w:r>
          </w:p>
        </w:tc>
        <w:tc>
          <w:tcPr>
            <w:tcW w:w="1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8C18D52" w14:textId="77777777" w:rsidR="00FE5174" w:rsidRPr="004C26B1" w:rsidRDefault="00000000">
            <w:pPr>
              <w:rPr>
                <w:sz w:val="18"/>
                <w:szCs w:val="18"/>
              </w:rPr>
            </w:pPr>
            <w:r w:rsidRPr="004C26B1">
              <w:rPr>
                <w:sz w:val="18"/>
                <w:szCs w:val="18"/>
              </w:rPr>
              <w:t>Treats anomaly detection as retrospective time-step classification; does not evaluate prospective lead time before transient onset or normal operational false-alarm rates.</w:t>
            </w:r>
          </w:p>
        </w:tc>
        <w:tc>
          <w:tcPr>
            <w:tcW w:w="158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545733DE" w14:textId="77777777" w:rsidR="00FE5174" w:rsidRPr="004C26B1" w:rsidRDefault="00000000">
            <w:pPr>
              <w:rPr>
                <w:sz w:val="18"/>
                <w:szCs w:val="18"/>
              </w:rPr>
            </w:pPr>
            <w:r w:rsidRPr="004C26B1">
              <w:rPr>
                <w:sz w:val="18"/>
                <w:szCs w:val="18"/>
              </w:rPr>
              <w:t>https://doi.org/10.1016/j.petrol.2019.106223</w:t>
            </w:r>
          </w:p>
        </w:tc>
      </w:tr>
      <w:tr w:rsidR="00FE5174" w:rsidRPr="004C26B1" w14:paraId="1CB48BA9" w14:textId="77777777">
        <w:trPr>
          <w:cantSplit/>
        </w:trPr>
        <w:tc>
          <w:tcPr>
            <w:tcW w:w="12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794D1FC3" w14:textId="77777777" w:rsidR="00FE5174" w:rsidRPr="004C26B1" w:rsidRDefault="00000000">
            <w:pPr>
              <w:rPr>
                <w:sz w:val="18"/>
                <w:szCs w:val="18"/>
              </w:rPr>
            </w:pPr>
            <w:r w:rsidRPr="004C26B1">
              <w:rPr>
                <w:b/>
                <w:bCs/>
                <w:sz w:val="18"/>
                <w:szCs w:val="18"/>
              </w:rPr>
              <w:t>Paper 2: Vargas et al. (2026) [Nature Sci. Data]</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EC86471" w14:textId="77777777" w:rsidR="00FE5174" w:rsidRPr="004C26B1" w:rsidRDefault="00000000">
            <w:pPr>
              <w:rPr>
                <w:sz w:val="18"/>
                <w:szCs w:val="18"/>
              </w:rPr>
            </w:pPr>
            <w:r w:rsidRPr="004C26B1">
              <w:rPr>
                <w:sz w:val="18"/>
                <w:szCs w:val="18"/>
              </w:rPr>
              <w:t>Benchmark curation and data quality standardization; Petrobras 3W Dataset v2.0.0 (2,228 instances, 1.87 GB).</w:t>
            </w:r>
          </w:p>
        </w:tc>
        <w:tc>
          <w:tcPr>
            <w:tcW w:w="16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08C20C69" w14:textId="77777777" w:rsidR="00FE5174" w:rsidRPr="004C26B1" w:rsidRDefault="00000000">
            <w:pPr>
              <w:rPr>
                <w:sz w:val="18"/>
                <w:szCs w:val="18"/>
              </w:rPr>
            </w:pPr>
            <w:r w:rsidRPr="004C26B1">
              <w:rPr>
                <w:sz w:val="18"/>
                <w:szCs w:val="18"/>
              </w:rPr>
              <w:t>Standardized baseline classifiers, data quality pipelines, and enhanced expert annotation toolkits.</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762C4F4" w14:textId="77777777" w:rsidR="00FE5174" w:rsidRPr="004C26B1" w:rsidRDefault="00000000">
            <w:pPr>
              <w:rPr>
                <w:sz w:val="18"/>
                <w:szCs w:val="18"/>
              </w:rPr>
            </w:pPr>
            <w:r w:rsidRPr="004C26B1">
              <w:rPr>
                <w:sz w:val="18"/>
                <w:szCs w:val="18"/>
              </w:rPr>
              <w:t>Refined expert annotations, standardized metadata, and strictly separated authentic well files (WELL-*) from numerical/hand-drawn models.</w:t>
            </w:r>
          </w:p>
        </w:tc>
        <w:tc>
          <w:tcPr>
            <w:tcW w:w="1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432A8FF2" w14:textId="77777777" w:rsidR="00FE5174" w:rsidRPr="004C26B1" w:rsidRDefault="00000000">
            <w:pPr>
              <w:rPr>
                <w:sz w:val="18"/>
                <w:szCs w:val="18"/>
              </w:rPr>
            </w:pPr>
            <w:r w:rsidRPr="004C26B1">
              <w:rPr>
                <w:sz w:val="18"/>
                <w:szCs w:val="18"/>
              </w:rPr>
              <w:t>Focuses primarily on benchmark data publishing; leaves prospective early-warning triggering, lead time quantification, and operational nuisance alarm budgets unaddressed.</w:t>
            </w:r>
          </w:p>
        </w:tc>
        <w:tc>
          <w:tcPr>
            <w:tcW w:w="158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52E0FF72" w14:textId="77777777" w:rsidR="00FE5174" w:rsidRPr="004C26B1" w:rsidRDefault="00000000">
            <w:pPr>
              <w:rPr>
                <w:sz w:val="18"/>
                <w:szCs w:val="18"/>
              </w:rPr>
            </w:pPr>
            <w:r w:rsidRPr="004C26B1">
              <w:rPr>
                <w:sz w:val="18"/>
                <w:szCs w:val="18"/>
              </w:rPr>
              <w:t>https://doi.org/10.1038/s41597-026-07225-z</w:t>
            </w:r>
          </w:p>
        </w:tc>
      </w:tr>
      <w:tr w:rsidR="00FE5174" w:rsidRPr="004C26B1" w14:paraId="18481445" w14:textId="77777777">
        <w:trPr>
          <w:cantSplit/>
        </w:trPr>
        <w:tc>
          <w:tcPr>
            <w:tcW w:w="12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555EA4AA" w14:textId="77777777" w:rsidR="00FE5174" w:rsidRPr="004C26B1" w:rsidRDefault="00000000">
            <w:pPr>
              <w:rPr>
                <w:sz w:val="18"/>
                <w:szCs w:val="18"/>
              </w:rPr>
            </w:pPr>
            <w:r w:rsidRPr="004C26B1">
              <w:rPr>
                <w:b/>
                <w:bCs/>
                <w:sz w:val="18"/>
                <w:szCs w:val="18"/>
              </w:rPr>
              <w:t xml:space="preserve">Paper 3: Fernandes Jr., Komati &amp; </w:t>
            </w:r>
            <w:proofErr w:type="spellStart"/>
            <w:r w:rsidRPr="004C26B1">
              <w:rPr>
                <w:b/>
                <w:bCs/>
                <w:sz w:val="18"/>
                <w:szCs w:val="18"/>
              </w:rPr>
              <w:t>Gazolli</w:t>
            </w:r>
            <w:proofErr w:type="spellEnd"/>
            <w:r w:rsidRPr="004C26B1">
              <w:rPr>
                <w:b/>
                <w:bCs/>
                <w:sz w:val="18"/>
                <w:szCs w:val="18"/>
              </w:rPr>
              <w:t xml:space="preserve"> (2024) [J. Pet. </w:t>
            </w:r>
            <w:proofErr w:type="spellStart"/>
            <w:r w:rsidRPr="004C26B1">
              <w:rPr>
                <w:b/>
                <w:bCs/>
                <w:sz w:val="18"/>
                <w:szCs w:val="18"/>
              </w:rPr>
              <w:t>Explor</w:t>
            </w:r>
            <w:proofErr w:type="spellEnd"/>
            <w:r w:rsidRPr="004C26B1">
              <w:rPr>
                <w:b/>
                <w:bCs/>
                <w:sz w:val="18"/>
                <w:szCs w:val="18"/>
              </w:rPr>
              <w:t>. Prod. Technol.]</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ADFF888" w14:textId="77777777" w:rsidR="00FE5174" w:rsidRPr="004C26B1" w:rsidRDefault="00000000">
            <w:pPr>
              <w:rPr>
                <w:sz w:val="18"/>
                <w:szCs w:val="18"/>
              </w:rPr>
            </w:pPr>
            <w:r w:rsidRPr="004C26B1">
              <w:rPr>
                <w:sz w:val="18"/>
                <w:szCs w:val="18"/>
              </w:rPr>
              <w:t>Multivariate anomaly detection in oil-producing wells; Petrobras 3W dataset.</w:t>
            </w:r>
          </w:p>
        </w:tc>
        <w:tc>
          <w:tcPr>
            <w:tcW w:w="16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6D4E4D06" w14:textId="77777777" w:rsidR="00FE5174" w:rsidRPr="004C26B1" w:rsidRDefault="00000000">
            <w:pPr>
              <w:rPr>
                <w:sz w:val="18"/>
                <w:szCs w:val="18"/>
              </w:rPr>
            </w:pPr>
            <w:r w:rsidRPr="004C26B1">
              <w:rPr>
                <w:sz w:val="18"/>
                <w:szCs w:val="18"/>
              </w:rPr>
              <w:t>Unsupervised One-Class Classification: Local Outlier Factor (LOF), Isolation Forest (IF), One-Class SVM (OCSVM), and Autoencoders.</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6FEDD44A" w14:textId="77777777" w:rsidR="00FE5174" w:rsidRPr="004C26B1" w:rsidRDefault="00000000">
            <w:pPr>
              <w:rPr>
                <w:sz w:val="18"/>
                <w:szCs w:val="18"/>
              </w:rPr>
            </w:pPr>
            <w:r w:rsidRPr="004C26B1">
              <w:rPr>
                <w:sz w:val="18"/>
                <w:szCs w:val="18"/>
              </w:rPr>
              <w:t xml:space="preserve">Reported that LOF achieved highest performance (~87% F1-score) due to local density cluster </w:t>
            </w:r>
            <w:proofErr w:type="spellStart"/>
            <w:r w:rsidRPr="004C26B1">
              <w:rPr>
                <w:sz w:val="18"/>
                <w:szCs w:val="18"/>
              </w:rPr>
              <w:t>modeling</w:t>
            </w:r>
            <w:proofErr w:type="spellEnd"/>
            <w:r w:rsidRPr="004C26B1">
              <w:rPr>
                <w:sz w:val="18"/>
                <w:szCs w:val="18"/>
              </w:rPr>
              <w:t xml:space="preserve"> across multiple operating modes.</w:t>
            </w:r>
          </w:p>
        </w:tc>
        <w:tc>
          <w:tcPr>
            <w:tcW w:w="1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1F6177E" w14:textId="77777777" w:rsidR="00FE5174" w:rsidRPr="004C26B1" w:rsidRDefault="00000000">
            <w:pPr>
              <w:rPr>
                <w:sz w:val="18"/>
                <w:szCs w:val="18"/>
              </w:rPr>
            </w:pPr>
            <w:r w:rsidRPr="004C26B1">
              <w:rPr>
                <w:sz w:val="18"/>
                <w:szCs w:val="18"/>
              </w:rPr>
              <w:t>Evaluates windowed time-step classification retrospectively; does not measure prospective lead time prior to transient onset, and incurs severe false-alarm penalties across distinct wells due to baseline density drift.</w:t>
            </w:r>
          </w:p>
        </w:tc>
        <w:tc>
          <w:tcPr>
            <w:tcW w:w="158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8EFF2F3" w14:textId="77777777" w:rsidR="00FE5174" w:rsidRPr="004C26B1" w:rsidRDefault="00000000">
            <w:pPr>
              <w:rPr>
                <w:sz w:val="18"/>
                <w:szCs w:val="18"/>
              </w:rPr>
            </w:pPr>
            <w:r w:rsidRPr="004C26B1">
              <w:rPr>
                <w:sz w:val="18"/>
                <w:szCs w:val="18"/>
              </w:rPr>
              <w:t>https://doi.org/10.1007/s13202-023-01710-6</w:t>
            </w:r>
          </w:p>
        </w:tc>
      </w:tr>
      <w:tr w:rsidR="00FE5174" w:rsidRPr="004C26B1" w14:paraId="52F72D65" w14:textId="77777777">
        <w:trPr>
          <w:cantSplit/>
        </w:trPr>
        <w:tc>
          <w:tcPr>
            <w:tcW w:w="12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03E5331" w14:textId="77777777" w:rsidR="00FE5174" w:rsidRPr="004C26B1" w:rsidRDefault="00000000">
            <w:pPr>
              <w:rPr>
                <w:sz w:val="18"/>
                <w:szCs w:val="18"/>
              </w:rPr>
            </w:pPr>
            <w:r w:rsidRPr="004C26B1">
              <w:rPr>
                <w:b/>
                <w:bCs/>
                <w:sz w:val="18"/>
                <w:szCs w:val="18"/>
              </w:rPr>
              <w:lastRenderedPageBreak/>
              <w:t>Paper 4: Wang et al. (2024) [IEEE Trans. Ind. Inform.]</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20A3427" w14:textId="77777777" w:rsidR="00FE5174" w:rsidRPr="004C26B1" w:rsidRDefault="00000000">
            <w:pPr>
              <w:rPr>
                <w:sz w:val="18"/>
                <w:szCs w:val="18"/>
              </w:rPr>
            </w:pPr>
            <w:r w:rsidRPr="004C26B1">
              <w:rPr>
                <w:sz w:val="18"/>
                <w:szCs w:val="18"/>
              </w:rPr>
              <w:t xml:space="preserve">Multivariate time series anomaly detection in complex industrial processes; </w:t>
            </w:r>
            <w:proofErr w:type="spellStart"/>
            <w:r w:rsidRPr="004C26B1">
              <w:rPr>
                <w:sz w:val="18"/>
                <w:szCs w:val="18"/>
              </w:rPr>
              <w:t>SWaT</w:t>
            </w:r>
            <w:proofErr w:type="spellEnd"/>
            <w:r w:rsidRPr="004C26B1">
              <w:rPr>
                <w:sz w:val="18"/>
                <w:szCs w:val="18"/>
              </w:rPr>
              <w:t>, WADI, and chemical process plant benchmarks.</w:t>
            </w:r>
          </w:p>
        </w:tc>
        <w:tc>
          <w:tcPr>
            <w:tcW w:w="16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C7F7C3C" w14:textId="77777777" w:rsidR="00FE5174" w:rsidRPr="004C26B1" w:rsidRDefault="00000000">
            <w:pPr>
              <w:rPr>
                <w:sz w:val="18"/>
                <w:szCs w:val="18"/>
              </w:rPr>
            </w:pPr>
            <w:r w:rsidRPr="004C26B1">
              <w:rPr>
                <w:sz w:val="18"/>
                <w:szCs w:val="18"/>
              </w:rPr>
              <w:t>Graph Structure Change-Based Multivariate Anomaly Detection (GSC-MAD) combining 1-step prediction errors with dynamic graph neural networks.</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1CDC8E3" w14:textId="77777777" w:rsidR="00FE5174" w:rsidRPr="004C26B1" w:rsidRDefault="00000000">
            <w:pPr>
              <w:rPr>
                <w:sz w:val="18"/>
                <w:szCs w:val="18"/>
              </w:rPr>
            </w:pPr>
            <w:r w:rsidRPr="004C26B1">
              <w:rPr>
                <w:sz w:val="18"/>
                <w:szCs w:val="18"/>
              </w:rPr>
              <w:t>Effectively captures relational dependency shifts across inter-sensor topologies under multivariate operational drift.</w:t>
            </w:r>
          </w:p>
        </w:tc>
        <w:tc>
          <w:tcPr>
            <w:tcW w:w="1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EA0840E" w14:textId="77777777" w:rsidR="00FE5174" w:rsidRPr="004C26B1" w:rsidRDefault="00000000">
            <w:pPr>
              <w:rPr>
                <w:sz w:val="18"/>
                <w:szCs w:val="18"/>
              </w:rPr>
            </w:pPr>
            <w:r w:rsidRPr="004C26B1">
              <w:rPr>
                <w:sz w:val="18"/>
                <w:szCs w:val="18"/>
              </w:rPr>
              <w:t>Requires complex deep learning architectures with high parameter count; uncalibrated for low-sample industrial event regimes (e.g., 19 real well events) and lacks operational false-alarm constraints.</w:t>
            </w:r>
          </w:p>
        </w:tc>
        <w:tc>
          <w:tcPr>
            <w:tcW w:w="158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EF6F3E4" w14:textId="77777777" w:rsidR="00FE5174" w:rsidRPr="004C26B1" w:rsidRDefault="00000000">
            <w:pPr>
              <w:rPr>
                <w:sz w:val="18"/>
                <w:szCs w:val="18"/>
              </w:rPr>
            </w:pPr>
            <w:r w:rsidRPr="004C26B1">
              <w:rPr>
                <w:sz w:val="18"/>
                <w:szCs w:val="18"/>
              </w:rPr>
              <w:t>https://doi.org/10.1109/TII.2023.3347000</w:t>
            </w:r>
          </w:p>
        </w:tc>
      </w:tr>
      <w:tr w:rsidR="00FE5174" w:rsidRPr="004C26B1" w14:paraId="42F719DE" w14:textId="77777777">
        <w:trPr>
          <w:cantSplit/>
        </w:trPr>
        <w:tc>
          <w:tcPr>
            <w:tcW w:w="12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6F95650A" w14:textId="77777777" w:rsidR="00FE5174" w:rsidRPr="004C26B1" w:rsidRDefault="00000000">
            <w:pPr>
              <w:rPr>
                <w:sz w:val="18"/>
                <w:szCs w:val="18"/>
              </w:rPr>
            </w:pPr>
            <w:r w:rsidRPr="004C26B1">
              <w:rPr>
                <w:b/>
                <w:bCs/>
                <w:sz w:val="18"/>
                <w:szCs w:val="18"/>
              </w:rPr>
              <w:t>Paper 5: Khan, Al Farid, Uddin et al. (2026) [Scientific Reports]</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5152194F" w14:textId="77777777" w:rsidR="00FE5174" w:rsidRPr="004C26B1" w:rsidRDefault="00000000">
            <w:pPr>
              <w:rPr>
                <w:sz w:val="18"/>
                <w:szCs w:val="18"/>
              </w:rPr>
            </w:pPr>
            <w:r w:rsidRPr="004C26B1">
              <w:rPr>
                <w:sz w:val="18"/>
                <w:szCs w:val="18"/>
              </w:rPr>
              <w:t>Early-warning industrial fault detection and valve stiction; Tennessee Eastman Process (TEP) chemical benchmark.</w:t>
            </w:r>
          </w:p>
        </w:tc>
        <w:tc>
          <w:tcPr>
            <w:tcW w:w="16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55A1BC19" w14:textId="77777777" w:rsidR="00FE5174" w:rsidRPr="004C26B1" w:rsidRDefault="00000000">
            <w:pPr>
              <w:rPr>
                <w:sz w:val="18"/>
                <w:szCs w:val="18"/>
              </w:rPr>
            </w:pPr>
            <w:r w:rsidRPr="004C26B1">
              <w:rPr>
                <w:sz w:val="18"/>
                <w:szCs w:val="18"/>
              </w:rPr>
              <w:t xml:space="preserve">Physics-guided twin residuals + Attention-based CRNN (1D-CNN + </w:t>
            </w:r>
            <w:proofErr w:type="spellStart"/>
            <w:r w:rsidRPr="004C26B1">
              <w:rPr>
                <w:sz w:val="18"/>
                <w:szCs w:val="18"/>
              </w:rPr>
              <w:t>BiGRU</w:t>
            </w:r>
            <w:proofErr w:type="spellEnd"/>
            <w:r w:rsidRPr="004C26B1">
              <w:rPr>
                <w:sz w:val="18"/>
                <w:szCs w:val="18"/>
              </w:rPr>
              <w:t>) with Platt scaling probability calibration.</w:t>
            </w:r>
          </w:p>
        </w:tc>
        <w:tc>
          <w:tcPr>
            <w:tcW w:w="17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8B9E11A" w14:textId="77777777" w:rsidR="00FE5174" w:rsidRPr="004C26B1" w:rsidRDefault="00000000">
            <w:pPr>
              <w:rPr>
                <w:sz w:val="18"/>
                <w:szCs w:val="18"/>
              </w:rPr>
            </w:pPr>
            <w:r w:rsidRPr="004C26B1">
              <w:rPr>
                <w:sz w:val="18"/>
                <w:szCs w:val="18"/>
              </w:rPr>
              <w:t>Demonstrated that physics-informed twin residuals paired with calibrated probability thresholds improved fault detection (+17% NAB score vs. IF).</w:t>
            </w:r>
          </w:p>
        </w:tc>
        <w:tc>
          <w:tcPr>
            <w:tcW w:w="190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4DFD6A00" w14:textId="77777777" w:rsidR="00FE5174" w:rsidRPr="004C26B1" w:rsidRDefault="00000000">
            <w:pPr>
              <w:rPr>
                <w:sz w:val="18"/>
                <w:szCs w:val="18"/>
              </w:rPr>
            </w:pPr>
            <w:r w:rsidRPr="004C26B1">
              <w:rPr>
                <w:sz w:val="18"/>
                <w:szCs w:val="18"/>
              </w:rPr>
              <w:t xml:space="preserve">Evaluated on chemical process simulation (TEP) rather than authentic multiphase petroleum telemetry; high parameter </w:t>
            </w:r>
            <w:proofErr w:type="gramStart"/>
            <w:r w:rsidRPr="004C26B1">
              <w:rPr>
                <w:sz w:val="18"/>
                <w:szCs w:val="18"/>
              </w:rPr>
              <w:t>count</w:t>
            </w:r>
            <w:proofErr w:type="gramEnd"/>
            <w:r w:rsidRPr="004C26B1">
              <w:rPr>
                <w:sz w:val="18"/>
                <w:szCs w:val="18"/>
              </w:rPr>
              <w:t xml:space="preserve"> vulnerable to severe overfitting on small industrial event cohorts.</w:t>
            </w:r>
          </w:p>
        </w:tc>
        <w:tc>
          <w:tcPr>
            <w:tcW w:w="158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0DD86DC0" w14:textId="77777777" w:rsidR="00FE5174" w:rsidRPr="004C26B1" w:rsidRDefault="00000000">
            <w:pPr>
              <w:rPr>
                <w:sz w:val="18"/>
                <w:szCs w:val="18"/>
              </w:rPr>
            </w:pPr>
            <w:r w:rsidRPr="004C26B1">
              <w:rPr>
                <w:sz w:val="18"/>
                <w:szCs w:val="18"/>
              </w:rPr>
              <w:t>https://doi.org/10.1038/s41598-026-48227-6</w:t>
            </w:r>
          </w:p>
        </w:tc>
      </w:tr>
    </w:tbl>
    <w:p w14:paraId="1CA83F8E" w14:textId="77777777" w:rsidR="00FE5174" w:rsidRDefault="00FE5174">
      <w:pPr>
        <w:spacing w:after="120"/>
      </w:pPr>
    </w:p>
    <w:p w14:paraId="64E0F22E" w14:textId="77777777" w:rsidR="004C26B1" w:rsidRDefault="004C26B1">
      <w:pPr>
        <w:spacing w:after="120"/>
      </w:pPr>
    </w:p>
    <w:p w14:paraId="39590664" w14:textId="77777777" w:rsidR="004C26B1" w:rsidRDefault="004C26B1">
      <w:pPr>
        <w:spacing w:after="120"/>
      </w:pPr>
    </w:p>
    <w:p w14:paraId="7D9ADF42" w14:textId="77777777" w:rsidR="00FE5174" w:rsidRDefault="00000000">
      <w:pPr>
        <w:pStyle w:val="Heading2"/>
      </w:pPr>
      <w:r>
        <w:t>3.2 Research Gap:</w:t>
      </w:r>
    </w:p>
    <w:p w14:paraId="2CB555D7" w14:textId="77777777" w:rsidR="00FE5174" w:rsidRDefault="00000000">
      <w:pPr>
        <w:spacing w:after="140" w:line="276" w:lineRule="auto"/>
        <w:jc w:val="both"/>
      </w:pPr>
      <w:r>
        <w:t>A critical survey of existing literature reveals a profound methodological divide between macroscopic post-onset classification and genuine prospective early warning. The identified research gaps are threefold:</w:t>
      </w:r>
    </w:p>
    <w:p w14:paraId="43AAD4E6" w14:textId="4092001B" w:rsidR="00FE5174" w:rsidRDefault="00000000">
      <w:pPr>
        <w:pStyle w:val="ListParagraph"/>
        <w:numPr>
          <w:ilvl w:val="0"/>
          <w:numId w:val="3"/>
        </w:numPr>
        <w:spacing w:after="100" w:line="276" w:lineRule="auto"/>
        <w:jc w:val="both"/>
      </w:pPr>
      <w:r>
        <w:t xml:space="preserve">Conflation of Classification and Warning: Existing studies on the Petrobras 3W benchmark evaluate windowed time-step F1-scores across entire event durations. Because macroscopic transient pressure drop is massive, models achieve high accuracy </w:t>
      </w:r>
      <w:proofErr w:type="spellStart"/>
      <w:r>
        <w:t>labeling</w:t>
      </w:r>
      <w:proofErr w:type="spellEnd"/>
      <w:r>
        <w:t xml:space="preserve"> time steps that occur AFTER the valve is already closed. No study evaluates prospective advance lead time prior to transient onset </w:t>
      </w:r>
      <m:oMath>
        <m:r>
          <w:rPr>
            <w:rFonts w:ascii="Cambria Math" w:hAnsi="Cambria Math"/>
          </w:rPr>
          <m:t>(T_transient)</m:t>
        </m:r>
      </m:oMath>
      <w:r>
        <w:t>.</w:t>
      </w:r>
    </w:p>
    <w:p w14:paraId="0BB65373" w14:textId="77777777" w:rsidR="00FE5174" w:rsidRDefault="00000000">
      <w:pPr>
        <w:pStyle w:val="ListParagraph"/>
        <w:numPr>
          <w:ilvl w:val="0"/>
          <w:numId w:val="3"/>
        </w:numPr>
        <w:spacing w:after="100" w:line="276" w:lineRule="auto"/>
        <w:jc w:val="both"/>
      </w:pPr>
      <w:r>
        <w:t>Absence of Operational Alarm Constraints: Published anomaly detectors report detection without measuring realized false-alarm rates during normal steady-state operation. In offshore SCADA operations, an uncalibrated detector generating multiple alarms per shift causes severe operator fatigue and is immediately decommissioned.</w:t>
      </w:r>
    </w:p>
    <w:p w14:paraId="6CAC18B9" w14:textId="77777777" w:rsidR="00FE5174" w:rsidRDefault="00000000">
      <w:pPr>
        <w:pStyle w:val="ListParagraph"/>
        <w:numPr>
          <w:ilvl w:val="0"/>
          <w:numId w:val="3"/>
        </w:numPr>
        <w:spacing w:after="100" w:line="276" w:lineRule="auto"/>
        <w:jc w:val="both"/>
      </w:pPr>
      <w:r>
        <w:t>Cross-Asset Generalization Failure: Unsupervised density models (such as LOF) model raw feature space density. Because operating pressure varies widely across physical completions (from 8.9 to 21.0 MPa), raw coordinate models suffer severe density drift when deployed across unseen wells, triggering continuous false alarms.</w:t>
      </w:r>
    </w:p>
    <w:p w14:paraId="213D6905" w14:textId="77777777" w:rsidR="00FE5174" w:rsidRDefault="00000000">
      <w:pPr>
        <w:pStyle w:val="Heading2"/>
      </w:pPr>
      <w:r>
        <w:lastRenderedPageBreak/>
        <w:t>3.3 Proposed Approach:</w:t>
      </w:r>
    </w:p>
    <w:p w14:paraId="3758A96F" w14:textId="6F11EF61" w:rsidR="00FE5174" w:rsidRDefault="00000000">
      <w:pPr>
        <w:spacing w:after="140" w:line="276" w:lineRule="auto"/>
        <w:jc w:val="both"/>
      </w:pPr>
      <w:r>
        <w:t xml:space="preserve">To address these gaps, this project proposes OILGUARD: a leak-free, alarm-constrained early warning architecture combining statistical time series forecasting (SARIMAX with dynamic exogenous temperature) and bivariate residual scoring (OILGUARD-AC). The system operates recursively: rolling 1-step-ahead forecasts establish the expected physical trajectory; standardized forecast residuals </w:t>
      </w:r>
      <m:oMath>
        <m:r>
          <w:rPr>
            <w:rFonts w:ascii="Cambria Math" w:hAnsi="Cambria Math"/>
          </w:rPr>
          <m:t>(z_P)</m:t>
        </m:r>
      </m:oMath>
      <w:r>
        <w:t xml:space="preserve"> and temperature deviations </w:t>
      </w:r>
      <m:oMath>
        <m:r>
          <w:rPr>
            <w:rFonts w:ascii="Cambria Math" w:hAnsi="Cambria Math"/>
          </w:rPr>
          <m:t>(z_T)</m:t>
        </m:r>
      </m:oMath>
      <w:r>
        <w:t xml:space="preserve"> are coupled into an elliptical score </w:t>
      </w: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m:t>
        </m:r>
        <m:rad>
          <m:radPr>
            <m:degHide m:val="1"/>
            <m:ctrlPr>
              <w:rPr>
                <w:rFonts w:ascii="Cambria Math" w:hAnsi="Cambria Math"/>
              </w:rPr>
            </m:ctrlPr>
          </m:radPr>
          <m:deg/>
          <m:e>
            <m:r>
              <w:rPr>
                <w:rFonts w:ascii="Cambria Math" w:hAnsi="Cambria Math"/>
              </w:rPr>
              <m:t>w</m:t>
            </m:r>
            <m:sSubSup>
              <m:sSubSupPr>
                <m:ctrlPr>
                  <w:rPr>
                    <w:rFonts w:ascii="Cambria Math" w:hAnsi="Cambria Math"/>
                  </w:rPr>
                </m:ctrlPr>
              </m:sSubSupPr>
              <m:e>
                <m:r>
                  <w:rPr>
                    <w:rFonts w:ascii="Cambria Math" w:hAnsi="Cambria Math"/>
                  </w:rPr>
                  <m:t>z</m:t>
                </m:r>
              </m:e>
              <m:sub>
                <m:r>
                  <w:rPr>
                    <w:rFonts w:ascii="Cambria Math" w:hAnsi="Cambria Math"/>
                  </w:rPr>
                  <m:t>P</m:t>
                </m:r>
              </m:sub>
              <m:sup>
                <m:r>
                  <w:rPr>
                    <w:rFonts w:ascii="Cambria Math" w:hAnsi="Cambria Math"/>
                  </w:rPr>
                  <m:t>2</m:t>
                </m:r>
              </m:sup>
            </m:sSubSup>
            <m:r>
              <w:rPr>
                <w:rFonts w:ascii="Cambria Math" w:hAnsi="Cambria Math"/>
              </w:rPr>
              <m:t>+</m:t>
            </m:r>
            <m:d>
              <m:dPr>
                <m:ctrlPr>
                  <w:rPr>
                    <w:rFonts w:ascii="Cambria Math" w:hAnsi="Cambria Math"/>
                  </w:rPr>
                </m:ctrlPr>
              </m:dPr>
              <m:e>
                <m:r>
                  <w:rPr>
                    <w:rFonts w:ascii="Cambria Math" w:hAnsi="Cambria Math"/>
                  </w:rPr>
                  <m:t>1-w</m:t>
                </m:r>
              </m:e>
            </m:d>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2</m:t>
                </m:r>
              </m:sup>
            </m:sSubSup>
          </m:e>
        </m:rad>
        <m:r>
          <w:rPr>
            <w:rFonts w:ascii="Cambria Math" w:hAnsi="Cambria Math"/>
          </w:rPr>
          <m:t xml:space="preserve"> </m:t>
        </m:r>
      </m:oMath>
      <w:r>
        <w:t xml:space="preserve">and alarms are latched only when persistent threshold breaches occur under a pre-calibrated operational false-alarm budget </w:t>
      </w:r>
      <m:oMath>
        <m:sSub>
          <m:sSubPr>
            <m:ctrlPr>
              <w:rPr>
                <w:rFonts w:ascii="Cambria Math" w:hAnsi="Cambria Math"/>
              </w:rPr>
            </m:ctrlPr>
          </m:sSubPr>
          <m:e>
            <m:r>
              <w:rPr>
                <w:rFonts w:ascii="Cambria Math" w:hAnsi="Cambria Math"/>
              </w:rPr>
              <m:t>B</m:t>
            </m:r>
          </m:e>
          <m:sub>
            <m:r>
              <m:rPr>
                <m:nor/>
              </m:rPr>
              <m:t>FAR</m:t>
            </m:r>
          </m:sub>
        </m:sSub>
        <m:r>
          <w:rPr>
            <w:rFonts w:ascii="Cambria Math" w:hAnsi="Cambria Math"/>
          </w:rPr>
          <m:t>≤1.0 </m:t>
        </m:r>
        <m:r>
          <m:rPr>
            <m:nor/>
          </m:rPr>
          <m:t>FA/hr</m:t>
        </m:r>
      </m:oMath>
      <w:r>
        <w:t>. The architecture is evaluated under strict Leave-One-Event-Out (LOEO-CV) and Leave-One-Well-Out (LOWO-CV) protocols to prove cross-well reliability.</w:t>
      </w:r>
    </w:p>
    <w:p w14:paraId="5F68CDD5" w14:textId="77777777" w:rsidR="00FE5174" w:rsidRDefault="00000000">
      <w:pPr>
        <w:keepNext/>
        <w:spacing w:before="120" w:after="60"/>
        <w:jc w:val="center"/>
      </w:pPr>
      <w:r>
        <w:rPr>
          <w:noProof/>
        </w:rPr>
        <w:drawing>
          <wp:inline distT="0" distB="0" distL="0" distR="0" wp14:anchorId="205A3B4E" wp14:editId="04100321">
            <wp:extent cx="5257800" cy="2935604"/>
            <wp:effectExtent l="0" t="0" r="0" b="0"/>
            <wp:docPr id="1458436541" name="Figure 3.1" descr="Figure 3.1: Subsea wellbore cutaway showing mudline (1,850m), Subsea Christmas Tree (XT), and DHSV flapper barrier."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73661" cy="2944460"/>
                    </a:xfrm>
                    <a:prstGeom prst="rect">
                      <a:avLst/>
                    </a:prstGeom>
                  </pic:spPr>
                </pic:pic>
              </a:graphicData>
            </a:graphic>
          </wp:inline>
        </w:drawing>
      </w:r>
    </w:p>
    <w:p w14:paraId="52AD3B4B" w14:textId="77777777" w:rsidR="00FE5174" w:rsidRDefault="00000000">
      <w:pPr>
        <w:spacing w:after="200"/>
        <w:jc w:val="center"/>
      </w:pPr>
      <w:r>
        <w:rPr>
          <w:i/>
          <w:iCs/>
          <w:sz w:val="22"/>
          <w:szCs w:val="22"/>
        </w:rPr>
        <w:t>Figure 3.1: Subsea wellbore cutaway showing mudline (1,850m), Subsea Christmas Tree (XT), and DHSV flapper barrier.</w:t>
      </w:r>
    </w:p>
    <w:p w14:paraId="5AC8A10F" w14:textId="77777777" w:rsidR="00FE5174" w:rsidRDefault="00000000">
      <w:pPr>
        <w:pStyle w:val="Heading1"/>
      </w:pPr>
      <w:r>
        <w:t>4. DATASET DESCRIPTION AND EXPLORATORY DATA ANALYSIS</w:t>
      </w:r>
    </w:p>
    <w:p w14:paraId="5DD79D1B" w14:textId="77777777" w:rsidR="00FE5174" w:rsidRDefault="00000000">
      <w:pPr>
        <w:pStyle w:val="Heading2"/>
      </w:pPr>
      <w:r>
        <w:t>4.1 Dataset Source</w:t>
      </w:r>
    </w:p>
    <w:p w14:paraId="33B2FAC9" w14:textId="77777777" w:rsidR="00FE5174" w:rsidRDefault="00000000">
      <w:pPr>
        <w:spacing w:after="140" w:line="276" w:lineRule="auto"/>
        <w:jc w:val="both"/>
      </w:pPr>
      <w:r>
        <w:t>The empirical evaluation is conducted on the authentic offshore production recordings of the Petrobras 3W Benchmark Dataset v2.0.0, curated and published by Petróleo Brasileiro S.A. (Petrobras). The dataset represents the premier publicly accessible repository of authentic multiphase deepwater telemetry capturing rare, catastrophic undesirable events in subsea oil wells.</w:t>
      </w:r>
    </w:p>
    <w:p w14:paraId="744BD306" w14:textId="77777777" w:rsidR="00FE5174" w:rsidRDefault="00000000">
      <w:pPr>
        <w:pStyle w:val="Heading2"/>
      </w:pPr>
      <w:r>
        <w:t>4.2 Variables and Data Description</w:t>
      </w:r>
    </w:p>
    <w:p w14:paraId="1BEB7D80" w14:textId="77777777" w:rsidR="00FE5174" w:rsidRDefault="00000000">
      <w:pPr>
        <w:spacing w:after="140" w:line="276" w:lineRule="auto"/>
        <w:jc w:val="both"/>
      </w:pPr>
      <w:r>
        <w:t>The time-series telemetry comprises continuous sensor streams sampled at 1 Hz from permanent downhole gauges:</w:t>
      </w:r>
    </w:p>
    <w:p w14:paraId="343A55C4" w14:textId="77777777" w:rsidR="00FE5174" w:rsidRDefault="00000000">
      <w:pPr>
        <w:pStyle w:val="ListParagraph"/>
        <w:numPr>
          <w:ilvl w:val="0"/>
          <w:numId w:val="2"/>
        </w:numPr>
        <w:spacing w:after="100" w:line="276" w:lineRule="auto"/>
        <w:jc w:val="both"/>
      </w:pPr>
      <w:r>
        <w:rPr>
          <w:b/>
          <w:bCs/>
        </w:rPr>
        <w:t xml:space="preserve">Target Variable (P-TPT): </w:t>
      </w:r>
      <w:r>
        <w:t xml:space="preserve">Downhole pressure measured at the </w:t>
      </w:r>
      <w:proofErr w:type="spellStart"/>
      <w:r>
        <w:t>Transdutor</w:t>
      </w:r>
      <w:proofErr w:type="spellEnd"/>
      <w:r>
        <w:t xml:space="preserve"> de </w:t>
      </w:r>
      <w:proofErr w:type="spellStart"/>
      <w:r>
        <w:t>Pressão</w:t>
      </w:r>
      <w:proofErr w:type="spellEnd"/>
      <w:r>
        <w:t xml:space="preserve"> e </w:t>
      </w:r>
      <w:proofErr w:type="spellStart"/>
      <w:r>
        <w:t>Temperatura</w:t>
      </w:r>
      <w:proofErr w:type="spellEnd"/>
      <w:r>
        <w:t xml:space="preserve"> (TPT) located directly upstream/downstream of the completion, scaled to Megapascals (MPa).</w:t>
      </w:r>
    </w:p>
    <w:p w14:paraId="3CF917DF" w14:textId="77777777" w:rsidR="00FE5174" w:rsidRDefault="00000000">
      <w:pPr>
        <w:pStyle w:val="ListParagraph"/>
        <w:numPr>
          <w:ilvl w:val="0"/>
          <w:numId w:val="2"/>
        </w:numPr>
        <w:spacing w:after="100" w:line="276" w:lineRule="auto"/>
        <w:jc w:val="both"/>
      </w:pPr>
      <w:r>
        <w:rPr>
          <w:b/>
          <w:bCs/>
        </w:rPr>
        <w:t xml:space="preserve">Dynamic Exogenous Variable (T-TPT): </w:t>
      </w:r>
      <w:r>
        <w:t>Downhole temperature measured at the TPT gauge, recorded in degrees Celsius (°C).</w:t>
      </w:r>
    </w:p>
    <w:p w14:paraId="3B158D6B" w14:textId="77777777" w:rsidR="00FE5174" w:rsidRDefault="00000000">
      <w:pPr>
        <w:pStyle w:val="ListParagraph"/>
        <w:numPr>
          <w:ilvl w:val="0"/>
          <w:numId w:val="2"/>
        </w:numPr>
        <w:spacing w:after="100" w:line="276" w:lineRule="auto"/>
        <w:jc w:val="both"/>
      </w:pPr>
      <w:r>
        <w:rPr>
          <w:b/>
          <w:bCs/>
        </w:rPr>
        <w:lastRenderedPageBreak/>
        <w:t xml:space="preserve">Ground Truth State Labels: </w:t>
      </w:r>
      <w:r>
        <w:t>Annotated by expert offshore petroleum engineers into Class 0 (steady-state normal production), Class 102 (incipient transient degradation), and Class 2 (steady spurious shut-in state).</w:t>
      </w:r>
    </w:p>
    <w:p w14:paraId="44DF1FAE" w14:textId="77777777" w:rsidR="00FE5174" w:rsidRDefault="00000000">
      <w:pPr>
        <w:pStyle w:val="Heading2"/>
      </w:pPr>
      <w:r>
        <w:t>4.3 Data Preparation:</w:t>
      </w:r>
    </w:p>
    <w:p w14:paraId="2FD498FB" w14:textId="77777777" w:rsidR="00FE5174" w:rsidRDefault="00000000">
      <w:pPr>
        <w:spacing w:after="140" w:line="276" w:lineRule="auto"/>
        <w:jc w:val="both"/>
      </w:pPr>
      <w:r>
        <w:t>The data preparation pipeline enforces strict operational realism and data hygiene:</w:t>
      </w:r>
    </w:p>
    <w:p w14:paraId="09FD90E8" w14:textId="77777777" w:rsidR="00FE5174" w:rsidRDefault="00000000">
      <w:pPr>
        <w:pStyle w:val="ListParagraph"/>
        <w:numPr>
          <w:ilvl w:val="0"/>
          <w:numId w:val="4"/>
        </w:numPr>
        <w:spacing w:after="100" w:line="276" w:lineRule="auto"/>
        <w:jc w:val="both"/>
      </w:pPr>
      <w:r>
        <w:t>Uniform Resampling: High-frequency 1 Hz streams are resampled to 10-second uniform intervals, attenuating turbulent high-frequency acoustic sensor jitter while preserving mechanical throttling signatures.</w:t>
      </w:r>
    </w:p>
    <w:p w14:paraId="5FACBED7" w14:textId="77777777" w:rsidR="00FE5174" w:rsidRDefault="00000000">
      <w:pPr>
        <w:pStyle w:val="ListParagraph"/>
        <w:numPr>
          <w:ilvl w:val="0"/>
          <w:numId w:val="4"/>
        </w:numPr>
        <w:spacing w:after="100" w:line="276" w:lineRule="auto"/>
        <w:jc w:val="both"/>
      </w:pPr>
      <w:r>
        <w:t>Missing Data Handling: Forward-fill interpolation is bounded to a maximum of 6 consecutive missing samples (60 seconds); any longer sensor dropouts trigger event disqualification.</w:t>
      </w:r>
    </w:p>
    <w:p w14:paraId="01221E8B" w14:textId="352D6D96" w:rsidR="00FE5174" w:rsidRDefault="00000000">
      <w:pPr>
        <w:pStyle w:val="ListParagraph"/>
        <w:numPr>
          <w:ilvl w:val="0"/>
          <w:numId w:val="4"/>
        </w:numPr>
        <w:spacing w:after="100" w:line="276" w:lineRule="auto"/>
        <w:jc w:val="both"/>
      </w:pPr>
      <w:r>
        <w:t xml:space="preserve">Forensic Candidate Screening: All </w:t>
      </w:r>
      <w:proofErr w:type="gramStart"/>
      <w:r>
        <w:t>22 candidate</w:t>
      </w:r>
      <w:proofErr w:type="gramEnd"/>
      <w:r>
        <w:t xml:space="preserve"> Class 2 instances in the 3W dataset were forensically audited. Three corrupted files were removed: WELL-00010_20171218180131 (unusable load failure; missing pressure sensor), WELL-00011_20140515083000 (unrecorded sensor gap of </w:t>
      </w:r>
      <m:oMath>
        <m:r>
          <w:rPr>
            <w:rFonts w:ascii="Cambria Math" w:hAnsi="Cambria Math"/>
          </w:rPr>
          <m:t>1608 </m:t>
        </m:r>
        <m:r>
          <m:rPr>
            <m:sty m:val="p"/>
          </m:rPr>
          <w:rPr>
            <w:rFonts w:ascii="Cambria Math" w:hAnsi="Cambria Math"/>
          </w:rPr>
          <m:t>s</m:t>
        </m:r>
        <m:r>
          <w:rPr>
            <w:rFonts w:ascii="Cambria Math" w:hAnsi="Cambria Math"/>
          </w:rPr>
          <m:t>&gt;10 </m:t>
        </m:r>
        <m:r>
          <m:rPr>
            <m:sty m:val="p"/>
          </m:rPr>
          <w:rPr>
            <w:rFonts w:ascii="Cambria Math" w:hAnsi="Cambria Math"/>
          </w:rPr>
          <m:t>min</m:t>
        </m:r>
      </m:oMath>
      <w:r>
        <w:t xml:space="preserve">), and WELL-00002_20131104004101 (zero normal variance flatline sensor failure, </w:t>
      </w:r>
      <m:oMath>
        <m:r>
          <w:rPr>
            <w:rFonts w:ascii="Cambria Math" w:hAnsi="Cambria Math"/>
          </w:rPr>
          <m:t>σ=0.0 </m:t>
        </m:r>
        <m:r>
          <m:rPr>
            <m:nor/>
          </m:rPr>
          <m:t>MPa</m:t>
        </m:r>
      </m:oMath>
      <w:r>
        <w:t>). This establishes an audited gold-standard cohort of exactly 19 authentic events originating from 5 distinct physical wells (WELL-00003: 3 events, WELL-00009: 1 event, WELL-00011: 12 events, WELL-00012: 2 events, WELL-00013: 1 event).</w:t>
      </w:r>
    </w:p>
    <w:p w14:paraId="14FA6535" w14:textId="77777777" w:rsidR="00FE5174" w:rsidRDefault="00000000">
      <w:pPr>
        <w:pStyle w:val="ListParagraph"/>
        <w:numPr>
          <w:ilvl w:val="0"/>
          <w:numId w:val="4"/>
        </w:numPr>
        <w:spacing w:after="100" w:line="276" w:lineRule="auto"/>
        <w:jc w:val="both"/>
      </w:pPr>
      <w:r>
        <w:t>Chronological Splitting: Each event is split strictly chronologically: 60% training (for ARIMA/SARIMAX parameter fitting), 20% calibration (for threshold estimation under false-alarm constraints), and 20% holdout testing.</w:t>
      </w:r>
    </w:p>
    <w:p w14:paraId="4BD5352C" w14:textId="77777777" w:rsidR="004C26B1" w:rsidRDefault="004C26B1" w:rsidP="004C26B1">
      <w:pPr>
        <w:spacing w:after="100" w:line="276" w:lineRule="auto"/>
        <w:jc w:val="both"/>
      </w:pPr>
    </w:p>
    <w:p w14:paraId="33A4FA87" w14:textId="77777777" w:rsidR="004C26B1" w:rsidRDefault="004C26B1" w:rsidP="004C26B1">
      <w:pPr>
        <w:spacing w:after="100" w:line="276" w:lineRule="auto"/>
        <w:jc w:val="both"/>
      </w:pPr>
    </w:p>
    <w:p w14:paraId="65096A42" w14:textId="77777777" w:rsidR="00FE5174" w:rsidRDefault="00000000">
      <w:pPr>
        <w:pStyle w:val="Heading2"/>
      </w:pPr>
      <w:r>
        <w:t>4.4 Exploratory Data Analysis:</w:t>
      </w:r>
    </w:p>
    <w:p w14:paraId="350F7DDA" w14:textId="77777777" w:rsidR="00FE5174" w:rsidRDefault="00000000">
      <w:pPr>
        <w:spacing w:after="140" w:line="276" w:lineRule="auto"/>
        <w:jc w:val="both"/>
      </w:pPr>
      <w:r>
        <w:t>Exploratory Data Analysis (EDA) reveals critical temporal properties governing offshore pressure telemetry:</w:t>
      </w:r>
    </w:p>
    <w:p w14:paraId="2E5BE618" w14:textId="77777777" w:rsidR="00FE5174" w:rsidRDefault="00000000">
      <w:pPr>
        <w:pStyle w:val="ListParagraph"/>
        <w:numPr>
          <w:ilvl w:val="0"/>
          <w:numId w:val="2"/>
        </w:numPr>
        <w:spacing w:after="100" w:line="276" w:lineRule="auto"/>
        <w:jc w:val="both"/>
      </w:pPr>
      <w:r>
        <w:rPr>
          <w:b/>
          <w:bCs/>
        </w:rPr>
        <w:t xml:space="preserve">Trend and Seasonality: </w:t>
      </w:r>
      <w:r>
        <w:t>Normal production displays steady mean pressure governed by reservoir drive and surface choke backpressure, with minor cyclical fluctuations from multiphase slugging.</w:t>
      </w:r>
    </w:p>
    <w:p w14:paraId="1696EEA7" w14:textId="77777777" w:rsidR="00FE5174" w:rsidRDefault="00000000">
      <w:pPr>
        <w:pStyle w:val="ListParagraph"/>
        <w:numPr>
          <w:ilvl w:val="0"/>
          <w:numId w:val="2"/>
        </w:numPr>
        <w:spacing w:after="100" w:line="276" w:lineRule="auto"/>
        <w:jc w:val="both"/>
      </w:pPr>
      <w:r>
        <w:rPr>
          <w:b/>
          <w:bCs/>
        </w:rPr>
        <w:t xml:space="preserve">Autocorrelation Function (ACF): </w:t>
      </w:r>
      <w:r>
        <w:t xml:space="preserve">ACF of raw pressure displays very slow linear decay across lags 1 to 60, indicating strong non-stationarity and integrated stochastic </w:t>
      </w:r>
      <w:proofErr w:type="spellStart"/>
      <w:r>
        <w:t>behavior</w:t>
      </w:r>
      <w:proofErr w:type="spellEnd"/>
      <w:r>
        <w:t>.</w:t>
      </w:r>
    </w:p>
    <w:p w14:paraId="374E3E88" w14:textId="6D7E0866" w:rsidR="00FE5174" w:rsidRDefault="00000000">
      <w:pPr>
        <w:pStyle w:val="ListParagraph"/>
        <w:numPr>
          <w:ilvl w:val="0"/>
          <w:numId w:val="2"/>
        </w:numPr>
        <w:spacing w:after="100" w:line="276" w:lineRule="auto"/>
        <w:jc w:val="both"/>
      </w:pPr>
      <w:r>
        <w:rPr>
          <w:b/>
          <w:bCs/>
        </w:rPr>
        <w:t xml:space="preserve">Partial Autocorrelation Function (PACF): </w:t>
      </w:r>
      <w:r>
        <w:t xml:space="preserve">PACF cuts off sharply after lag 1, confirming that downhole pressure dynamics follow a dominant first-order autoregressive process </w:t>
      </w:r>
      <m:oMath>
        <m:func>
          <m:funcPr>
            <m:ctrlPr>
              <w:rPr>
                <w:rFonts w:ascii="Cambria Math" w:hAnsi="Cambria Math"/>
              </w:rPr>
            </m:ctrlPr>
          </m:funcPr>
          <m:fName>
            <m:r>
              <m:rPr>
                <m:sty m:val="p"/>
              </m:rPr>
              <w:rPr>
                <w:rFonts w:ascii="Cambria Math" w:hAnsi="Cambria Math"/>
              </w:rPr>
              <m:t>AR</m:t>
            </m:r>
          </m:fName>
          <m:e>
            <m:d>
              <m:dPr>
                <m:ctrlPr>
                  <w:rPr>
                    <w:rFonts w:ascii="Cambria Math" w:hAnsi="Cambria Math"/>
                  </w:rPr>
                </m:ctrlPr>
              </m:dPr>
              <m:e>
                <m:r>
                  <w:rPr>
                    <w:rFonts w:ascii="Cambria Math" w:hAnsi="Cambria Math"/>
                  </w:rPr>
                  <m:t>1</m:t>
                </m:r>
              </m:e>
            </m:d>
          </m:e>
        </m:func>
      </m:oMath>
      <w:r>
        <w:t xml:space="preserve">with first-order integration </w:t>
      </w:r>
      <w:r w:rsidR="0001264E" w:rsidRPr="0001264E">
        <w:t>d=1</w:t>
      </w:r>
      <w:r>
        <w:t>.</w:t>
      </w:r>
    </w:p>
    <w:p w14:paraId="4FC1B448" w14:textId="26FE09ED" w:rsidR="00FE5174" w:rsidRDefault="00000000">
      <w:pPr>
        <w:pStyle w:val="ListParagraph"/>
        <w:numPr>
          <w:ilvl w:val="0"/>
          <w:numId w:val="2"/>
        </w:numPr>
        <w:spacing w:after="100" w:line="276" w:lineRule="auto"/>
        <w:jc w:val="both"/>
      </w:pPr>
      <w:r>
        <w:rPr>
          <w:b/>
          <w:bCs/>
        </w:rPr>
        <w:t xml:space="preserve">Stationarity Testing: </w:t>
      </w:r>
      <w:r>
        <w:t xml:space="preserve">Statistical stationarity was tested using the Augmented Dickey-Fuller (ADF) and Kwiatkowski-Phillips-Schmidt-Shin (KPSS) tests. Raw downhole pressure is non-stationary (ADF test statistic: -2.14, p-value: 0.228; KPSS </w:t>
      </w:r>
      <m:oMath>
        <m:r>
          <w:rPr>
            <w:rFonts w:ascii="Cambria Math" w:hAnsi="Cambria Math"/>
          </w:rPr>
          <m:t>p&lt;0.01</m:t>
        </m:r>
      </m:oMath>
      <w:r>
        <w:t>). Upon first-order differencing (d=1), the series becomes strictly stationary (ADF test statistic: -14.62,</w:t>
      </w:r>
      <w:r w:rsidR="0001264E">
        <w:t xml:space="preserve"> </w:t>
      </w:r>
      <m:oMath>
        <m:r>
          <w:rPr>
            <w:rFonts w:ascii="Cambria Math" w:hAnsi="Cambria Math"/>
          </w:rPr>
          <m:t>p&lt;0.0001</m:t>
        </m:r>
      </m:oMath>
      <w:r>
        <w:t xml:space="preserve">; KPSS test statistic: 0.084, </w:t>
      </w:r>
      <m:oMath>
        <m:r>
          <w:rPr>
            <w:rFonts w:ascii="Cambria Math" w:hAnsi="Cambria Math"/>
          </w:rPr>
          <m:t>p&gt;0.10</m:t>
        </m:r>
      </m:oMath>
      <w:r>
        <w:t>, establishing d=1 for all forecasting models.</w:t>
      </w:r>
    </w:p>
    <w:p w14:paraId="552E15EE" w14:textId="77777777" w:rsidR="00FE5174" w:rsidRDefault="00000000">
      <w:pPr>
        <w:pStyle w:val="Heading1"/>
      </w:pPr>
      <w:r>
        <w:lastRenderedPageBreak/>
        <w:t>5. BASELINE FORECASTING MODEL</w:t>
      </w:r>
    </w:p>
    <w:p w14:paraId="640C3B41" w14:textId="77777777" w:rsidR="00FE5174" w:rsidRDefault="00000000">
      <w:pPr>
        <w:pStyle w:val="Heading2"/>
      </w:pPr>
      <w:r>
        <w:t>5.1 Model Selection:</w:t>
      </w:r>
    </w:p>
    <w:p w14:paraId="66F1E14B" w14:textId="77777777" w:rsidR="00FE5174" w:rsidRDefault="00000000">
      <w:pPr>
        <w:spacing w:after="140" w:line="276" w:lineRule="auto"/>
        <w:jc w:val="both"/>
      </w:pPr>
      <w:r>
        <w:t>Two baseline forecasting architectures are selected for benchmark comparison:</w:t>
      </w:r>
    </w:p>
    <w:p w14:paraId="685CE983" w14:textId="57D1C4B1" w:rsidR="00FE5174" w:rsidRDefault="00000000">
      <w:pPr>
        <w:pStyle w:val="ListParagraph"/>
        <w:numPr>
          <w:ilvl w:val="0"/>
          <w:numId w:val="5"/>
        </w:numPr>
        <w:spacing w:after="100" w:line="276" w:lineRule="auto"/>
        <w:jc w:val="both"/>
      </w:pPr>
      <w:r>
        <w:t xml:space="preserve">Industrial Naive Persistence Baseline: Predicts that the next pressure reading equals the current reading: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oMath>
      <w:r>
        <w:t>. This represents the universal operational baseline used across offshore SCADA systems.</w:t>
      </w:r>
    </w:p>
    <w:p w14:paraId="4F773CAD" w14:textId="4A44FA55" w:rsidR="00FE5174" w:rsidRDefault="00000000">
      <w:pPr>
        <w:pStyle w:val="ListParagraph"/>
        <w:numPr>
          <w:ilvl w:val="0"/>
          <w:numId w:val="5"/>
        </w:numPr>
        <w:spacing w:after="100" w:line="276" w:lineRule="auto"/>
        <w:jc w:val="both"/>
      </w:pPr>
      <w:r>
        <w:t xml:space="preserve">Univariate </w:t>
      </w:r>
      <m:oMath>
        <m:func>
          <m:funcPr>
            <m:ctrlPr>
              <w:rPr>
                <w:rFonts w:ascii="Cambria Math" w:hAnsi="Cambria Math"/>
              </w:rPr>
            </m:ctrlPr>
          </m:funcPr>
          <m:fName>
            <m:r>
              <m:rPr>
                <m:sty m:val="p"/>
              </m:rPr>
              <w:rPr>
                <w:rFonts w:ascii="Cambria Math" w:hAnsi="Cambria Math"/>
              </w:rPr>
              <m:t>ARIMA</m:t>
            </m:r>
          </m:fName>
          <m:e>
            <m:d>
              <m:dPr>
                <m:ctrlPr>
                  <w:rPr>
                    <w:rFonts w:ascii="Cambria Math" w:hAnsi="Cambria Math"/>
                  </w:rPr>
                </m:ctrlPr>
              </m:dPr>
              <m:e>
                <m:r>
                  <w:rPr>
                    <w:rFonts w:ascii="Cambria Math" w:hAnsi="Cambria Math"/>
                  </w:rPr>
                  <m:t>1,1,1</m:t>
                </m:r>
              </m:e>
            </m:d>
          </m:e>
        </m:func>
      </m:oMath>
      <w:r>
        <w:t>: The classical Box-Jenkins autoregressive integrated moving average model, modeling pressure dynamics exclusively from historical pressure observations.</w:t>
      </w:r>
    </w:p>
    <w:p w14:paraId="2C5F9CE1" w14:textId="77777777" w:rsidR="00FE5174" w:rsidRDefault="00000000">
      <w:pPr>
        <w:pStyle w:val="Heading2"/>
      </w:pPr>
      <w:r>
        <w:t>5.2 Model Methodology:</w:t>
      </w:r>
    </w:p>
    <w:p w14:paraId="32E2EA31" w14:textId="32F74B5D" w:rsidR="00FE5174" w:rsidRDefault="00000000">
      <w:pPr>
        <w:spacing w:after="140" w:line="276" w:lineRule="auto"/>
        <w:jc w:val="both"/>
      </w:pPr>
      <w:r>
        <w:t xml:space="preserve">The mathematical formulation of the baseline </w:t>
      </w:r>
      <m:oMath>
        <m:func>
          <m:funcPr>
            <m:ctrlPr>
              <w:rPr>
                <w:rFonts w:ascii="Cambria Math" w:hAnsi="Cambria Math"/>
              </w:rPr>
            </m:ctrlPr>
          </m:funcPr>
          <m:fName>
            <m:r>
              <m:rPr>
                <m:sty m:val="p"/>
              </m:rPr>
              <w:rPr>
                <w:rFonts w:ascii="Cambria Math" w:hAnsi="Cambria Math"/>
              </w:rPr>
              <m:t>ARIMA</m:t>
            </m:r>
          </m:fName>
          <m:e>
            <m:d>
              <m:dPr>
                <m:ctrlPr>
                  <w:rPr>
                    <w:rFonts w:ascii="Cambria Math" w:hAnsi="Cambria Math"/>
                  </w:rPr>
                </m:ctrlPr>
              </m:dPr>
              <m:e>
                <m:r>
                  <w:rPr>
                    <w:rFonts w:ascii="Cambria Math" w:hAnsi="Cambria Math"/>
                  </w:rPr>
                  <m:t>1,1,1</m:t>
                </m:r>
              </m:e>
            </m:d>
          </m:e>
        </m:func>
      </m:oMath>
      <w:r>
        <w:t xml:space="preserve"> model is defined by:</w:t>
      </w:r>
    </w:p>
    <w:p w14:paraId="463F34B0" w14:textId="6B74B1F9" w:rsidR="00FE5174" w:rsidRDefault="0027210B" w:rsidP="0027210B">
      <w:pPr>
        <w:keepLines/>
        <w:shd w:val="clear" w:color="auto" w:fill="F2F2F2"/>
        <w:spacing w:before="60" w:after="160" w:line="260" w:lineRule="auto"/>
        <w:ind w:left="720" w:right="360"/>
        <w:jc w:val="center"/>
      </w:pPr>
      <m:oMathPara>
        <m:oMath>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B</m:t>
              </m:r>
            </m:e>
          </m:d>
          <m:sSup>
            <m:sSupPr>
              <m:ctrlPr>
                <w:rPr>
                  <w:rFonts w:ascii="Cambria Math" w:hAnsi="Cambria Math"/>
                </w:rPr>
              </m:ctrlPr>
            </m:sSupPr>
            <m:e>
              <m:d>
                <m:dPr>
                  <m:ctrlPr>
                    <w:rPr>
                      <w:rFonts w:ascii="Cambria Math" w:hAnsi="Cambria Math"/>
                    </w:rPr>
                  </m:ctrlPr>
                </m:dPr>
                <m:e>
                  <m:r>
                    <w:rPr>
                      <w:rFonts w:ascii="Cambria Math" w:hAnsi="Cambria Math"/>
                    </w:rPr>
                    <m:t>1-B</m:t>
                  </m:r>
                </m:e>
              </m:d>
            </m:e>
            <m:sup>
              <m:r>
                <w:rPr>
                  <w:rFonts w:ascii="Cambria Math" w:hAnsi="Cambria Math"/>
                </w:rPr>
                <m:t>d</m:t>
              </m:r>
            </m:sup>
          </m:sSup>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B</m:t>
              </m:r>
            </m:e>
          </m:d>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01D52A72" w14:textId="20C24AD5" w:rsidR="00FE5174" w:rsidRDefault="00000000">
      <w:pPr>
        <w:spacing w:after="140" w:line="276" w:lineRule="auto"/>
        <w:jc w:val="both"/>
      </w:pPr>
      <w:r>
        <w:t xml:space="preserve">where </w:t>
      </w:r>
      <w:r w:rsidR="0027210B" w:rsidRPr="0027210B">
        <w:t>B</w:t>
      </w:r>
      <w:r w:rsidR="0027210B">
        <w:t xml:space="preserve"> </w:t>
      </w:r>
      <w:r>
        <w:t xml:space="preserve">is the backshift operator </w:t>
      </w:r>
      <w:r w:rsidR="0027210B" w:rsidRPr="0027210B">
        <w:t>(</w:t>
      </w:r>
      <m:oMath>
        <m:sSup>
          <m:sSupPr>
            <m:ctrlPr>
              <w:rPr>
                <w:rFonts w:ascii="Cambria Math" w:hAnsi="Cambria Math"/>
              </w:rPr>
            </m:ctrlPr>
          </m:sSupPr>
          <m:e>
            <m:r>
              <w:rPr>
                <w:rFonts w:ascii="Cambria Math" w:hAnsi="Cambria Math"/>
              </w:rPr>
              <m:t>B</m:t>
            </m:r>
          </m:e>
          <m:sup>
            <m:r>
              <w:rPr>
                <w:rFonts w:ascii="Cambria Math" w:hAnsi="Cambria Math"/>
              </w:rPr>
              <m:t>k</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t-k</m:t>
            </m:r>
          </m:sub>
        </m:sSub>
      </m:oMath>
      <w:r w:rsidR="0027210B" w:rsidRPr="0027210B">
        <w:t>)</w:t>
      </w:r>
      <w:r>
        <w:t xml:space="preserve">, phi_1 is the autoregressive coefficient, theta_1 is the moving average coefficient, d=1 is the differencing order, and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e>
        </m:d>
      </m:oMath>
      <w:r>
        <w:t>represents Gaussian white noise. Parameter estimation is performed via maximum likelihood estimation (MLE) over the 60% training partition, with model orders verified through Akaike Information Criterion (AIC) minimization.</w:t>
      </w:r>
    </w:p>
    <w:p w14:paraId="69C9F71B" w14:textId="77777777" w:rsidR="00FE5174" w:rsidRDefault="00000000">
      <w:pPr>
        <w:pStyle w:val="Heading2"/>
      </w:pPr>
      <w:r>
        <w:t>5.3 Implementation:</w:t>
      </w:r>
    </w:p>
    <w:p w14:paraId="6B0051C1" w14:textId="77777777" w:rsidR="00FE5174" w:rsidRDefault="00000000">
      <w:pPr>
        <w:spacing w:after="140" w:line="276" w:lineRule="auto"/>
        <w:jc w:val="both"/>
      </w:pPr>
      <w:r>
        <w:t xml:space="preserve">The baseline models are implemented in Python using </w:t>
      </w:r>
      <w:proofErr w:type="spellStart"/>
      <w:r>
        <w:t>statsmodels</w:t>
      </w:r>
      <w:proofErr w:type="spellEnd"/>
      <w:r>
        <w:t xml:space="preserve"> (v0.15.0). A rolling 1-step-ahead recursive forecasting generator operates prospectively across holdout test slices:</w:t>
      </w:r>
    </w:p>
    <w:p w14:paraId="064D54D3" w14:textId="77777777" w:rsidR="00FE5174" w:rsidRDefault="00000000">
      <w:pPr>
        <w:keepNext/>
        <w:keepLines/>
        <w:shd w:val="clear" w:color="auto" w:fill="F2F2F2"/>
        <w:spacing w:before="60" w:line="260" w:lineRule="auto"/>
        <w:ind w:left="720" w:righ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statsmodels.tsa.arima</w:t>
      </w:r>
      <w:proofErr w:type="gramEnd"/>
      <w:r>
        <w:rPr>
          <w:rFonts w:ascii="Courier New" w:eastAsia="Courier New" w:hAnsi="Courier New" w:cs="Courier New"/>
          <w:sz w:val="20"/>
          <w:szCs w:val="20"/>
        </w:rPr>
        <w:t>.model</w:t>
      </w:r>
      <w:proofErr w:type="spellEnd"/>
      <w:r>
        <w:rPr>
          <w:rFonts w:ascii="Courier New" w:eastAsia="Courier New" w:hAnsi="Courier New" w:cs="Courier New"/>
          <w:sz w:val="20"/>
          <w:szCs w:val="20"/>
        </w:rPr>
        <w:t xml:space="preserve"> import ARIMA</w:t>
      </w:r>
    </w:p>
    <w:p w14:paraId="5FBBD1EE" w14:textId="77777777" w:rsidR="00FE5174" w:rsidRDefault="00000000">
      <w:pPr>
        <w:keepNext/>
        <w:keepLines/>
        <w:shd w:val="clear" w:color="auto" w:fill="F2F2F2"/>
        <w:spacing w:line="260" w:lineRule="auto"/>
        <w:ind w:left="720" w:right="360"/>
      </w:pPr>
      <w:r>
        <w:rPr>
          <w:rFonts w:ascii="Courier New" w:eastAsia="Courier New" w:hAnsi="Courier New" w:cs="Courier New"/>
          <w:sz w:val="20"/>
          <w:szCs w:val="20"/>
        </w:rPr>
        <w:t xml:space="preserve">model = </w:t>
      </w:r>
      <w:proofErr w:type="gramStart"/>
      <w:r>
        <w:rPr>
          <w:rFonts w:ascii="Courier New" w:eastAsia="Courier New" w:hAnsi="Courier New" w:cs="Courier New"/>
          <w:sz w:val="20"/>
          <w:szCs w:val="20"/>
        </w:rPr>
        <w:t>ARIMA(</w:t>
      </w:r>
      <w:proofErr w:type="spellStart"/>
      <w:proofErr w:type="gramEnd"/>
      <w:r>
        <w:rPr>
          <w:rFonts w:ascii="Courier New" w:eastAsia="Courier New" w:hAnsi="Courier New" w:cs="Courier New"/>
          <w:sz w:val="20"/>
          <w:szCs w:val="20"/>
        </w:rPr>
        <w:t>train_p</w:t>
      </w:r>
      <w:proofErr w:type="spellEnd"/>
      <w:r>
        <w:rPr>
          <w:rFonts w:ascii="Courier New" w:eastAsia="Courier New" w:hAnsi="Courier New" w:cs="Courier New"/>
          <w:sz w:val="20"/>
          <w:szCs w:val="20"/>
        </w:rPr>
        <w:t>, order</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 1, 1), trend='n')</w:t>
      </w:r>
    </w:p>
    <w:p w14:paraId="437188E7" w14:textId="77777777" w:rsidR="00FE5174" w:rsidRDefault="00000000">
      <w:pPr>
        <w:keepNext/>
        <w:keepLines/>
        <w:shd w:val="clear" w:color="auto" w:fill="F2F2F2"/>
        <w:spacing w:line="260" w:lineRule="auto"/>
        <w:ind w:left="720" w:right="360"/>
      </w:pPr>
      <w:r>
        <w:rPr>
          <w:rFonts w:ascii="Courier New" w:eastAsia="Courier New" w:hAnsi="Courier New" w:cs="Courier New"/>
          <w:sz w:val="20"/>
          <w:szCs w:val="20"/>
        </w:rPr>
        <w:t xml:space="preserve">res = </w:t>
      </w:r>
      <w:proofErr w:type="spellStart"/>
      <w:proofErr w:type="gramStart"/>
      <w:r>
        <w:rPr>
          <w:rFonts w:ascii="Courier New" w:eastAsia="Courier New" w:hAnsi="Courier New" w:cs="Courier New"/>
          <w:sz w:val="20"/>
          <w:szCs w:val="20"/>
        </w:rPr>
        <w:t>model.fit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59DDFE7" w14:textId="77777777" w:rsidR="00FE5174" w:rsidRDefault="00000000">
      <w:pPr>
        <w:keepNext/>
        <w:keepLines/>
        <w:shd w:val="clear" w:color="auto" w:fill="F2F2F2"/>
        <w:spacing w:line="260" w:lineRule="auto"/>
        <w:ind w:left="720" w:right="360"/>
      </w:pPr>
      <w:r>
        <w:rPr>
          <w:rFonts w:ascii="Courier New" w:eastAsia="Courier New" w:hAnsi="Courier New" w:cs="Courier New"/>
          <w:sz w:val="20"/>
          <w:szCs w:val="20"/>
        </w:rPr>
        <w:t xml:space="preserve">forecast = </w:t>
      </w:r>
      <w:proofErr w:type="spellStart"/>
      <w:proofErr w:type="gramStart"/>
      <w:r>
        <w:rPr>
          <w:rFonts w:ascii="Courier New" w:eastAsia="Courier New" w:hAnsi="Courier New" w:cs="Courier New"/>
          <w:sz w:val="20"/>
          <w:szCs w:val="20"/>
        </w:rPr>
        <w:t>res.forecast</w:t>
      </w:r>
      <w:proofErr w:type="spellEnd"/>
      <w:proofErr w:type="gramEnd"/>
      <w:r>
        <w:rPr>
          <w:rFonts w:ascii="Courier New" w:eastAsia="Courier New" w:hAnsi="Courier New" w:cs="Courier New"/>
          <w:sz w:val="20"/>
          <w:szCs w:val="20"/>
        </w:rPr>
        <w:t>(steps=1)</w:t>
      </w:r>
    </w:p>
    <w:p w14:paraId="44A3A6E4" w14:textId="77777777" w:rsidR="00FE5174" w:rsidRDefault="00000000">
      <w:pPr>
        <w:keepLines/>
        <w:shd w:val="clear" w:color="auto" w:fill="F2F2F2"/>
        <w:spacing w:after="160" w:line="260" w:lineRule="auto"/>
        <w:ind w:left="720" w:right="360"/>
      </w:pPr>
      <w:r>
        <w:rPr>
          <w:rFonts w:ascii="Courier New" w:eastAsia="Courier New" w:hAnsi="Courier New" w:cs="Courier New"/>
          <w:sz w:val="20"/>
          <w:szCs w:val="20"/>
        </w:rPr>
        <w:t xml:space="preserve">residual = </w:t>
      </w:r>
      <w:proofErr w:type="spellStart"/>
      <w:r>
        <w:rPr>
          <w:rFonts w:ascii="Courier New" w:eastAsia="Courier New" w:hAnsi="Courier New" w:cs="Courier New"/>
          <w:sz w:val="20"/>
          <w:szCs w:val="20"/>
        </w:rPr>
        <w:t>actual_p</w:t>
      </w:r>
      <w:proofErr w:type="spellEnd"/>
      <w:r>
        <w:rPr>
          <w:rFonts w:ascii="Courier New" w:eastAsia="Courier New" w:hAnsi="Courier New" w:cs="Courier New"/>
          <w:sz w:val="20"/>
          <w:szCs w:val="20"/>
        </w:rPr>
        <w:t xml:space="preserve"> - forecast</w:t>
      </w:r>
    </w:p>
    <w:p w14:paraId="554649F9" w14:textId="77777777" w:rsidR="00FE5174" w:rsidRDefault="00000000">
      <w:pPr>
        <w:spacing w:after="140" w:line="276" w:lineRule="auto"/>
        <w:jc w:val="both"/>
      </w:pPr>
      <w:r>
        <w:t>Residuals are computed at each time step without future data leakage.</w:t>
      </w:r>
    </w:p>
    <w:p w14:paraId="0490CACC" w14:textId="77777777" w:rsidR="00FE5174" w:rsidRDefault="00000000">
      <w:pPr>
        <w:pStyle w:val="Heading2"/>
      </w:pPr>
      <w:r>
        <w:t>5.4 Baseline Results:</w:t>
      </w:r>
    </w:p>
    <w:p w14:paraId="197F196C" w14:textId="77777777" w:rsidR="00FE5174" w:rsidRDefault="00000000">
      <w:pPr>
        <w:spacing w:after="140" w:line="276" w:lineRule="auto"/>
        <w:jc w:val="both"/>
      </w:pPr>
      <w:r>
        <w:t xml:space="preserve">Evaluating rolling 1-step-ahead forecasts over untouched holdout test splits across all 19 gold events demonstrates that statistical </w:t>
      </w:r>
      <w:proofErr w:type="spellStart"/>
      <w:r>
        <w:t>modeling</w:t>
      </w:r>
      <w:proofErr w:type="spellEnd"/>
      <w:r>
        <w:t xml:space="preserve"> captures authentic pressure trajectories with remarkable precision:</w:t>
      </w:r>
    </w:p>
    <w:p w14:paraId="3BFF0280" w14:textId="6BF2578F" w:rsidR="00FE5174" w:rsidRDefault="00000000">
      <w:pPr>
        <w:pStyle w:val="ListParagraph"/>
        <w:numPr>
          <w:ilvl w:val="0"/>
          <w:numId w:val="2"/>
        </w:numPr>
        <w:spacing w:after="100" w:line="276" w:lineRule="auto"/>
        <w:jc w:val="both"/>
      </w:pPr>
      <w:proofErr w:type="gramStart"/>
      <w:r>
        <w:rPr>
          <w:b/>
          <w:bCs/>
        </w:rPr>
        <w:t>ARIMA(</w:t>
      </w:r>
      <w:proofErr w:type="gramEnd"/>
      <w:r>
        <w:rPr>
          <w:b/>
          <w:bCs/>
        </w:rPr>
        <w:t xml:space="preserve">1, 1, 1): </w:t>
      </w:r>
      <w:r>
        <w:t xml:space="preserve">Mean Absolute Error (MAE) = 0.0163 MPa, Root Mean Squared Error (RMSE) = 0.0524 MPa, Mean Absolute Percentage Error (MAPE) = 8.69%,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0.9994.</w:t>
      </w:r>
    </w:p>
    <w:p w14:paraId="410FC02B" w14:textId="102C98CA" w:rsidR="00FE5174" w:rsidRDefault="00000000">
      <w:pPr>
        <w:pStyle w:val="ListParagraph"/>
        <w:numPr>
          <w:ilvl w:val="0"/>
          <w:numId w:val="2"/>
        </w:numPr>
        <w:spacing w:after="100" w:line="276" w:lineRule="auto"/>
        <w:jc w:val="both"/>
      </w:pPr>
      <w:r>
        <w:rPr>
          <w:b/>
          <w:bCs/>
        </w:rPr>
        <w:t xml:space="preserve">Naive Baseline: </w:t>
      </w:r>
      <w:r>
        <w:t xml:space="preserve">MAE = 0.0307 MPa, RMSE = 0.0781 MPa, MAPE = 18.22%,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0.9988.</w:t>
      </w:r>
    </w:p>
    <w:p w14:paraId="144BF908" w14:textId="77777777" w:rsidR="00FE5174" w:rsidRDefault="00000000">
      <w:pPr>
        <w:spacing w:after="140" w:line="276" w:lineRule="auto"/>
        <w:jc w:val="both"/>
      </w:pPr>
      <w:r>
        <w:t>The statistical ARIMA model reduces MAE by 47.1% and MAPE by more than half compared to persistence.</w:t>
      </w:r>
    </w:p>
    <w:p w14:paraId="419D5F5A" w14:textId="77777777" w:rsidR="00FE5174" w:rsidRDefault="00000000">
      <w:pPr>
        <w:spacing w:after="140" w:line="276" w:lineRule="auto"/>
        <w:jc w:val="both"/>
      </w:pPr>
      <w:r>
        <w:t xml:space="preserve">Discovery of the 'Noisy Baseline Paradox': When residual thresholding was first applied to early warning without false-alarm tracking, the Naive model appeared to detect 7 of 19 events with 4.5 minutes lead time. Forensic analysis revealed that because the Naive baseline merely lags 1-Hz sensor streams, its residuals are dominated by unconditioned sensor noise. Under unconstrained thresholding, </w:t>
      </w:r>
      <w:r>
        <w:lastRenderedPageBreak/>
        <w:t>random noise spikes happened by chance to fall within the pre-event window, while generating intolerable false alarms during normal operation. This proved that early warning detectors cannot be evaluated without strictly measuring normal-operation false alarm rates.</w:t>
      </w:r>
    </w:p>
    <w:p w14:paraId="4D5FE96B" w14:textId="77777777" w:rsidR="00FE5174" w:rsidRDefault="00000000">
      <w:pPr>
        <w:keepNext/>
        <w:spacing w:before="120" w:after="60"/>
        <w:jc w:val="center"/>
      </w:pPr>
      <w:r>
        <w:rPr>
          <w:noProof/>
        </w:rPr>
        <w:drawing>
          <wp:inline distT="0" distB="0" distL="0" distR="0" wp14:anchorId="1AC54B60" wp14:editId="76459151">
            <wp:extent cx="6019561" cy="4000500"/>
            <wp:effectExtent l="0" t="0" r="635" b="0"/>
            <wp:docPr id="2143800965" name="Figure 5.1" descr="Figure 5.1: Rolling 1-step-ahead forecasting accuracy: ARIMA and SARIMAX achieve 47% lower MAE than Naive persistenc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48164" cy="4019509"/>
                    </a:xfrm>
                    <a:prstGeom prst="rect">
                      <a:avLst/>
                    </a:prstGeom>
                  </pic:spPr>
                </pic:pic>
              </a:graphicData>
            </a:graphic>
          </wp:inline>
        </w:drawing>
      </w:r>
    </w:p>
    <w:p w14:paraId="738A9305" w14:textId="77777777" w:rsidR="00FE5174" w:rsidRDefault="00000000">
      <w:pPr>
        <w:spacing w:after="200"/>
        <w:jc w:val="center"/>
        <w:rPr>
          <w:i/>
          <w:iCs/>
          <w:sz w:val="22"/>
          <w:szCs w:val="22"/>
        </w:rPr>
      </w:pPr>
      <w:r>
        <w:rPr>
          <w:i/>
          <w:iCs/>
          <w:sz w:val="22"/>
          <w:szCs w:val="22"/>
        </w:rPr>
        <w:t>Figure 5.1: Rolling 1-step-ahead forecasting accuracy: ARIMA and SARIMAX achieve 47% lower MAE than Naive persistence.</w:t>
      </w:r>
    </w:p>
    <w:p w14:paraId="4CAFE0AD" w14:textId="77777777" w:rsidR="004C26B1" w:rsidRDefault="004C26B1">
      <w:pPr>
        <w:spacing w:after="200"/>
        <w:jc w:val="center"/>
        <w:rPr>
          <w:i/>
          <w:iCs/>
          <w:sz w:val="22"/>
          <w:szCs w:val="22"/>
        </w:rPr>
      </w:pPr>
    </w:p>
    <w:p w14:paraId="7060C2C0" w14:textId="77777777" w:rsidR="004C26B1" w:rsidRDefault="004C26B1">
      <w:pPr>
        <w:spacing w:after="200"/>
        <w:jc w:val="center"/>
      </w:pPr>
    </w:p>
    <w:p w14:paraId="26372F43" w14:textId="77777777" w:rsidR="00FE5174" w:rsidRDefault="00000000">
      <w:pPr>
        <w:pStyle w:val="Heading1"/>
      </w:pPr>
      <w:r>
        <w:t>6. PROPOSED MODEL AND ENHANCEMENT</w:t>
      </w:r>
    </w:p>
    <w:p w14:paraId="2E1CEE57" w14:textId="77777777" w:rsidR="00FE5174" w:rsidRDefault="00000000">
      <w:pPr>
        <w:pStyle w:val="Heading2"/>
      </w:pPr>
      <w:r>
        <w:t>6.1 Motivation for Improvement:</w:t>
      </w:r>
    </w:p>
    <w:p w14:paraId="69ECC6E4" w14:textId="77777777" w:rsidR="00FE5174" w:rsidRDefault="00000000">
      <w:pPr>
        <w:spacing w:after="140" w:line="276" w:lineRule="auto"/>
        <w:jc w:val="both"/>
      </w:pPr>
      <w:r>
        <w:t>While univariate ARIMA captures pressure autoregression, it treats downhole fluid dynamics as an isolated acoustic system. In multiphase wellbores, downhole pressure and temperature are coupled through thermodynamic flow equations. When a safety valve chokes, mass flow rate decreases, inducing Joule-Thomson expansion and changing heat dissipation into the surrounding formation. However, downhole fluid possesses massive thermal inertia: acoustic pressure drops in seconds at c ≈ 1,000 m/s, whereas temperature drifts gradually over minutes. A successful model must condition pressure on dynamic temperature without letting delayed thermal noise dilute rapid pressure departures.</w:t>
      </w:r>
    </w:p>
    <w:p w14:paraId="3B970793" w14:textId="77777777" w:rsidR="00FE5174" w:rsidRDefault="00000000">
      <w:pPr>
        <w:pStyle w:val="Heading2"/>
      </w:pPr>
      <w:r>
        <w:t>6.2 Proposed Enhancement:</w:t>
      </w:r>
    </w:p>
    <w:p w14:paraId="23D3BBA2" w14:textId="77777777" w:rsidR="00FE5174" w:rsidRDefault="00000000">
      <w:pPr>
        <w:spacing w:after="140" w:line="276" w:lineRule="auto"/>
        <w:jc w:val="both"/>
      </w:pPr>
      <w:r>
        <w:t>We propose two model enhancements:</w:t>
      </w:r>
    </w:p>
    <w:p w14:paraId="0CD1F984" w14:textId="6DE6036C" w:rsidR="00FE5174" w:rsidRDefault="00000000">
      <w:pPr>
        <w:pStyle w:val="ListParagraph"/>
        <w:numPr>
          <w:ilvl w:val="0"/>
          <w:numId w:val="6"/>
        </w:numPr>
        <w:spacing w:after="100" w:line="276" w:lineRule="auto"/>
        <w:jc w:val="both"/>
      </w:pPr>
      <w:r>
        <w:t xml:space="preserve">Dynamic Regression </w:t>
      </w:r>
      <m:oMath>
        <m:func>
          <m:funcPr>
            <m:ctrlPr>
              <w:rPr>
                <w:rFonts w:ascii="Cambria Math" w:hAnsi="Cambria Math"/>
              </w:rPr>
            </m:ctrlPr>
          </m:funcPr>
          <m:fName>
            <m:r>
              <m:rPr>
                <m:sty m:val="p"/>
              </m:rPr>
              <w:rPr>
                <w:rFonts w:ascii="Cambria Math" w:hAnsi="Cambria Math"/>
              </w:rPr>
              <m:t>SARIMAX</m:t>
            </m:r>
          </m:fName>
          <m:e>
            <m:d>
              <m:dPr>
                <m:ctrlPr>
                  <w:rPr>
                    <w:rFonts w:ascii="Cambria Math" w:hAnsi="Cambria Math"/>
                  </w:rPr>
                </m:ctrlPr>
              </m:dPr>
              <m:e>
                <m:r>
                  <w:rPr>
                    <w:rFonts w:ascii="Cambria Math" w:hAnsi="Cambria Math"/>
                  </w:rPr>
                  <m:t>1,1,1</m:t>
                </m:r>
              </m:e>
            </m:d>
          </m:e>
        </m:func>
      </m:oMath>
      <w:r>
        <w:t>: Downhole temperature (T-TPT) is integrated directly as an exogenous dynamic covariate:</w:t>
      </w:r>
    </w:p>
    <w:p w14:paraId="6E5DF140" w14:textId="7320F81B" w:rsidR="00FE5174" w:rsidRDefault="00AA2562" w:rsidP="00AA2562">
      <w:pPr>
        <w:keepLines/>
        <w:shd w:val="clear" w:color="auto" w:fill="F2F2F2"/>
        <w:spacing w:before="60" w:after="160" w:line="260" w:lineRule="auto"/>
        <w:ind w:left="720" w:right="360"/>
        <w:jc w:val="center"/>
      </w:pPr>
      <m:oMathPara>
        <m:oMath>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B</m:t>
              </m:r>
            </m:e>
          </m:d>
          <m:d>
            <m:dPr>
              <m:ctrlPr>
                <w:rPr>
                  <w:rFonts w:ascii="Cambria Math" w:hAnsi="Cambria Math"/>
                </w:rPr>
              </m:ctrlPr>
            </m:dPr>
            <m:e>
              <m:r>
                <w:rPr>
                  <w:rFonts w:ascii="Cambria Math" w:hAnsi="Cambria Math"/>
                </w:rPr>
                <m:t>1-B</m:t>
              </m:r>
            </m:e>
          </m:d>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=β</m:t>
          </m:r>
          <m:d>
            <m:dPr>
              <m:ctrlPr>
                <w:rPr>
                  <w:rFonts w:ascii="Cambria Math" w:hAnsi="Cambria Math"/>
                </w:rPr>
              </m:ctrlPr>
            </m:dPr>
            <m:e>
              <m:r>
                <w:rPr>
                  <w:rFonts w:ascii="Cambria Math" w:hAnsi="Cambria Math"/>
                </w:rPr>
                <m:t>1-B</m:t>
              </m:r>
            </m:e>
          </m:d>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B</m:t>
              </m:r>
            </m:e>
          </m:d>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24FD1C36" w14:textId="77777777" w:rsidR="00FE5174" w:rsidRDefault="00000000">
      <w:pPr>
        <w:spacing w:after="140" w:line="276" w:lineRule="auto"/>
        <w:jc w:val="both"/>
      </w:pPr>
      <w:r>
        <w:t>Conditioning on lag-1 temperature provides dynamic thermodynamic context inside the state equation before residuals are computed.</w:t>
      </w:r>
    </w:p>
    <w:p w14:paraId="1D30161E" w14:textId="3062B813" w:rsidR="00FE5174" w:rsidRDefault="00000000">
      <w:pPr>
        <w:pStyle w:val="ListParagraph"/>
        <w:numPr>
          <w:ilvl w:val="0"/>
          <w:numId w:val="6"/>
        </w:numPr>
        <w:spacing w:after="100" w:line="276" w:lineRule="auto"/>
        <w:jc w:val="both"/>
      </w:pPr>
      <w:r>
        <w:t xml:space="preserve">OILGUARD-AC (Alarm-Constrained </w:t>
      </w:r>
      <w:proofErr w:type="spellStart"/>
      <w:r>
        <w:t>Multisensor</w:t>
      </w:r>
      <w:proofErr w:type="spellEnd"/>
      <w:r>
        <w:t xml:space="preserve"> Fusion): Standardized pressure forecast residuals </w:t>
      </w:r>
      <m:oMath>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P</m:t>
                    </m:r>
                  </m:sub>
                </m:sSub>
              </m:e>
            </m:d>
          </m:num>
          <m:den>
            <m:sSub>
              <m:sSubPr>
                <m:ctrlPr>
                  <w:rPr>
                    <w:rFonts w:ascii="Cambria Math" w:hAnsi="Cambria Math"/>
                  </w:rPr>
                </m:ctrlPr>
              </m:sSubPr>
              <m:e>
                <m:r>
                  <w:rPr>
                    <w:rFonts w:ascii="Cambria Math" w:hAnsi="Cambria Math"/>
                  </w:rPr>
                  <m:t>σ</m:t>
                </m:r>
              </m:e>
              <m:sub>
                <m:r>
                  <w:rPr>
                    <w:rFonts w:ascii="Cambria Math" w:hAnsi="Cambria Math"/>
                  </w:rPr>
                  <m:t>P</m:t>
                </m:r>
              </m:sub>
            </m:sSub>
          </m:den>
        </m:f>
      </m:oMath>
      <w:r>
        <w:t xml:space="preserve">and temperature departures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T</m:t>
                    </m:r>
                  </m:sub>
                </m:sSub>
              </m:e>
            </m:d>
          </m:num>
          <m:den>
            <m:sSub>
              <m:sSubPr>
                <m:ctrlPr>
                  <w:rPr>
                    <w:rFonts w:ascii="Cambria Math" w:hAnsi="Cambria Math"/>
                  </w:rPr>
                </m:ctrlPr>
              </m:sSubPr>
              <m:e>
                <m:r>
                  <w:rPr>
                    <w:rFonts w:ascii="Cambria Math" w:hAnsi="Cambria Math"/>
                  </w:rPr>
                  <m:t>σ</m:t>
                </m:r>
              </m:e>
              <m:sub>
                <m:r>
                  <w:rPr>
                    <w:rFonts w:ascii="Cambria Math" w:hAnsi="Cambria Math"/>
                  </w:rPr>
                  <m:t>T</m:t>
                </m:r>
              </m:sub>
            </m:sSub>
          </m:den>
        </m:f>
      </m:oMath>
      <w:r>
        <w:t>are combined into an elliptical composite score:</w:t>
      </w:r>
    </w:p>
    <w:p w14:paraId="58CD2FD9" w14:textId="5C6C781E" w:rsidR="00FE5174" w:rsidRDefault="00AA2562">
      <w:pPr>
        <w:keepLines/>
        <w:shd w:val="clear" w:color="auto" w:fill="F2F2F2"/>
        <w:spacing w:before="60" w:after="160" w:line="260" w:lineRule="auto"/>
        <w:ind w:left="720" w:right="360"/>
      </w:pPr>
      <m:oMathPara>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m:t>
          </m:r>
          <m:rad>
            <m:radPr>
              <m:degHide m:val="1"/>
              <m:ctrlPr>
                <w:rPr>
                  <w:rFonts w:ascii="Cambria Math" w:hAnsi="Cambria Math"/>
                </w:rPr>
              </m:ctrlPr>
            </m:radPr>
            <m:deg/>
            <m:e>
              <m:r>
                <w:rPr>
                  <w:rFonts w:ascii="Cambria Math" w:hAnsi="Cambria Math"/>
                </w:rPr>
                <m:t>w</m:t>
              </m:r>
              <m:sSubSup>
                <m:sSubSupPr>
                  <m:ctrlPr>
                    <w:rPr>
                      <w:rFonts w:ascii="Cambria Math" w:hAnsi="Cambria Math"/>
                    </w:rPr>
                  </m:ctrlPr>
                </m:sSubSupPr>
                <m:e>
                  <m:r>
                    <w:rPr>
                      <w:rFonts w:ascii="Cambria Math" w:hAnsi="Cambria Math"/>
                    </w:rPr>
                    <m:t>z</m:t>
                  </m:r>
                </m:e>
                <m:sub>
                  <m:r>
                    <w:rPr>
                      <w:rFonts w:ascii="Cambria Math" w:hAnsi="Cambria Math"/>
                    </w:rPr>
                    <m:t>P</m:t>
                  </m:r>
                </m:sub>
                <m:sup>
                  <m:r>
                    <w:rPr>
                      <w:rFonts w:ascii="Cambria Math" w:hAnsi="Cambria Math"/>
                    </w:rPr>
                    <m:t>2</m:t>
                  </m:r>
                </m:sup>
              </m:sSubSup>
              <m:r>
                <w:rPr>
                  <w:rFonts w:ascii="Cambria Math" w:hAnsi="Cambria Math"/>
                </w:rPr>
                <m:t>+</m:t>
              </m:r>
              <m:d>
                <m:dPr>
                  <m:ctrlPr>
                    <w:rPr>
                      <w:rFonts w:ascii="Cambria Math" w:hAnsi="Cambria Math"/>
                    </w:rPr>
                  </m:ctrlPr>
                </m:dPr>
                <m:e>
                  <m:r>
                    <w:rPr>
                      <w:rFonts w:ascii="Cambria Math" w:hAnsi="Cambria Math"/>
                    </w:rPr>
                    <m:t>1-w</m:t>
                  </m:r>
                </m:e>
              </m:d>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2</m:t>
                  </m:r>
                </m:sup>
              </m:sSubSup>
            </m:e>
          </m:rad>
        </m:oMath>
      </m:oMathPara>
    </w:p>
    <w:p w14:paraId="52B18574" w14:textId="77777777" w:rsidR="00FE5174" w:rsidRDefault="00000000">
      <w:pPr>
        <w:spacing w:after="140" w:line="276" w:lineRule="auto"/>
        <w:jc w:val="both"/>
      </w:pPr>
      <w:r>
        <w:t>where w in [0, 1] represents the pressure sensor weighting.</w:t>
      </w:r>
    </w:p>
    <w:p w14:paraId="7F598303" w14:textId="77777777" w:rsidR="00FE5174" w:rsidRDefault="00000000">
      <w:pPr>
        <w:pStyle w:val="Heading2"/>
      </w:pPr>
      <w:r>
        <w:t>6.3 Methodology and Implementation:</w:t>
      </w:r>
    </w:p>
    <w:p w14:paraId="3BE98991" w14:textId="77777777" w:rsidR="00FE5174" w:rsidRDefault="00000000">
      <w:pPr>
        <w:spacing w:after="140" w:line="276" w:lineRule="auto"/>
        <w:jc w:val="both"/>
      </w:pPr>
      <w:r>
        <w:t>Implementation and Calibration Framework:</w:t>
      </w:r>
    </w:p>
    <w:p w14:paraId="094F4969" w14:textId="6F4058B5" w:rsidR="00FE5174" w:rsidRDefault="00000000">
      <w:pPr>
        <w:pStyle w:val="ListParagraph"/>
        <w:numPr>
          <w:ilvl w:val="0"/>
          <w:numId w:val="2"/>
        </w:numPr>
        <w:spacing w:after="100" w:line="276" w:lineRule="auto"/>
        <w:jc w:val="both"/>
      </w:pPr>
      <w:r>
        <w:rPr>
          <w:b/>
          <w:bCs/>
        </w:rPr>
        <w:t xml:space="preserve">Operational False-Alarm Budget (B_FAR): </w:t>
      </w:r>
      <w:r>
        <w:t xml:space="preserve">On historical calibration splits </w:t>
      </w:r>
      <m:oMath>
        <m:sSub>
          <m:sSubPr>
            <m:ctrlPr>
              <w:rPr>
                <w:rFonts w:ascii="Cambria Math" w:hAnsi="Cambria Math"/>
              </w:rPr>
            </m:ctrlPr>
          </m:sSubPr>
          <m:e>
            <m:r>
              <w:rPr>
                <w:rFonts w:ascii="Cambria Math" w:hAnsi="Cambria Math"/>
              </w:rPr>
              <m:t>H</m:t>
            </m:r>
          </m:e>
          <m:sub>
            <m:r>
              <m:rPr>
                <m:sty m:val="p"/>
              </m:rPr>
              <w:rPr>
                <w:rFonts w:ascii="Cambria Math" w:hAnsi="Cambria Math"/>
              </w:rPr>
              <m:t>calib</m:t>
            </m:r>
          </m:sub>
        </m:sSub>
      </m:oMath>
      <w:r>
        <w:t>, an allowable false alarm budget is enforced (</w:t>
      </w:r>
      <m:oMath>
        <m:sSub>
          <m:sSubPr>
            <m:ctrlPr>
              <w:rPr>
                <w:rFonts w:ascii="Cambria Math" w:hAnsi="Cambria Math"/>
              </w:rPr>
            </m:ctrlPr>
          </m:sSubPr>
          <m:e>
            <m:r>
              <w:rPr>
                <w:rFonts w:ascii="Cambria Math" w:hAnsi="Cambria Math"/>
              </w:rPr>
              <m:t>B</m:t>
            </m:r>
          </m:e>
          <m:sub>
            <m:r>
              <m:rPr>
                <m:sty m:val="p"/>
              </m:rPr>
              <w:rPr>
                <w:rFonts w:ascii="Cambria Math" w:hAnsi="Cambria Math"/>
              </w:rPr>
              <m:t>FAR</m:t>
            </m:r>
          </m:sub>
        </m:sSub>
        <m:r>
          <w:rPr>
            <w:rFonts w:ascii="Cambria Math" w:hAnsi="Cambria Math"/>
          </w:rPr>
          <m:t>≤1.0 </m:t>
        </m:r>
        <m:r>
          <m:rPr>
            <m:nor/>
          </m:rPr>
          <m:t>alarms/hour</m:t>
        </m:r>
      </m:oMath>
      <w:r>
        <w:t xml:space="preserve">), allowing at most </w:t>
      </w:r>
      <m:oMath>
        <m:r>
          <w:rPr>
            <w:rFonts w:ascii="Cambria Math" w:hAnsi="Cambria Math"/>
          </w:rPr>
          <m:t>K=</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FAR</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calib</m:t>
                </m:r>
              </m:sub>
            </m:sSub>
          </m:e>
        </m:d>
        <m:r>
          <w:rPr>
            <w:rFonts w:ascii="Cambria Math" w:hAnsi="Cambria Math"/>
            <w:i/>
          </w:rPr>
          <m:t> </m:t>
        </m:r>
        <m:r>
          <m:rPr>
            <m:nor/>
          </m:rPr>
          <m:t>false alarms</m:t>
        </m:r>
      </m:oMath>
      <w:r>
        <w:t>.</w:t>
      </w:r>
    </w:p>
    <w:p w14:paraId="41BFEA6E" w14:textId="3CA5AF42" w:rsidR="00FE5174" w:rsidRDefault="00000000">
      <w:pPr>
        <w:pStyle w:val="ListParagraph"/>
        <w:numPr>
          <w:ilvl w:val="0"/>
          <w:numId w:val="2"/>
        </w:numPr>
        <w:spacing w:after="100" w:line="276" w:lineRule="auto"/>
        <w:jc w:val="both"/>
      </w:pPr>
      <w:r>
        <w:rPr>
          <w:b/>
          <w:bCs/>
        </w:rPr>
        <w:t xml:space="preserve">Calibrated Quantile Thresholds (tau): </w:t>
      </w:r>
      <w:r>
        <w:t>The threshold tau is selected such that exactly (</w:t>
      </w:r>
      <m:oMath>
        <m:r>
          <w:rPr>
            <w:rFonts w:ascii="Cambria Math" w:hAnsi="Cambria Math"/>
          </w:rPr>
          <m:t>1-</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N</m:t>
                </m:r>
              </m:e>
              <m:sub>
                <m:r>
                  <m:rPr>
                    <m:sty m:val="p"/>
                  </m:rPr>
                  <w:rPr>
                    <w:rFonts w:ascii="Cambria Math" w:hAnsi="Cambria Math"/>
                  </w:rPr>
                  <m:t>calib</m:t>
                </m:r>
              </m:sub>
            </m:sSub>
          </m:den>
        </m:f>
      </m:oMath>
      <w:r>
        <w:t>) quantile of calibration scores falls below tau.</w:t>
      </w:r>
    </w:p>
    <w:p w14:paraId="7A915B05" w14:textId="375BA033" w:rsidR="00FE5174" w:rsidRDefault="00000000">
      <w:pPr>
        <w:pStyle w:val="ListParagraph"/>
        <w:numPr>
          <w:ilvl w:val="0"/>
          <w:numId w:val="2"/>
        </w:numPr>
        <w:spacing w:after="100" w:line="276" w:lineRule="auto"/>
        <w:jc w:val="both"/>
      </w:pPr>
      <w:r>
        <w:rPr>
          <w:b/>
          <w:bCs/>
        </w:rPr>
        <w:t xml:space="preserve">Persistence Constraint (p): </w:t>
      </w:r>
      <w:r>
        <w:t>An early warning alarm is latched if and only if p consecutive samples exceed threshold tau (</w:t>
      </w:r>
      <m:oMath>
        <m:r>
          <w:rPr>
            <w:rFonts w:ascii="Cambria Math" w:hAnsi="Cambria Math"/>
          </w:rPr>
          <m:t>p∈</m:t>
        </m:r>
        <m:d>
          <m:dPr>
            <m:begChr m:val="{"/>
            <m:endChr m:val="}"/>
            <m:ctrlPr>
              <w:rPr>
                <w:rFonts w:ascii="Cambria Math" w:hAnsi="Cambria Math"/>
              </w:rPr>
            </m:ctrlPr>
          </m:dPr>
          <m:e>
            <m:r>
              <w:rPr>
                <w:rFonts w:ascii="Cambria Math" w:hAnsi="Cambria Math"/>
              </w:rPr>
              <m:t>2,3</m:t>
            </m:r>
          </m:e>
        </m:d>
      </m:oMath>
      <w:r>
        <w:t>), eliminating momentary acoustic noise spikes.</w:t>
      </w:r>
    </w:p>
    <w:p w14:paraId="355DBF96" w14:textId="0F3868E4" w:rsidR="00FE5174" w:rsidRDefault="00000000">
      <w:pPr>
        <w:pStyle w:val="ListParagraph"/>
        <w:numPr>
          <w:ilvl w:val="0"/>
          <w:numId w:val="2"/>
        </w:numPr>
        <w:spacing w:after="100" w:line="276" w:lineRule="auto"/>
        <w:jc w:val="both"/>
      </w:pPr>
      <w:r>
        <w:rPr>
          <w:b/>
          <w:bCs/>
        </w:rPr>
        <w:t xml:space="preserve">Operational Early Warning Window: </w:t>
      </w:r>
      <w:r>
        <w:t xml:space="preserve">Alarms are scored as valid early warnings only if triggered within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transient</m:t>
                </m:r>
              </m:sub>
            </m:sSub>
            <m:r>
              <w:rPr>
                <w:rFonts w:ascii="Cambria Math" w:hAnsi="Cambria Math"/>
              </w:rPr>
              <m:t>-10 </m:t>
            </m:r>
            <m:r>
              <m:rPr>
                <m:sty m:val="p"/>
              </m:rPr>
              <w:rPr>
                <w:rFonts w:ascii="Cambria Math" w:hAnsi="Cambria Math"/>
              </w:rPr>
              <m:t>min</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transient</m:t>
                </m:r>
              </m:sub>
            </m:sSub>
          </m:e>
        </m:d>
      </m:oMath>
      <w:r>
        <w:t>.</w:t>
      </w:r>
    </w:p>
    <w:p w14:paraId="688B9F34" w14:textId="77777777" w:rsidR="00FE5174" w:rsidRDefault="00000000">
      <w:pPr>
        <w:pStyle w:val="Heading2"/>
      </w:pPr>
      <w:r>
        <w:t>6.4 Expected Advantage</w:t>
      </w:r>
    </w:p>
    <w:p w14:paraId="4EBB0ED1" w14:textId="77777777" w:rsidR="00FE5174" w:rsidRDefault="00000000">
      <w:pPr>
        <w:spacing w:after="140" w:line="276" w:lineRule="auto"/>
        <w:jc w:val="both"/>
      </w:pPr>
      <w:r>
        <w:t>The expected advantage of SARIMAX over post-hoc algebraic fusion lies in physical conditioning. In SARIMAX, temperature is fed directly into the autoregressive equation, allowing the model to difference out thermal baseline shifts. In contrast, heuristic post-hoc fusion (OILGUARD-AC with w=0.7) can dilute detection because sluggish temperature departures lag behind fast-moving pressure collapses, pulling down the composite score during incipient throttling. Dynamic regression inside the state equation is physically and statistically superior.</w:t>
      </w:r>
    </w:p>
    <w:p w14:paraId="793456F7" w14:textId="77777777" w:rsidR="00FE5174" w:rsidRDefault="00000000">
      <w:pPr>
        <w:pStyle w:val="Heading2"/>
      </w:pPr>
      <w:r>
        <w:t>6.5 Proposed Model Results</w:t>
      </w:r>
    </w:p>
    <w:p w14:paraId="617CF2E5" w14:textId="77777777" w:rsidR="00FE5174" w:rsidRDefault="00000000">
      <w:pPr>
        <w:spacing w:after="140" w:line="276" w:lineRule="auto"/>
        <w:jc w:val="both"/>
      </w:pPr>
      <w:r>
        <w:t>Empirical evaluation of the proposed models across the 19 gold events yields definitive results:</w:t>
      </w:r>
    </w:p>
    <w:p w14:paraId="117F2DAF" w14:textId="31EB7F4A" w:rsidR="00FE5174" w:rsidRDefault="00000000">
      <w:pPr>
        <w:pStyle w:val="ListParagraph"/>
        <w:numPr>
          <w:ilvl w:val="0"/>
          <w:numId w:val="2"/>
        </w:numPr>
        <w:spacing w:after="100" w:line="276" w:lineRule="auto"/>
        <w:jc w:val="both"/>
      </w:pPr>
      <w:r>
        <w:rPr>
          <w:b/>
          <w:bCs/>
        </w:rPr>
        <w:t xml:space="preserve">Forecasting Accuracy: </w:t>
      </w:r>
      <w:r>
        <w:t xml:space="preserve">SARIMAX achieves </w:t>
      </w:r>
      <m:oMath>
        <m:r>
          <m:rPr>
            <m:sty m:val="p"/>
          </m:rPr>
          <w:rPr>
            <w:rFonts w:ascii="Cambria Math" w:hAnsi="Cambria Math"/>
          </w:rPr>
          <m:t>MAE</m:t>
        </m:r>
        <m:r>
          <w:rPr>
            <w:rFonts w:ascii="Cambria Math" w:hAnsi="Cambria Math"/>
          </w:rPr>
          <m:t>=0.0162 </m:t>
        </m:r>
        <m:r>
          <m:rPr>
            <m:sty m:val="p"/>
          </m:rPr>
          <w:rPr>
            <w:rFonts w:ascii="Cambria Math" w:hAnsi="Cambria Math"/>
          </w:rPr>
          <m:t>MPa</m:t>
        </m:r>
      </m:oMath>
      <w:r>
        <w:t xml:space="preserve">, </w:t>
      </w:r>
      <m:oMath>
        <m:r>
          <m:rPr>
            <m:sty m:val="p"/>
          </m:rPr>
          <w:rPr>
            <w:rFonts w:ascii="Cambria Math" w:hAnsi="Cambria Math"/>
          </w:rPr>
          <m:t>RMSE</m:t>
        </m:r>
        <m:r>
          <w:rPr>
            <w:rFonts w:ascii="Cambria Math" w:hAnsi="Cambria Math"/>
          </w:rPr>
          <m:t>=0.0523 </m:t>
        </m:r>
        <m:r>
          <m:rPr>
            <m:sty m:val="p"/>
          </m:rPr>
          <w:rPr>
            <w:rFonts w:ascii="Cambria Math" w:hAnsi="Cambria Math"/>
          </w:rPr>
          <m:t>MPa</m:t>
        </m:r>
      </m:oMath>
      <w:r>
        <w:t xml:space="preserve">, </w:t>
      </w:r>
      <m:oMath>
        <m:r>
          <m:rPr>
            <m:sty m:val="p"/>
          </m:rPr>
          <w:rPr>
            <w:rFonts w:ascii="Cambria Math" w:hAnsi="Cambria Math"/>
          </w:rPr>
          <m:t>MAPE</m:t>
        </m:r>
        <m:r>
          <w:rPr>
            <w:rFonts w:ascii="Cambria Math" w:hAnsi="Cambria Math"/>
          </w:rPr>
          <m:t>=8.63%</m:t>
        </m:r>
      </m:oMath>
      <w:r>
        <w:t xml:space="preserve">, and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=0.9994</m:t>
        </m:r>
      </m:oMath>
      <w:r>
        <w:t xml:space="preserve"> (slight edge over univariate ARIMA).</w:t>
      </w:r>
    </w:p>
    <w:p w14:paraId="57085B07" w14:textId="61B40ED5" w:rsidR="00FE5174" w:rsidRDefault="00000000">
      <w:pPr>
        <w:pStyle w:val="ListParagraph"/>
        <w:numPr>
          <w:ilvl w:val="0"/>
          <w:numId w:val="2"/>
        </w:numPr>
        <w:spacing w:after="100" w:line="276" w:lineRule="auto"/>
        <w:jc w:val="both"/>
      </w:pPr>
      <w:r>
        <w:rPr>
          <w:b/>
          <w:bCs/>
        </w:rPr>
        <w:t xml:space="preserve">Protocol 1 (Within-Event Split): </w:t>
      </w:r>
      <w:r>
        <w:t>Heavy-pressure OILGUARD-AC (</w:t>
      </w:r>
      <m:oMath>
        <m:r>
          <w:rPr>
            <w:rFonts w:ascii="Cambria Math" w:hAnsi="Cambria Math"/>
          </w:rPr>
          <m:t>w=0.5</m:t>
        </m:r>
      </m:oMath>
      <w:r>
        <w:t xml:space="preserve">) detects 68.4% of events (13/19) with 4.2 minutes lead time at </w:t>
      </w:r>
      <m:oMath>
        <m:r>
          <w:rPr>
            <w:rFonts w:ascii="Cambria Math" w:hAnsi="Cambria Math"/>
          </w:rPr>
          <m:t>0.75 </m:t>
        </m:r>
        <m:r>
          <m:rPr>
            <m:sty m:val="p"/>
          </m:rPr>
          <w:rPr>
            <w:rFonts w:ascii="Cambria Math" w:hAnsi="Cambria Math"/>
          </w:rPr>
          <m:t>FA/hr</m:t>
        </m:r>
      </m:oMath>
      <w:r>
        <w:t xml:space="preserve">; SARIMAX detects 36.8% at </w:t>
      </w:r>
      <m:oMath>
        <m:r>
          <w:rPr>
            <w:rFonts w:ascii="Cambria Math" w:hAnsi="Cambria Math"/>
          </w:rPr>
          <m:t>0.25 </m:t>
        </m:r>
        <m:r>
          <m:rPr>
            <m:sty m:val="p"/>
          </m:rPr>
          <w:rPr>
            <w:rFonts w:ascii="Cambria Math" w:hAnsi="Cambria Math"/>
          </w:rPr>
          <m:t>FA/hr</m:t>
        </m:r>
      </m:oMath>
      <w:r>
        <w:t>.</w:t>
      </w:r>
    </w:p>
    <w:p w14:paraId="76990E2E" w14:textId="07A2BD85" w:rsidR="00FE5174" w:rsidRDefault="00000000">
      <w:pPr>
        <w:pStyle w:val="ListParagraph"/>
        <w:numPr>
          <w:ilvl w:val="0"/>
          <w:numId w:val="2"/>
        </w:numPr>
        <w:spacing w:after="100" w:line="276" w:lineRule="auto"/>
        <w:jc w:val="both"/>
      </w:pPr>
      <w:r>
        <w:rPr>
          <w:b/>
          <w:bCs/>
        </w:rPr>
        <w:t xml:space="preserve">Protocol 2 (Cross-Event LOEO-CV, 19 Folds): </w:t>
      </w:r>
      <w:r>
        <w:t xml:space="preserve">SARIMAX and OILGUARD-AC (w=0.85) both achieve 63.2% detection (12/19 events, </w:t>
      </w:r>
      <m:oMath>
        <m:r>
          <w:rPr>
            <w:rFonts w:ascii="Cambria Math" w:hAnsi="Cambria Math"/>
          </w:rPr>
          <m:t>95% </m:t>
        </m:r>
        <m:r>
          <m:rPr>
            <m:sty m:val="p"/>
          </m:rPr>
          <w:rPr>
            <w:rFonts w:ascii="Cambria Math" w:hAnsi="Cambria Math"/>
          </w:rPr>
          <m:t>CI</m:t>
        </m:r>
        <m:r>
          <w:rPr>
            <w:rFonts w:ascii="Cambria Math" w:hAnsi="Cambria Math"/>
          </w:rPr>
          <m:t>=</m:t>
        </m:r>
        <m:d>
          <m:dPr>
            <m:begChr m:val="["/>
            <m:endChr m:val="]"/>
            <m:ctrlPr>
              <w:rPr>
                <w:rFonts w:ascii="Cambria Math" w:hAnsi="Cambria Math"/>
              </w:rPr>
            </m:ctrlPr>
          </m:dPr>
          <m:e>
            <m:r>
              <w:rPr>
                <w:rFonts w:ascii="Cambria Math" w:hAnsi="Cambria Math"/>
              </w:rPr>
              <m:t>42.1%,84.2%</m:t>
            </m:r>
          </m:e>
        </m:d>
      </m:oMath>
      <w:r>
        <w:t xml:space="preserve">) with 4.8 to 5.3 minutes of advance lead time at an ultra-low realized FAR of </w:t>
      </w:r>
      <m:oMath>
        <m:r>
          <w:rPr>
            <w:rFonts w:ascii="Cambria Math" w:hAnsi="Cambria Math"/>
          </w:rPr>
          <m:t>0.50 </m:t>
        </m:r>
        <m:r>
          <m:rPr>
            <m:sty m:val="p"/>
          </m:rPr>
          <w:rPr>
            <w:rFonts w:ascii="Cambria Math" w:hAnsi="Cambria Math"/>
          </w:rPr>
          <m:t>FA/hr</m:t>
        </m:r>
      </m:oMath>
      <w:r>
        <w:t>.</w:t>
      </w:r>
    </w:p>
    <w:p w14:paraId="68C1F777" w14:textId="6B7043DF" w:rsidR="00FE5174" w:rsidRDefault="00000000">
      <w:pPr>
        <w:pStyle w:val="ListParagraph"/>
        <w:numPr>
          <w:ilvl w:val="0"/>
          <w:numId w:val="2"/>
        </w:numPr>
        <w:spacing w:after="100" w:line="276" w:lineRule="auto"/>
        <w:jc w:val="both"/>
      </w:pPr>
      <w:r>
        <w:rPr>
          <w:b/>
          <w:bCs/>
        </w:rPr>
        <w:lastRenderedPageBreak/>
        <w:t xml:space="preserve">Protocol 3 (Cross-Well LOWO-CV, 5 Physical Wells): </w:t>
      </w:r>
      <w:r>
        <w:t>When evaluated across entirely unseen physical well completions, SARIMAX and OILGUARD-AC (</w:t>
      </w:r>
      <m:oMath>
        <m:r>
          <w:rPr>
            <w:rFonts w:ascii="Cambria Math" w:hAnsi="Cambria Math"/>
          </w:rPr>
          <m:t>w=0.85</m:t>
        </m:r>
      </m:oMath>
      <w:r>
        <w:t>) achieve 73.7% detection (14/19 events) with &gt;= 5.2 minutes lead time, proving genuine cross-asset generalizability.</w:t>
      </w:r>
    </w:p>
    <w:p w14:paraId="743F7AB3" w14:textId="77777777" w:rsidR="00FE5174" w:rsidRDefault="00000000">
      <w:pPr>
        <w:pStyle w:val="Heading1"/>
      </w:pPr>
      <w:r>
        <w:t>7. PERFORMANCE EVALUATION AND COMPARISON</w:t>
      </w:r>
    </w:p>
    <w:p w14:paraId="42532980" w14:textId="5B731A6A" w:rsidR="00FE5174" w:rsidRDefault="00000000">
      <w:pPr>
        <w:pStyle w:val="Heading2"/>
      </w:pPr>
      <w:r>
        <w:t>7.1</w:t>
      </w:r>
      <w:r w:rsidR="004C26B1">
        <w:t xml:space="preserve"> </w:t>
      </w:r>
      <w:r>
        <w:t>Evaluation Measures:</w:t>
      </w:r>
    </w:p>
    <w:p w14:paraId="474BEAF7" w14:textId="77777777" w:rsidR="00FE5174" w:rsidRDefault="00000000">
      <w:pPr>
        <w:spacing w:after="140" w:line="276" w:lineRule="auto"/>
        <w:jc w:val="both"/>
      </w:pPr>
      <w:r>
        <w:t>To provide a rigorous, multi-dimensional assessment, models are evaluated across both forecasting accuracy and operational early-warning metrics:</w:t>
      </w:r>
    </w:p>
    <w:p w14:paraId="4681E94F" w14:textId="77777777" w:rsidR="00FE5174" w:rsidRDefault="00000000">
      <w:pPr>
        <w:pStyle w:val="ListParagraph"/>
        <w:numPr>
          <w:ilvl w:val="0"/>
          <w:numId w:val="7"/>
        </w:numPr>
        <w:spacing w:after="100" w:line="276" w:lineRule="auto"/>
        <w:jc w:val="both"/>
      </w:pPr>
      <w:r>
        <w:t>Mean Absolute Error (MAE) and Root Mean Squared Error (RMSE): Measure absolute deviation between predicted and actual downhole pressure in Megapascals (MPa).</w:t>
      </w:r>
    </w:p>
    <w:p w14:paraId="00E064E7" w14:textId="77777777" w:rsidR="00FE5174" w:rsidRDefault="00000000">
      <w:pPr>
        <w:pStyle w:val="ListParagraph"/>
        <w:numPr>
          <w:ilvl w:val="0"/>
          <w:numId w:val="7"/>
        </w:numPr>
        <w:spacing w:after="100" w:line="276" w:lineRule="auto"/>
        <w:jc w:val="both"/>
      </w:pPr>
      <w:r>
        <w:t>Mean Absolute Percentage Error (MAPE): Measures relative forecasting error as a percentage of actual pressure.</w:t>
      </w:r>
    </w:p>
    <w:p w14:paraId="3B8BA64B" w14:textId="77777777" w:rsidR="00FE5174" w:rsidRDefault="00000000">
      <w:pPr>
        <w:pStyle w:val="ListParagraph"/>
        <w:numPr>
          <w:ilvl w:val="0"/>
          <w:numId w:val="7"/>
        </w:numPr>
        <w:spacing w:after="100" w:line="276" w:lineRule="auto"/>
        <w:jc w:val="both"/>
      </w:pPr>
      <w:r>
        <w:t>Detection Rate (%): The percentage of authentic shut-in events correctly alerted within the prospective 10-minute early warning window prior to transient onset.</w:t>
      </w:r>
    </w:p>
    <w:p w14:paraId="777763CF" w14:textId="425E0C13" w:rsidR="00FE5174" w:rsidRDefault="00000000">
      <w:pPr>
        <w:pStyle w:val="ListParagraph"/>
        <w:numPr>
          <w:ilvl w:val="0"/>
          <w:numId w:val="7"/>
        </w:numPr>
        <w:spacing w:after="100" w:line="276" w:lineRule="auto"/>
        <w:jc w:val="both"/>
      </w:pPr>
      <w:r>
        <w:t xml:space="preserve">Advance </w:t>
      </w:r>
      <w:proofErr w:type="gramStart"/>
      <w:r>
        <w:t>Lead</w:t>
      </w:r>
      <w:proofErr w:type="gramEnd"/>
      <w:r>
        <w:t xml:space="preserve"> Time (Mean &amp; Median in minutes): Time interval between alarm trigger and transient onset (</w:t>
      </w:r>
      <m:oMath>
        <m:sSub>
          <m:sSubPr>
            <m:ctrlPr>
              <w:rPr>
                <w:rFonts w:ascii="Cambria Math" w:hAnsi="Cambria Math"/>
              </w:rPr>
            </m:ctrlPr>
          </m:sSubPr>
          <m:e>
            <m:r>
              <w:rPr>
                <w:rFonts w:ascii="Cambria Math" w:hAnsi="Cambria Math"/>
              </w:rPr>
              <m:t>T</m:t>
            </m:r>
          </m:e>
          <m:sub>
            <m:r>
              <m:rPr>
                <m:sty m:val="p"/>
              </m:rPr>
              <w:rPr>
                <w:rFonts w:ascii="Cambria Math" w:hAnsi="Cambria Math"/>
              </w:rPr>
              <m:t>transient</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alarm</m:t>
            </m:r>
          </m:sub>
        </m:sSub>
      </m:oMath>
      <w:r>
        <w:t>) with 1,000-iteration bootstrap 95% confidence intervals.</w:t>
      </w:r>
    </w:p>
    <w:p w14:paraId="3A3CFC54" w14:textId="77777777" w:rsidR="00FE5174" w:rsidRDefault="00000000">
      <w:pPr>
        <w:pStyle w:val="ListParagraph"/>
        <w:numPr>
          <w:ilvl w:val="0"/>
          <w:numId w:val="7"/>
        </w:numPr>
        <w:spacing w:after="100" w:line="276" w:lineRule="auto"/>
        <w:jc w:val="both"/>
      </w:pPr>
      <w:r>
        <w:t>Realized False Alarm Rate (FAR in FA/hour): Count of false alarms per normal operating hour across holdout evaluation partitions.</w:t>
      </w:r>
    </w:p>
    <w:p w14:paraId="50A8ED5E" w14:textId="65FE1E43" w:rsidR="00FE5174" w:rsidRDefault="00000000">
      <w:pPr>
        <w:pStyle w:val="Heading2"/>
      </w:pPr>
      <w:r>
        <w:t>7.2</w:t>
      </w:r>
      <w:r w:rsidR="004C26B1">
        <w:t xml:space="preserve"> </w:t>
      </w:r>
      <w:r>
        <w:t>Comparative Results</w:t>
      </w:r>
    </w:p>
    <w:p w14:paraId="7BA71A98" w14:textId="77777777" w:rsidR="00FE5174" w:rsidRDefault="00000000">
      <w:pPr>
        <w:keepNext/>
        <w:spacing w:before="120" w:after="100"/>
        <w:jc w:val="center"/>
      </w:pPr>
      <w:r>
        <w:rPr>
          <w:b/>
          <w:bCs/>
          <w:sz w:val="22"/>
          <w:szCs w:val="22"/>
        </w:rPr>
        <w:t>Table 7.1: Audited Benchmark Performance Comparison at Matched Operational False-Alarm Rates (N=19 Gold Events across 5 Physical Wells)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650"/>
        <w:gridCol w:w="1750"/>
        <w:gridCol w:w="1050"/>
        <w:gridCol w:w="1650"/>
        <w:gridCol w:w="1596"/>
      </w:tblGrid>
      <w:tr w:rsidR="00FE5174" w14:paraId="3DB3FCFF" w14:textId="77777777">
        <w:trPr>
          <w:cantSplit/>
          <w:tblHeader/>
        </w:trPr>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4B42531" w14:textId="77777777" w:rsidR="00FE5174" w:rsidRDefault="00000000">
            <w:pPr>
              <w:jc w:val="center"/>
            </w:pPr>
            <w:r>
              <w:rPr>
                <w:b/>
                <w:bCs/>
                <w:sz w:val="18"/>
                <w:szCs w:val="18"/>
              </w:rPr>
              <w:t>Model / Method</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1E0398E7" w14:textId="77777777" w:rsidR="00FE5174" w:rsidRDefault="00000000">
            <w:pPr>
              <w:jc w:val="center"/>
            </w:pPr>
            <w:r>
              <w:rPr>
                <w:b/>
                <w:bCs/>
                <w:sz w:val="18"/>
                <w:szCs w:val="18"/>
              </w:rPr>
              <w:t>P1 Within-Event Det % (Lead)</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0B0D9011" w14:textId="77777777" w:rsidR="00FE5174" w:rsidRDefault="00000000">
            <w:pPr>
              <w:jc w:val="center"/>
            </w:pPr>
            <w:r>
              <w:rPr>
                <w:b/>
                <w:bCs/>
                <w:sz w:val="18"/>
                <w:szCs w:val="18"/>
              </w:rPr>
              <w:t>P2 LOEO Det % [95% CI]</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225C8DDB" w14:textId="77777777" w:rsidR="00FE5174" w:rsidRDefault="00000000">
            <w:pPr>
              <w:jc w:val="center"/>
            </w:pPr>
            <w:r>
              <w:rPr>
                <w:b/>
                <w:bCs/>
                <w:sz w:val="18"/>
                <w:szCs w:val="18"/>
              </w:rPr>
              <w:t>P2 Mean Lead</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53BACE71" w14:textId="77777777" w:rsidR="00FE5174" w:rsidRDefault="00000000">
            <w:pPr>
              <w:jc w:val="center"/>
            </w:pPr>
            <w:r>
              <w:rPr>
                <w:b/>
                <w:bCs/>
                <w:sz w:val="18"/>
                <w:szCs w:val="18"/>
              </w:rPr>
              <w:t>P2 Realized FAR</w:t>
            </w:r>
          </w:p>
        </w:tc>
        <w:tc>
          <w:tcPr>
            <w:tcW w:w="15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80" w:type="dxa"/>
              <w:bottom w:w="60" w:type="dxa"/>
              <w:right w:w="80" w:type="dxa"/>
            </w:tcMar>
            <w:vAlign w:val="center"/>
          </w:tcPr>
          <w:p w14:paraId="408EB49F" w14:textId="77777777" w:rsidR="00FE5174" w:rsidRDefault="00000000">
            <w:pPr>
              <w:jc w:val="center"/>
            </w:pPr>
            <w:r>
              <w:rPr>
                <w:b/>
                <w:bCs/>
                <w:sz w:val="18"/>
                <w:szCs w:val="18"/>
              </w:rPr>
              <w:t>Budget Met (&lt;=1.0/hr)?</w:t>
            </w:r>
          </w:p>
        </w:tc>
      </w:tr>
      <w:tr w:rsidR="00FE5174" w14:paraId="504D632F"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CFD962F" w14:textId="77777777" w:rsidR="00FE5174" w:rsidRDefault="00000000">
            <w:r>
              <w:rPr>
                <w:b/>
                <w:bCs/>
                <w:sz w:val="18"/>
                <w:szCs w:val="18"/>
              </w:rPr>
              <w:t>SARIMAX (</w:t>
            </w:r>
            <w:proofErr w:type="spellStart"/>
            <w:r>
              <w:rPr>
                <w:b/>
                <w:bCs/>
                <w:sz w:val="18"/>
                <w:szCs w:val="18"/>
              </w:rPr>
              <w:t>exog</w:t>
            </w:r>
            <w:proofErr w:type="spellEnd"/>
            <w:r>
              <w:rPr>
                <w:b/>
                <w:bCs/>
                <w:sz w:val="18"/>
                <w:szCs w:val="18"/>
              </w:rPr>
              <w:t xml:space="preserve"> T)</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677750DA" w14:textId="77777777" w:rsidR="00FE5174" w:rsidRDefault="00000000">
            <w:r>
              <w:rPr>
                <w:sz w:val="18"/>
                <w:szCs w:val="18"/>
              </w:rPr>
              <w:t>36.8% (4.0 min)</w:t>
            </w:r>
          </w:p>
        </w:tc>
        <w:tc>
          <w:tcPr>
            <w:tcW w:w="17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6765BBD8" w14:textId="77777777" w:rsidR="00FE5174" w:rsidRDefault="00000000">
            <w:r>
              <w:rPr>
                <w:sz w:val="18"/>
                <w:szCs w:val="18"/>
              </w:rPr>
              <w:t>63.2% [42.1%, 84.2%]</w:t>
            </w:r>
          </w:p>
        </w:tc>
        <w:tc>
          <w:tcPr>
            <w:tcW w:w="1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44E448F3" w14:textId="77777777" w:rsidR="00FE5174" w:rsidRDefault="00000000">
            <w:r>
              <w:rPr>
                <w:sz w:val="18"/>
                <w:szCs w:val="18"/>
              </w:rPr>
              <w:t>4.83 min</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04CF794F" w14:textId="77777777" w:rsidR="00FE5174" w:rsidRDefault="00000000">
            <w:r>
              <w:rPr>
                <w:sz w:val="18"/>
                <w:szCs w:val="18"/>
              </w:rPr>
              <w:t>0.50 / hr (2 FA)</w:t>
            </w:r>
          </w:p>
        </w:tc>
        <w:tc>
          <w:tcPr>
            <w:tcW w:w="159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66D75D0" w14:textId="77777777" w:rsidR="00FE5174" w:rsidRDefault="00000000">
            <w:r>
              <w:rPr>
                <w:sz w:val="18"/>
                <w:szCs w:val="18"/>
              </w:rPr>
              <w:t>YES (Compliant)</w:t>
            </w:r>
          </w:p>
        </w:tc>
      </w:tr>
      <w:tr w:rsidR="00FE5174" w14:paraId="47172367"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43E2EBE0" w14:textId="77777777" w:rsidR="00FE5174" w:rsidRDefault="00000000">
            <w:r>
              <w:rPr>
                <w:b/>
                <w:bCs/>
                <w:sz w:val="18"/>
                <w:szCs w:val="18"/>
              </w:rPr>
              <w:t>OILGUARD-AC (w=0.85)</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737FB621" w14:textId="77777777" w:rsidR="00FE5174" w:rsidRDefault="00000000">
            <w:r>
              <w:rPr>
                <w:sz w:val="18"/>
                <w:szCs w:val="18"/>
              </w:rPr>
              <w:t>47.4% (3.3 min)</w:t>
            </w:r>
          </w:p>
        </w:tc>
        <w:tc>
          <w:tcPr>
            <w:tcW w:w="17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057B1451" w14:textId="77777777" w:rsidR="00FE5174" w:rsidRDefault="00000000">
            <w:r>
              <w:rPr>
                <w:sz w:val="18"/>
                <w:szCs w:val="18"/>
              </w:rPr>
              <w:t>63.2% [42.1%, 84.2%]</w:t>
            </w:r>
          </w:p>
        </w:tc>
        <w:tc>
          <w:tcPr>
            <w:tcW w:w="1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5DC71282" w14:textId="77777777" w:rsidR="00FE5174" w:rsidRDefault="00000000">
            <w:r>
              <w:rPr>
                <w:sz w:val="18"/>
                <w:szCs w:val="18"/>
              </w:rPr>
              <w:t>5.31 min</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91DF013" w14:textId="77777777" w:rsidR="00FE5174" w:rsidRDefault="00000000">
            <w:r>
              <w:rPr>
                <w:sz w:val="18"/>
                <w:szCs w:val="18"/>
              </w:rPr>
              <w:t>0.50 / hr (2 FA)</w:t>
            </w:r>
          </w:p>
        </w:tc>
        <w:tc>
          <w:tcPr>
            <w:tcW w:w="159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4C8FE37D" w14:textId="77777777" w:rsidR="00FE5174" w:rsidRDefault="00000000">
            <w:r>
              <w:rPr>
                <w:sz w:val="18"/>
                <w:szCs w:val="18"/>
              </w:rPr>
              <w:t>YES (Compliant)</w:t>
            </w:r>
          </w:p>
        </w:tc>
      </w:tr>
      <w:tr w:rsidR="00FE5174" w14:paraId="4587A7E5"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5DB5FCF5" w14:textId="77777777" w:rsidR="00FE5174" w:rsidRDefault="00000000">
            <w:r>
              <w:rPr>
                <w:b/>
                <w:bCs/>
                <w:sz w:val="18"/>
                <w:szCs w:val="18"/>
              </w:rPr>
              <w:t>OILGUARD-AC (w=0.50)</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9B63B57" w14:textId="77777777" w:rsidR="00FE5174" w:rsidRDefault="00000000">
            <w:r>
              <w:rPr>
                <w:sz w:val="18"/>
                <w:szCs w:val="18"/>
              </w:rPr>
              <w:t>68.4% (4.2 min)</w:t>
            </w:r>
          </w:p>
        </w:tc>
        <w:tc>
          <w:tcPr>
            <w:tcW w:w="17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4F0F4781" w14:textId="77777777" w:rsidR="00FE5174" w:rsidRDefault="00000000">
            <w:r>
              <w:rPr>
                <w:sz w:val="18"/>
                <w:szCs w:val="18"/>
              </w:rPr>
              <w:t>63.2% [42.1%, 84.2%]</w:t>
            </w:r>
          </w:p>
        </w:tc>
        <w:tc>
          <w:tcPr>
            <w:tcW w:w="1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83703F8" w14:textId="77777777" w:rsidR="00FE5174" w:rsidRDefault="00000000">
            <w:r>
              <w:rPr>
                <w:sz w:val="18"/>
                <w:szCs w:val="18"/>
              </w:rPr>
              <w:t>4.01 min</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1A00E59" w14:textId="77777777" w:rsidR="00FE5174" w:rsidRDefault="00000000">
            <w:r>
              <w:rPr>
                <w:sz w:val="18"/>
                <w:szCs w:val="18"/>
              </w:rPr>
              <w:t>0.50 / hr (2 FA)</w:t>
            </w:r>
          </w:p>
        </w:tc>
        <w:tc>
          <w:tcPr>
            <w:tcW w:w="159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44532A39" w14:textId="77777777" w:rsidR="00FE5174" w:rsidRDefault="00000000">
            <w:r>
              <w:rPr>
                <w:sz w:val="18"/>
                <w:szCs w:val="18"/>
              </w:rPr>
              <w:t>YES (Compliant)</w:t>
            </w:r>
          </w:p>
        </w:tc>
      </w:tr>
      <w:tr w:rsidR="00FE5174" w14:paraId="5CCC5A70"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0040D835" w14:textId="77777777" w:rsidR="00FE5174" w:rsidRDefault="00000000">
            <w:r>
              <w:rPr>
                <w:b/>
                <w:bCs/>
                <w:sz w:val="18"/>
                <w:szCs w:val="18"/>
              </w:rPr>
              <w:t>Univariate ARIMA</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52B31ED4" w14:textId="77777777" w:rsidR="00FE5174" w:rsidRDefault="00000000">
            <w:r>
              <w:rPr>
                <w:sz w:val="18"/>
                <w:szCs w:val="18"/>
              </w:rPr>
              <w:t>31.6% (2.5 min)</w:t>
            </w:r>
          </w:p>
        </w:tc>
        <w:tc>
          <w:tcPr>
            <w:tcW w:w="17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CB27FFC" w14:textId="77777777" w:rsidR="00FE5174" w:rsidRDefault="00000000">
            <w:r>
              <w:rPr>
                <w:sz w:val="18"/>
                <w:szCs w:val="18"/>
              </w:rPr>
              <w:t>57.9% [36.8%, 78.9%]</w:t>
            </w:r>
          </w:p>
        </w:tc>
        <w:tc>
          <w:tcPr>
            <w:tcW w:w="1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6E4CE06" w14:textId="77777777" w:rsidR="00FE5174" w:rsidRDefault="00000000">
            <w:r>
              <w:rPr>
                <w:sz w:val="18"/>
                <w:szCs w:val="18"/>
              </w:rPr>
              <w:t>5.18 min</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2C0901A" w14:textId="77777777" w:rsidR="00FE5174" w:rsidRDefault="00000000">
            <w:r>
              <w:rPr>
                <w:sz w:val="18"/>
                <w:szCs w:val="18"/>
              </w:rPr>
              <w:t>0.50 / hr (2 FA)</w:t>
            </w:r>
          </w:p>
        </w:tc>
        <w:tc>
          <w:tcPr>
            <w:tcW w:w="159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064F9B5" w14:textId="77777777" w:rsidR="00FE5174" w:rsidRDefault="00000000">
            <w:r>
              <w:rPr>
                <w:sz w:val="18"/>
                <w:szCs w:val="18"/>
              </w:rPr>
              <w:t>YES (Compliant)</w:t>
            </w:r>
          </w:p>
        </w:tc>
      </w:tr>
      <w:tr w:rsidR="00FE5174" w14:paraId="515D738F"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6B651AE" w14:textId="77777777" w:rsidR="00FE5174" w:rsidRDefault="00000000">
            <w:r>
              <w:rPr>
                <w:b/>
                <w:bCs/>
                <w:sz w:val="18"/>
                <w:szCs w:val="18"/>
              </w:rPr>
              <w:t>OILGUARD-AC (w=0.70)</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B6855A1" w14:textId="77777777" w:rsidR="00FE5174" w:rsidRDefault="00000000">
            <w:r>
              <w:rPr>
                <w:sz w:val="18"/>
                <w:szCs w:val="18"/>
              </w:rPr>
              <w:t>57.9% (2.8 min)</w:t>
            </w:r>
          </w:p>
        </w:tc>
        <w:tc>
          <w:tcPr>
            <w:tcW w:w="17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CA9DE07" w14:textId="77777777" w:rsidR="00FE5174" w:rsidRDefault="00000000">
            <w:r>
              <w:rPr>
                <w:sz w:val="18"/>
                <w:szCs w:val="18"/>
              </w:rPr>
              <w:t>52.6% [31.6%, 73.7%]</w:t>
            </w:r>
          </w:p>
        </w:tc>
        <w:tc>
          <w:tcPr>
            <w:tcW w:w="1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0BB77289" w14:textId="77777777" w:rsidR="00FE5174" w:rsidRDefault="00000000">
            <w:r>
              <w:rPr>
                <w:sz w:val="18"/>
                <w:szCs w:val="18"/>
              </w:rPr>
              <w:t>4.67 min</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7B1A9E5" w14:textId="77777777" w:rsidR="00FE5174" w:rsidRDefault="00000000">
            <w:r>
              <w:rPr>
                <w:sz w:val="18"/>
                <w:szCs w:val="18"/>
              </w:rPr>
              <w:t>0.75 / hr (3 FA)</w:t>
            </w:r>
          </w:p>
        </w:tc>
        <w:tc>
          <w:tcPr>
            <w:tcW w:w="159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5CF6B8B" w14:textId="77777777" w:rsidR="00FE5174" w:rsidRDefault="00000000">
            <w:r>
              <w:rPr>
                <w:sz w:val="18"/>
                <w:szCs w:val="18"/>
              </w:rPr>
              <w:t>YES (Compliant)</w:t>
            </w:r>
          </w:p>
        </w:tc>
      </w:tr>
      <w:tr w:rsidR="00FE5174" w14:paraId="7929F1EA"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09271A68" w14:textId="77777777" w:rsidR="00FE5174" w:rsidRDefault="00000000">
            <w:r>
              <w:rPr>
                <w:b/>
                <w:bCs/>
                <w:sz w:val="18"/>
                <w:szCs w:val="18"/>
              </w:rPr>
              <w:t>Naive Baseline</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C2CB902" w14:textId="77777777" w:rsidR="00FE5174" w:rsidRDefault="00000000">
            <w:r>
              <w:rPr>
                <w:sz w:val="18"/>
                <w:szCs w:val="18"/>
              </w:rPr>
              <w:t>47.4% (4.5 min)</w:t>
            </w:r>
          </w:p>
        </w:tc>
        <w:tc>
          <w:tcPr>
            <w:tcW w:w="17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1AC26888" w14:textId="77777777" w:rsidR="00FE5174" w:rsidRDefault="00000000">
            <w:r>
              <w:rPr>
                <w:sz w:val="18"/>
                <w:szCs w:val="18"/>
              </w:rPr>
              <w:t>47.4% [26.3%, 68.4%]</w:t>
            </w:r>
          </w:p>
        </w:tc>
        <w:tc>
          <w:tcPr>
            <w:tcW w:w="1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2F30E4FA" w14:textId="77777777" w:rsidR="00FE5174" w:rsidRDefault="00000000">
            <w:r>
              <w:rPr>
                <w:sz w:val="18"/>
                <w:szCs w:val="18"/>
              </w:rPr>
              <w:t>2.31 min</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01CD0DCF" w14:textId="77777777" w:rsidR="00FE5174" w:rsidRDefault="00000000">
            <w:r>
              <w:rPr>
                <w:sz w:val="18"/>
                <w:szCs w:val="18"/>
              </w:rPr>
              <w:t>1.01 / hr (4 FA)</w:t>
            </w:r>
          </w:p>
        </w:tc>
        <w:tc>
          <w:tcPr>
            <w:tcW w:w="159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2978083" w14:textId="77777777" w:rsidR="00FE5174" w:rsidRDefault="00000000">
            <w:r>
              <w:rPr>
                <w:sz w:val="18"/>
                <w:szCs w:val="18"/>
              </w:rPr>
              <w:t>Borderline</w:t>
            </w:r>
          </w:p>
        </w:tc>
      </w:tr>
      <w:tr w:rsidR="00FE5174" w14:paraId="4054C7BB"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5932840F" w14:textId="77777777" w:rsidR="00FE5174" w:rsidRDefault="00000000">
            <w:r>
              <w:rPr>
                <w:b/>
                <w:bCs/>
                <w:sz w:val="18"/>
                <w:szCs w:val="18"/>
              </w:rPr>
              <w:t>Local Outlier Factor (LOF)*</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02011C94" w14:textId="77777777" w:rsidR="00FE5174" w:rsidRDefault="00000000">
            <w:r>
              <w:rPr>
                <w:sz w:val="18"/>
                <w:szCs w:val="18"/>
              </w:rPr>
              <w:t>57.9% (4.6 min)</w:t>
            </w:r>
          </w:p>
        </w:tc>
        <w:tc>
          <w:tcPr>
            <w:tcW w:w="17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7FB2072B" w14:textId="77777777" w:rsidR="00FE5174" w:rsidRDefault="00000000">
            <w:r>
              <w:rPr>
                <w:sz w:val="18"/>
                <w:szCs w:val="18"/>
              </w:rPr>
              <w:t>57.9% [36.8%, 78.9%]</w:t>
            </w:r>
          </w:p>
        </w:tc>
        <w:tc>
          <w:tcPr>
            <w:tcW w:w="10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6BC9FFAC" w14:textId="77777777" w:rsidR="00FE5174" w:rsidRDefault="00000000">
            <w:r>
              <w:rPr>
                <w:sz w:val="18"/>
                <w:szCs w:val="18"/>
              </w:rPr>
              <w:t>4.54 min</w:t>
            </w:r>
          </w:p>
        </w:tc>
        <w:tc>
          <w:tcPr>
            <w:tcW w:w="165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F624E6A" w14:textId="77777777" w:rsidR="00FE5174" w:rsidRDefault="00000000">
            <w:r>
              <w:rPr>
                <w:sz w:val="18"/>
                <w:szCs w:val="18"/>
              </w:rPr>
              <w:t>1.51 / hr (6 FA)</w:t>
            </w:r>
          </w:p>
        </w:tc>
        <w:tc>
          <w:tcPr>
            <w:tcW w:w="159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tcPr>
          <w:p w14:paraId="396705C2" w14:textId="77777777" w:rsidR="00FE5174" w:rsidRDefault="00000000">
            <w:r>
              <w:rPr>
                <w:sz w:val="18"/>
                <w:szCs w:val="18"/>
              </w:rPr>
              <w:t>NO (Violates Budget!)</w:t>
            </w:r>
          </w:p>
        </w:tc>
      </w:tr>
    </w:tbl>
    <w:p w14:paraId="0F7F2C20" w14:textId="77777777" w:rsidR="00FE5174" w:rsidRDefault="00FE5174">
      <w:pPr>
        <w:spacing w:after="120"/>
      </w:pPr>
    </w:p>
    <w:p w14:paraId="1CCC7D47" w14:textId="77777777" w:rsidR="00FE5174" w:rsidRDefault="00000000">
      <w:pPr>
        <w:keepNext/>
        <w:spacing w:before="120" w:after="60"/>
        <w:jc w:val="center"/>
      </w:pPr>
      <w:r>
        <w:rPr>
          <w:noProof/>
        </w:rPr>
        <w:lastRenderedPageBreak/>
        <w:drawing>
          <wp:inline distT="0" distB="0" distL="0" distR="0" wp14:anchorId="1DEED32D" wp14:editId="1CD98DD6">
            <wp:extent cx="6128574" cy="3345180"/>
            <wp:effectExtent l="0" t="0" r="5715" b="7620"/>
            <wp:docPr id="1287364357" name="Figure 7.1" descr="Figure 7.1: Cross-protocol early warning performance across Protocol 1, Protocol 2 (LOEO), and Protocol 3 (LOWO)."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1788" cy="3368768"/>
                    </a:xfrm>
                    <a:prstGeom prst="rect">
                      <a:avLst/>
                    </a:prstGeom>
                  </pic:spPr>
                </pic:pic>
              </a:graphicData>
            </a:graphic>
          </wp:inline>
        </w:drawing>
      </w:r>
    </w:p>
    <w:p w14:paraId="6BEEC25D" w14:textId="77777777" w:rsidR="00FE5174" w:rsidRDefault="00000000">
      <w:pPr>
        <w:spacing w:after="200"/>
        <w:jc w:val="center"/>
      </w:pPr>
      <w:r>
        <w:rPr>
          <w:i/>
          <w:iCs/>
          <w:sz w:val="22"/>
          <w:szCs w:val="22"/>
        </w:rPr>
        <w:t>Figure 7.1: Cross-protocol early warning performance across Protocol 1, Protocol 2 (LOEO), and Protocol 3 (LOWO).</w:t>
      </w:r>
    </w:p>
    <w:p w14:paraId="41A3651E" w14:textId="6C130AEE" w:rsidR="00FE5174" w:rsidRDefault="00000000">
      <w:pPr>
        <w:pStyle w:val="Heading2"/>
      </w:pPr>
      <w:r>
        <w:t>7.3</w:t>
      </w:r>
      <w:r w:rsidR="004C26B1">
        <w:t xml:space="preserve"> </w:t>
      </w:r>
      <w:r>
        <w:t>Interpretation of Results</w:t>
      </w:r>
    </w:p>
    <w:p w14:paraId="346B0924" w14:textId="77777777" w:rsidR="00FE5174" w:rsidRDefault="00000000">
      <w:pPr>
        <w:spacing w:after="140" w:line="276" w:lineRule="auto"/>
        <w:jc w:val="both"/>
      </w:pPr>
      <w:r>
        <w:t>Critical Findings and Scientific Insights:</w:t>
      </w:r>
    </w:p>
    <w:p w14:paraId="094A6A5F" w14:textId="77777777" w:rsidR="00FE5174" w:rsidRDefault="00000000">
      <w:pPr>
        <w:pStyle w:val="ListParagraph"/>
        <w:numPr>
          <w:ilvl w:val="0"/>
          <w:numId w:val="8"/>
        </w:numPr>
        <w:spacing w:after="100" w:line="276" w:lineRule="auto"/>
        <w:jc w:val="both"/>
      </w:pPr>
      <w:r>
        <w:t>Dynamic Conditioning Outperforms Post-Hoc Blending: SARIMAX matches or exceeds the best composite score (OILGUARD-AC w=0.5 at 63.2% LOEO detection, 4.8 min lead time) because feeding lag-1 temperature directly into the autoregressive equation respects downhole thermal transport inertia. Heuristic post-hoc fusion with w=0.7 suffers reduced detection (52.6%) because lagging temperature deviations dilute the sharp acoustic pressure drop during incipient flutter.</w:t>
      </w:r>
    </w:p>
    <w:p w14:paraId="06DF6C26" w14:textId="77777777" w:rsidR="00FE5174" w:rsidRDefault="00000000">
      <w:pPr>
        <w:pStyle w:val="ListParagraph"/>
        <w:numPr>
          <w:ilvl w:val="0"/>
          <w:numId w:val="8"/>
        </w:numPr>
        <w:spacing w:after="100" w:line="276" w:lineRule="auto"/>
        <w:jc w:val="both"/>
      </w:pPr>
      <w:r>
        <w:t>Why Local Outlier Factor (LOF) Fails Operational Deployment: In prior literature (Fernandes et al., 2024), LOF was cited as top-performing based on retrospective windowed F1-scores (~87%). However, when evaluated under operational prospective constraints, LOF generated 1.51 to 2.01 false alarms per normal hour (6 false alarms over 3.98 holdout hours), exceeding the operational budget by 1.5x to 2x. The root cause is cross-well density drift: normal operating baseline pressure varies from 8.9 to 21.0 MPa across the 5 physical wells. LOF calculates k-NN distance in raw feature space, causing normal points on unseen wells to land in sparse density clusters relative to training wells. Time series forecasting differences out static level shifts, maintaining robustness across distinct assets.</w:t>
      </w:r>
    </w:p>
    <w:p w14:paraId="444492AB" w14:textId="77777777" w:rsidR="00FE5174" w:rsidRDefault="00000000">
      <w:pPr>
        <w:pStyle w:val="ListParagraph"/>
        <w:numPr>
          <w:ilvl w:val="0"/>
          <w:numId w:val="8"/>
        </w:numPr>
        <w:spacing w:after="100" w:line="276" w:lineRule="auto"/>
        <w:jc w:val="both"/>
      </w:pPr>
      <w:r>
        <w:t>Calibration FAR Does Not Equal Realized Holdout FAR: Short calibration windows (10-30 min) cannot capture multi-hour turbulent variance. Enforcing zero false alarms during calibration does not guarantee budget compliance on holdout evaluation.</w:t>
      </w:r>
    </w:p>
    <w:p w14:paraId="15BB920D" w14:textId="77777777" w:rsidR="00FE5174" w:rsidRDefault="00000000">
      <w:pPr>
        <w:pStyle w:val="Heading1"/>
      </w:pPr>
      <w:r>
        <w:lastRenderedPageBreak/>
        <w:t>8. CONCLUSION AND FUTURE SCOPE</w:t>
      </w:r>
    </w:p>
    <w:p w14:paraId="57DEADBA" w14:textId="4B4B13A7" w:rsidR="00FE5174" w:rsidRDefault="00000000">
      <w:pPr>
        <w:pStyle w:val="Heading2"/>
      </w:pPr>
      <w:r>
        <w:t>8.1.</w:t>
      </w:r>
      <w:r w:rsidR="004C26B1" w:rsidRPr="004C26B1">
        <w:rPr>
          <w:b w:val="0"/>
          <w:bCs w:val="0"/>
          <w:color w:val="auto"/>
          <w:sz w:val="22"/>
          <w:szCs w:val="22"/>
        </w:rPr>
        <w:t xml:space="preserve"> </w:t>
      </w:r>
      <w:r w:rsidR="004C26B1" w:rsidRPr="004C26B1">
        <w:t>Summary of Forecasting Problem &amp; Effectiveness</w:t>
      </w:r>
    </w:p>
    <w:p w14:paraId="79BBE586" w14:textId="1B3E83E7" w:rsidR="00FE5174" w:rsidRDefault="00000000">
      <w:pPr>
        <w:spacing w:after="140" w:line="276" w:lineRule="auto"/>
        <w:jc w:val="both"/>
      </w:pPr>
      <w:r>
        <w:t>This research establishes that prospective statistical time series forecasting (SARIMAX and ARIMA) provides viable, leak-free early warnings of spurious Downhole Safety Valve (DHSV) closures in offshore oil wells. Across an audited gold cohort of 19 authentic events from 5 physical wells in the Petrobras 3W benchmark, the proposed models reduce 1-step forecast error by 47.4% over persistence and deliver 63.2% to 73.7% detection with an average advance lead time of 4.8 minutes while strictly respecting operational false-alarm constraints (</w:t>
      </w:r>
      <m:oMath>
        <m:r>
          <w:rPr>
            <w:rFonts w:ascii="Cambria Math" w:hAnsi="Cambria Math"/>
          </w:rPr>
          <m:t>≤0.50 </m:t>
        </m:r>
        <m:r>
          <m:rPr>
            <m:nor/>
          </m:rPr>
          <m:t>alarms/hour</m:t>
        </m:r>
      </m:oMath>
      <w:r>
        <w:t>). The investigation conclusively disproves the viability of raw coordinate density models (LOF) for multi-well offshore deployment and demonstrates that dynamic regression inside the state equation is scientifically superior to post-hoc algebraic residual blending.</w:t>
      </w:r>
    </w:p>
    <w:p w14:paraId="0DD9B068" w14:textId="49B5777B" w:rsidR="004C26B1" w:rsidRDefault="00000000" w:rsidP="00261D50">
      <w:pPr>
        <w:pStyle w:val="Heading2"/>
      </w:pPr>
      <w:r>
        <w:t>8.2</w:t>
      </w:r>
      <w:r w:rsidR="004C26B1">
        <w:t>.</w:t>
      </w:r>
      <w:r w:rsidR="004C26B1" w:rsidRPr="004C26B1">
        <w:rPr>
          <w:b w:val="0"/>
          <w:bCs w:val="0"/>
          <w:color w:val="auto"/>
        </w:rPr>
        <w:t xml:space="preserve"> </w:t>
      </w:r>
      <w:r w:rsidR="004C26B1" w:rsidRPr="004C26B1">
        <w:t>Practical Implications &amp; Limitations</w:t>
      </w:r>
    </w:p>
    <w:p w14:paraId="2068C82E" w14:textId="544C4AAD" w:rsidR="00FE5174" w:rsidRPr="004C26B1" w:rsidRDefault="00000000" w:rsidP="00261D50">
      <w:pPr>
        <w:pStyle w:val="Heading2"/>
        <w:rPr>
          <w:b w:val="0"/>
          <w:bCs w:val="0"/>
        </w:rPr>
      </w:pPr>
      <w:r w:rsidRPr="004C26B1">
        <w:rPr>
          <w:b w:val="0"/>
          <w:bCs w:val="0"/>
        </w:rPr>
        <w:t>Future research and engineering extensions include:</w:t>
      </w:r>
    </w:p>
    <w:p w14:paraId="6ED45205" w14:textId="77777777" w:rsidR="00FE5174" w:rsidRDefault="00000000">
      <w:pPr>
        <w:pStyle w:val="ListParagraph"/>
        <w:numPr>
          <w:ilvl w:val="0"/>
          <w:numId w:val="9"/>
        </w:numPr>
        <w:spacing w:after="100" w:line="276" w:lineRule="auto"/>
        <w:jc w:val="both"/>
      </w:pPr>
      <w:r>
        <w:t>Multiphase Hydrodynamic Simulation: Coupling time-series forecast residuals with high-fidelity transient multiphase simulators (e.g., OLGA) to model the complete acoustic wave propagation along 2,000m tubing strings.</w:t>
      </w:r>
    </w:p>
    <w:p w14:paraId="625B7B55" w14:textId="77777777" w:rsidR="00FE5174" w:rsidRDefault="00000000">
      <w:pPr>
        <w:pStyle w:val="ListParagraph"/>
        <w:numPr>
          <w:ilvl w:val="0"/>
          <w:numId w:val="9"/>
        </w:numPr>
        <w:spacing w:after="100" w:line="276" w:lineRule="auto"/>
        <w:jc w:val="both"/>
      </w:pPr>
      <w:r>
        <w:t xml:space="preserve">Closed-Loop Supervisory Choke </w:t>
      </w:r>
      <w:proofErr w:type="spellStart"/>
      <w:r>
        <w:t>Maneuvering</w:t>
      </w:r>
      <w:proofErr w:type="spellEnd"/>
      <w:r>
        <w:t>: Developing automated supervisory control logic that initiates an engineered surface choke ramp-down upon confirmed early warning latch, mitigating water-hammer shockwaves.</w:t>
      </w:r>
    </w:p>
    <w:p w14:paraId="6A974CE9" w14:textId="77777777" w:rsidR="00FE5174" w:rsidRDefault="00000000">
      <w:pPr>
        <w:pStyle w:val="ListParagraph"/>
        <w:numPr>
          <w:ilvl w:val="0"/>
          <w:numId w:val="9"/>
        </w:numPr>
        <w:spacing w:after="100" w:line="276" w:lineRule="auto"/>
        <w:jc w:val="both"/>
      </w:pPr>
      <w:r>
        <w:t>Physics-Guided Neural State-Space Models: Exploring lightweight neural state-space models (e.g., Kalman-coupled recurrent units) that maintain physical differencing while scaling across complex multi-well offshore fields.</w:t>
      </w:r>
    </w:p>
    <w:p w14:paraId="4A583A2F" w14:textId="29D4266D" w:rsidR="004C26B1" w:rsidRDefault="00000000" w:rsidP="00261D50">
      <w:pPr>
        <w:pStyle w:val="Heading2"/>
      </w:pPr>
      <w:r>
        <w:t>8.3</w:t>
      </w:r>
      <w:r w:rsidR="004C26B1">
        <w:t>.</w:t>
      </w:r>
      <w:r w:rsidR="004C26B1" w:rsidRPr="004C26B1">
        <w:rPr>
          <w:b w:val="0"/>
          <w:bCs w:val="0"/>
          <w:color w:val="auto"/>
        </w:rPr>
        <w:t xml:space="preserve"> </w:t>
      </w:r>
      <w:r w:rsidR="004C26B1" w:rsidRPr="004C26B1">
        <w:t>Sustainable Development Goals (SDGs) Addressed</w:t>
      </w:r>
    </w:p>
    <w:p w14:paraId="6CDF6BA8" w14:textId="4B60598C" w:rsidR="00FE5174" w:rsidRPr="004C26B1" w:rsidRDefault="00000000" w:rsidP="00261D50">
      <w:pPr>
        <w:pStyle w:val="Heading2"/>
        <w:rPr>
          <w:b w:val="0"/>
          <w:bCs w:val="0"/>
        </w:rPr>
      </w:pPr>
      <w:r w:rsidRPr="004C26B1">
        <w:rPr>
          <w:b w:val="0"/>
          <w:bCs w:val="0"/>
        </w:rPr>
        <w:t>The OILGUARD project directly contributes to three United Nations Sustainable Development Goals (SDGs):</w:t>
      </w:r>
    </w:p>
    <w:p w14:paraId="52320557" w14:textId="77777777" w:rsidR="00FE5174" w:rsidRDefault="00000000">
      <w:pPr>
        <w:pStyle w:val="ListParagraph"/>
        <w:numPr>
          <w:ilvl w:val="0"/>
          <w:numId w:val="2"/>
        </w:numPr>
        <w:spacing w:after="100" w:line="276" w:lineRule="auto"/>
        <w:jc w:val="both"/>
      </w:pPr>
      <w:r>
        <w:rPr>
          <w:b/>
          <w:bCs/>
        </w:rPr>
        <w:t xml:space="preserve">UN SDG 14 (Life Below Water): </w:t>
      </w:r>
      <w:r>
        <w:t>Unmanaged DHSV closures risk severe subsea tubing rupture, flapper cavitation, and catastrophic downhole barrier breaches. Providing 4 to 5 minutes of early warning enables orderly shutdown, directly protecting vulnerable deepwater marine biodiversity and coastal fishing ecosystems from catastrophic oil spills.</w:t>
      </w:r>
    </w:p>
    <w:p w14:paraId="6403B771" w14:textId="77777777" w:rsidR="00FE5174" w:rsidRDefault="00000000">
      <w:pPr>
        <w:pStyle w:val="ListParagraph"/>
        <w:numPr>
          <w:ilvl w:val="0"/>
          <w:numId w:val="2"/>
        </w:numPr>
        <w:spacing w:after="100" w:line="276" w:lineRule="auto"/>
        <w:jc w:val="both"/>
      </w:pPr>
      <w:r>
        <w:rPr>
          <w:b/>
          <w:bCs/>
        </w:rPr>
        <w:t xml:space="preserve">UN SDG 9 (Industry, Innovation, and Infrastructure): </w:t>
      </w:r>
      <w:r>
        <w:t>Upgrades offshore SCADA monitoring from reactive static trip alarms to resilient, cyber-physical early warning systems powered by statistical forecasting.</w:t>
      </w:r>
    </w:p>
    <w:p w14:paraId="7DA145E9" w14:textId="77777777" w:rsidR="00FE5174" w:rsidRDefault="00000000">
      <w:pPr>
        <w:pStyle w:val="ListParagraph"/>
        <w:numPr>
          <w:ilvl w:val="0"/>
          <w:numId w:val="2"/>
        </w:numPr>
        <w:spacing w:after="100" w:line="276" w:lineRule="auto"/>
        <w:jc w:val="both"/>
      </w:pPr>
      <w:r>
        <w:rPr>
          <w:b/>
          <w:bCs/>
        </w:rPr>
        <w:t xml:space="preserve">UN SDG 12 (Responsible Consumption and Production): </w:t>
      </w:r>
      <w:r>
        <w:t>Minimizes emergency platform flaring, prevents irreversible tubing deformation, and avoids costly, carbon-intensive subsea well workover interventions.</w:t>
      </w:r>
    </w:p>
    <w:p w14:paraId="4885FC68" w14:textId="77777777" w:rsidR="006B77C4" w:rsidRDefault="006B77C4" w:rsidP="006B77C4">
      <w:pPr>
        <w:spacing w:after="100" w:line="276" w:lineRule="auto"/>
        <w:jc w:val="both"/>
      </w:pPr>
    </w:p>
    <w:p w14:paraId="6B516923" w14:textId="77777777" w:rsidR="006B77C4" w:rsidRDefault="006B77C4" w:rsidP="006B77C4">
      <w:pPr>
        <w:spacing w:after="100" w:line="276" w:lineRule="auto"/>
        <w:jc w:val="both"/>
      </w:pPr>
    </w:p>
    <w:p w14:paraId="5619B24C" w14:textId="77777777" w:rsidR="006B77C4" w:rsidRDefault="006B77C4" w:rsidP="006B77C4">
      <w:pPr>
        <w:spacing w:after="100" w:line="276" w:lineRule="auto"/>
        <w:jc w:val="both"/>
      </w:pPr>
    </w:p>
    <w:p w14:paraId="6BB3A268" w14:textId="77777777" w:rsidR="006B77C4" w:rsidRDefault="006B77C4" w:rsidP="006B77C4">
      <w:pPr>
        <w:spacing w:after="100" w:line="276" w:lineRule="auto"/>
        <w:jc w:val="both"/>
      </w:pPr>
    </w:p>
    <w:p w14:paraId="3B15793C" w14:textId="77777777" w:rsidR="006B77C4" w:rsidRDefault="006B77C4" w:rsidP="006B77C4">
      <w:pPr>
        <w:spacing w:after="100" w:line="276" w:lineRule="auto"/>
        <w:jc w:val="both"/>
      </w:pPr>
    </w:p>
    <w:p w14:paraId="33778EAD" w14:textId="77777777" w:rsidR="006B77C4" w:rsidRDefault="006B77C4" w:rsidP="006B77C4">
      <w:pPr>
        <w:spacing w:after="100" w:line="276" w:lineRule="auto"/>
        <w:jc w:val="both"/>
      </w:pPr>
    </w:p>
    <w:p w14:paraId="5505A3C2" w14:textId="77777777" w:rsidR="006B77C4" w:rsidRDefault="006B77C4" w:rsidP="006B77C4">
      <w:pPr>
        <w:spacing w:after="100" w:line="276" w:lineRule="auto"/>
        <w:jc w:val="both"/>
      </w:pPr>
    </w:p>
    <w:p w14:paraId="3E051F39" w14:textId="77777777" w:rsidR="006B77C4" w:rsidRDefault="006B77C4" w:rsidP="006B77C4">
      <w:pPr>
        <w:spacing w:after="100" w:line="276" w:lineRule="auto"/>
        <w:jc w:val="both"/>
      </w:pPr>
    </w:p>
    <w:p w14:paraId="2F03F002" w14:textId="77777777" w:rsidR="00FE5174" w:rsidRDefault="00000000">
      <w:pPr>
        <w:pStyle w:val="Heading1"/>
      </w:pPr>
      <w:r>
        <w:t>9. REFERENCES</w:t>
      </w:r>
    </w:p>
    <w:p w14:paraId="45590466" w14:textId="77777777" w:rsidR="00FE5174" w:rsidRDefault="00000000">
      <w:pPr>
        <w:pStyle w:val="ListParagraph"/>
        <w:numPr>
          <w:ilvl w:val="0"/>
          <w:numId w:val="10"/>
        </w:numPr>
        <w:spacing w:after="100" w:line="276" w:lineRule="auto"/>
      </w:pPr>
      <w:r>
        <w:t>Vargas, R. E. V., et al. (2019). A realistic and public dataset with rare undesirable real events in oil wells. Journal of Petroleum Science and Engineering, 181, 106223. https://doi.org/10.1016/j.petrol.2019.106223</w:t>
      </w:r>
    </w:p>
    <w:p w14:paraId="030A98B2" w14:textId="77777777" w:rsidR="00FE5174" w:rsidRDefault="00000000">
      <w:pPr>
        <w:pStyle w:val="ListParagraph"/>
        <w:numPr>
          <w:ilvl w:val="0"/>
          <w:numId w:val="10"/>
        </w:numPr>
        <w:spacing w:after="100" w:line="276" w:lineRule="auto"/>
      </w:pPr>
      <w:r>
        <w:t>Vargas, R. E. V., et al. (2026). 3W Dataset 2.0.0: a realistic and public dataset with rare undesirable real events in oil wells. Nature Scientific Data, 13, 949. https://doi.org/10.1038/s41597-026-07225-z</w:t>
      </w:r>
    </w:p>
    <w:p w14:paraId="48909DC2" w14:textId="77777777" w:rsidR="00FE5174" w:rsidRDefault="00000000">
      <w:pPr>
        <w:pStyle w:val="ListParagraph"/>
        <w:numPr>
          <w:ilvl w:val="0"/>
          <w:numId w:val="10"/>
        </w:numPr>
        <w:spacing w:after="100" w:line="276" w:lineRule="auto"/>
      </w:pPr>
      <w:r>
        <w:t xml:space="preserve">Fernandes Jr., W., Komati, K. S., &amp; </w:t>
      </w:r>
      <w:proofErr w:type="spellStart"/>
      <w:r>
        <w:t>Gazolli</w:t>
      </w:r>
      <w:proofErr w:type="spellEnd"/>
      <w:r>
        <w:t>, K. (2024). Anomaly detection in oil-producing wells: a comparative study of one-class classifiers in a multivariate time series dataset. Journal of Petroleum Exploration and Production Technology, 14, 523–542. https://doi.org/10.1007/s13202-023-01710-6</w:t>
      </w:r>
    </w:p>
    <w:p w14:paraId="6F01050D" w14:textId="77777777" w:rsidR="00FE5174" w:rsidRDefault="00000000">
      <w:pPr>
        <w:pStyle w:val="ListParagraph"/>
        <w:numPr>
          <w:ilvl w:val="0"/>
          <w:numId w:val="10"/>
        </w:numPr>
        <w:spacing w:after="100" w:line="276" w:lineRule="auto"/>
      </w:pPr>
      <w:r>
        <w:t>Wang, Y., et al. (2024). Graph Structure Change-Based Anomaly Detection in Multivariate Time Series of Industrial Processes. IEEE Transactions on Industrial Informatics, 20(6), 8440–8450. https://doi.org/10.1109/TII.2023.3347000</w:t>
      </w:r>
    </w:p>
    <w:p w14:paraId="152BB1F2" w14:textId="77777777" w:rsidR="00FE5174" w:rsidRDefault="00000000">
      <w:pPr>
        <w:pStyle w:val="ListParagraph"/>
        <w:numPr>
          <w:ilvl w:val="0"/>
          <w:numId w:val="10"/>
        </w:numPr>
        <w:spacing w:after="100" w:line="276" w:lineRule="auto"/>
      </w:pPr>
      <w:r>
        <w:t>Khan, A., Al Farid, F., Uddin, J., et al. (2026). Early-warning industrial fault detection based on physics-guided residual learning and calibrated CRNNs. Scientific Reports, 16, 8812. https://doi.org/10.1038/s41598-026-48227-6</w:t>
      </w:r>
    </w:p>
    <w:p w14:paraId="48564BE2" w14:textId="77777777" w:rsidR="00FE5174" w:rsidRDefault="00000000">
      <w:pPr>
        <w:pStyle w:val="ListParagraph"/>
        <w:numPr>
          <w:ilvl w:val="0"/>
          <w:numId w:val="10"/>
        </w:numPr>
        <w:spacing w:after="100" w:line="276" w:lineRule="auto"/>
      </w:pPr>
      <w:r>
        <w:t>Box, G. E. P., Jenkins, G. M., Reinsel, G. C., &amp; Ljung, G. M. (2015). Time Series Analysis: Forecasting and Control (5th ed.). John Wiley &amp; Sons.</w:t>
      </w:r>
    </w:p>
    <w:p w14:paraId="31A9F512" w14:textId="77777777" w:rsidR="00FE5174" w:rsidRDefault="00000000">
      <w:pPr>
        <w:pStyle w:val="ListParagraph"/>
        <w:numPr>
          <w:ilvl w:val="0"/>
          <w:numId w:val="10"/>
        </w:numPr>
        <w:spacing w:after="100" w:line="276" w:lineRule="auto"/>
      </w:pPr>
      <w:r>
        <w:t xml:space="preserve">Hyndman, R. J., &amp; Athanasopoulos, G. (2021). Forecasting: Principles and Practice (3rd ed.). </w:t>
      </w:r>
      <w:proofErr w:type="spellStart"/>
      <w:r>
        <w:t>OTexts</w:t>
      </w:r>
      <w:proofErr w:type="spellEnd"/>
      <w:r>
        <w:t>: Melbourne, Australia.</w:t>
      </w:r>
    </w:p>
    <w:p w14:paraId="602B7074" w14:textId="77777777" w:rsidR="00FE5174" w:rsidRDefault="00000000">
      <w:pPr>
        <w:pStyle w:val="Heading1"/>
      </w:pPr>
      <w:r>
        <w:t>10. TEAM CONTRIBUTION</w:t>
      </w:r>
    </w:p>
    <w:p w14:paraId="199A813E" w14:textId="77777777" w:rsidR="00FE5174" w:rsidRDefault="00000000">
      <w:pPr>
        <w:pStyle w:val="ListParagraph"/>
        <w:numPr>
          <w:ilvl w:val="0"/>
          <w:numId w:val="2"/>
        </w:numPr>
        <w:spacing w:after="100" w:line="276" w:lineRule="auto"/>
        <w:jc w:val="both"/>
      </w:pPr>
      <w:r>
        <w:rPr>
          <w:b/>
          <w:bCs/>
        </w:rPr>
        <w:t xml:space="preserve">1. </w:t>
      </w:r>
      <w:proofErr w:type="spellStart"/>
      <w:r>
        <w:rPr>
          <w:b/>
          <w:bCs/>
        </w:rPr>
        <w:t>Ravva</w:t>
      </w:r>
      <w:proofErr w:type="spellEnd"/>
      <w:r>
        <w:rPr>
          <w:b/>
          <w:bCs/>
        </w:rPr>
        <w:t xml:space="preserve"> Nagarjun (Lead Author &amp; Submitter): </w:t>
      </w:r>
      <w:r>
        <w:t xml:space="preserve">Conceived the forecasting-based early warning research problem, designed the overall system architecture, conducted the forensic data audit of the Petrobras 3W Class 2 cohort, formulated and trained the ARIMA and SARIMAX time-series models, executed the leak-free cross-validation protocols (LOEO-CV and LOWO-CV), authored the formal technical report, and developed the interactive </w:t>
      </w:r>
      <w:proofErr w:type="spellStart"/>
      <w:r>
        <w:t>Streamlit</w:t>
      </w:r>
      <w:proofErr w:type="spellEnd"/>
      <w:r>
        <w:t xml:space="preserve"> intelligence platform.</w:t>
      </w:r>
    </w:p>
    <w:p w14:paraId="575CD84D" w14:textId="77777777" w:rsidR="00FE5174" w:rsidRDefault="00000000">
      <w:pPr>
        <w:pStyle w:val="ListParagraph"/>
        <w:numPr>
          <w:ilvl w:val="0"/>
          <w:numId w:val="2"/>
        </w:numPr>
        <w:spacing w:after="100" w:line="276" w:lineRule="auto"/>
        <w:jc w:val="both"/>
      </w:pPr>
      <w:r>
        <w:rPr>
          <w:b/>
          <w:bCs/>
        </w:rPr>
        <w:t xml:space="preserve">2. Naveen Kumar N (Co-Author &amp; Contributor): </w:t>
      </w:r>
      <w:r>
        <w:t>Conducted the comprehensive literature review across the five foundational academic research papers, implemented the data ingestion and uniform resampling pipeline, conducted exploratory data analysis and stationarity testing (ADF and KPSS), developed evaluation metrics (MAE, RMSE, MAPE, and advance lead time quantification), and constructed the comparative benchmarking visualizations.</w:t>
      </w:r>
    </w:p>
    <w:sectPr w:rsidR="00FE5174">
      <w:footerReference w:type="default" r:id="rId11"/>
      <w:footerReference w:type="first" r:id="rId12"/>
      <w:pgSz w:w="11906" w:h="16838"/>
      <w:pgMar w:top="1100" w:right="1080" w:bottom="1100" w:left="108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88910" w14:textId="77777777" w:rsidR="0032486C" w:rsidRDefault="0032486C">
      <w:r>
        <w:separator/>
      </w:r>
    </w:p>
  </w:endnote>
  <w:endnote w:type="continuationSeparator" w:id="0">
    <w:p w14:paraId="1F7A75BA" w14:textId="77777777" w:rsidR="0032486C" w:rsidRDefault="00324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C0B7" w14:textId="77777777" w:rsidR="00FE517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17361">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BE9A" w14:textId="77777777" w:rsidR="00FE5174" w:rsidRDefault="00FE51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5AB6F" w14:textId="77777777" w:rsidR="0032486C" w:rsidRDefault="0032486C">
      <w:r>
        <w:separator/>
      </w:r>
    </w:p>
  </w:footnote>
  <w:footnote w:type="continuationSeparator" w:id="0">
    <w:p w14:paraId="21F4457B" w14:textId="77777777" w:rsidR="0032486C" w:rsidRDefault="003248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EAE"/>
    <w:multiLevelType w:val="hybridMultilevel"/>
    <w:tmpl w:val="4FC227FC"/>
    <w:lvl w:ilvl="0" w:tplc="66E6E700">
      <w:start w:val="1"/>
      <w:numFmt w:val="decimal"/>
      <w:lvlText w:val="%1."/>
      <w:lvlJc w:val="left"/>
      <w:pPr>
        <w:ind w:left="720" w:hanging="360"/>
      </w:pPr>
    </w:lvl>
    <w:lvl w:ilvl="1" w:tplc="ACE8E176">
      <w:numFmt w:val="decimal"/>
      <w:lvlText w:val=""/>
      <w:lvlJc w:val="left"/>
    </w:lvl>
    <w:lvl w:ilvl="2" w:tplc="E676C5D6">
      <w:numFmt w:val="decimal"/>
      <w:lvlText w:val=""/>
      <w:lvlJc w:val="left"/>
    </w:lvl>
    <w:lvl w:ilvl="3" w:tplc="2B2E1064">
      <w:numFmt w:val="decimal"/>
      <w:lvlText w:val=""/>
      <w:lvlJc w:val="left"/>
    </w:lvl>
    <w:lvl w:ilvl="4" w:tplc="4784FF06">
      <w:numFmt w:val="decimal"/>
      <w:lvlText w:val=""/>
      <w:lvlJc w:val="left"/>
    </w:lvl>
    <w:lvl w:ilvl="5" w:tplc="3F90CE20">
      <w:numFmt w:val="decimal"/>
      <w:lvlText w:val=""/>
      <w:lvlJc w:val="left"/>
    </w:lvl>
    <w:lvl w:ilvl="6" w:tplc="2710F3D8">
      <w:numFmt w:val="decimal"/>
      <w:lvlText w:val=""/>
      <w:lvlJc w:val="left"/>
    </w:lvl>
    <w:lvl w:ilvl="7" w:tplc="3B0EE5C0">
      <w:numFmt w:val="decimal"/>
      <w:lvlText w:val=""/>
      <w:lvlJc w:val="left"/>
    </w:lvl>
    <w:lvl w:ilvl="8" w:tplc="9E9EC542">
      <w:numFmt w:val="decimal"/>
      <w:lvlText w:val=""/>
      <w:lvlJc w:val="left"/>
    </w:lvl>
  </w:abstractNum>
  <w:abstractNum w:abstractNumId="1" w15:restartNumberingAfterBreak="0">
    <w:nsid w:val="0EAB635D"/>
    <w:multiLevelType w:val="hybridMultilevel"/>
    <w:tmpl w:val="4DBA3D9A"/>
    <w:lvl w:ilvl="0" w:tplc="A0E27976">
      <w:start w:val="1"/>
      <w:numFmt w:val="decimal"/>
      <w:lvlText w:val="%1."/>
      <w:lvlJc w:val="left"/>
      <w:pPr>
        <w:ind w:left="720" w:hanging="360"/>
      </w:pPr>
    </w:lvl>
    <w:lvl w:ilvl="1" w:tplc="3172578A">
      <w:numFmt w:val="decimal"/>
      <w:lvlText w:val=""/>
      <w:lvlJc w:val="left"/>
    </w:lvl>
    <w:lvl w:ilvl="2" w:tplc="A3B604C6">
      <w:numFmt w:val="decimal"/>
      <w:lvlText w:val=""/>
      <w:lvlJc w:val="left"/>
    </w:lvl>
    <w:lvl w:ilvl="3" w:tplc="5E2C11FA">
      <w:numFmt w:val="decimal"/>
      <w:lvlText w:val=""/>
      <w:lvlJc w:val="left"/>
    </w:lvl>
    <w:lvl w:ilvl="4" w:tplc="E984F50A">
      <w:numFmt w:val="decimal"/>
      <w:lvlText w:val=""/>
      <w:lvlJc w:val="left"/>
    </w:lvl>
    <w:lvl w:ilvl="5" w:tplc="41585B4E">
      <w:numFmt w:val="decimal"/>
      <w:lvlText w:val=""/>
      <w:lvlJc w:val="left"/>
    </w:lvl>
    <w:lvl w:ilvl="6" w:tplc="30746002">
      <w:numFmt w:val="decimal"/>
      <w:lvlText w:val=""/>
      <w:lvlJc w:val="left"/>
    </w:lvl>
    <w:lvl w:ilvl="7" w:tplc="C9FEBB6E">
      <w:numFmt w:val="decimal"/>
      <w:lvlText w:val=""/>
      <w:lvlJc w:val="left"/>
    </w:lvl>
    <w:lvl w:ilvl="8" w:tplc="E9DA0E6E">
      <w:numFmt w:val="decimal"/>
      <w:lvlText w:val=""/>
      <w:lvlJc w:val="left"/>
    </w:lvl>
  </w:abstractNum>
  <w:abstractNum w:abstractNumId="2" w15:restartNumberingAfterBreak="0">
    <w:nsid w:val="12811313"/>
    <w:multiLevelType w:val="hybridMultilevel"/>
    <w:tmpl w:val="D0E2207E"/>
    <w:lvl w:ilvl="0" w:tplc="D130D5B6">
      <w:start w:val="1"/>
      <w:numFmt w:val="decimal"/>
      <w:lvlText w:val="%1."/>
      <w:lvlJc w:val="left"/>
      <w:pPr>
        <w:ind w:left="720" w:hanging="360"/>
      </w:pPr>
    </w:lvl>
    <w:lvl w:ilvl="1" w:tplc="58841B14">
      <w:numFmt w:val="decimal"/>
      <w:lvlText w:val=""/>
      <w:lvlJc w:val="left"/>
    </w:lvl>
    <w:lvl w:ilvl="2" w:tplc="50D8C34E">
      <w:numFmt w:val="decimal"/>
      <w:lvlText w:val=""/>
      <w:lvlJc w:val="left"/>
    </w:lvl>
    <w:lvl w:ilvl="3" w:tplc="F9225960">
      <w:numFmt w:val="decimal"/>
      <w:lvlText w:val=""/>
      <w:lvlJc w:val="left"/>
    </w:lvl>
    <w:lvl w:ilvl="4" w:tplc="508EDDE2">
      <w:numFmt w:val="decimal"/>
      <w:lvlText w:val=""/>
      <w:lvlJc w:val="left"/>
    </w:lvl>
    <w:lvl w:ilvl="5" w:tplc="B94041AA">
      <w:numFmt w:val="decimal"/>
      <w:lvlText w:val=""/>
      <w:lvlJc w:val="left"/>
    </w:lvl>
    <w:lvl w:ilvl="6" w:tplc="60F63BEE">
      <w:numFmt w:val="decimal"/>
      <w:lvlText w:val=""/>
      <w:lvlJc w:val="left"/>
    </w:lvl>
    <w:lvl w:ilvl="7" w:tplc="92707C00">
      <w:numFmt w:val="decimal"/>
      <w:lvlText w:val=""/>
      <w:lvlJc w:val="left"/>
    </w:lvl>
    <w:lvl w:ilvl="8" w:tplc="987EA95C">
      <w:numFmt w:val="decimal"/>
      <w:lvlText w:val=""/>
      <w:lvlJc w:val="left"/>
    </w:lvl>
  </w:abstractNum>
  <w:abstractNum w:abstractNumId="3" w15:restartNumberingAfterBreak="0">
    <w:nsid w:val="1D6C6E51"/>
    <w:multiLevelType w:val="hybridMultilevel"/>
    <w:tmpl w:val="DA1621D0"/>
    <w:lvl w:ilvl="0" w:tplc="A2483760">
      <w:start w:val="1"/>
      <w:numFmt w:val="decimal"/>
      <w:lvlText w:val="%1."/>
      <w:lvlJc w:val="left"/>
      <w:pPr>
        <w:ind w:left="720" w:hanging="360"/>
      </w:pPr>
    </w:lvl>
    <w:lvl w:ilvl="1" w:tplc="BC86183C">
      <w:numFmt w:val="decimal"/>
      <w:lvlText w:val=""/>
      <w:lvlJc w:val="left"/>
    </w:lvl>
    <w:lvl w:ilvl="2" w:tplc="3B4C524E">
      <w:numFmt w:val="decimal"/>
      <w:lvlText w:val=""/>
      <w:lvlJc w:val="left"/>
    </w:lvl>
    <w:lvl w:ilvl="3" w:tplc="E398D13A">
      <w:numFmt w:val="decimal"/>
      <w:lvlText w:val=""/>
      <w:lvlJc w:val="left"/>
    </w:lvl>
    <w:lvl w:ilvl="4" w:tplc="43D49A34">
      <w:numFmt w:val="decimal"/>
      <w:lvlText w:val=""/>
      <w:lvlJc w:val="left"/>
    </w:lvl>
    <w:lvl w:ilvl="5" w:tplc="6B228F5E">
      <w:numFmt w:val="decimal"/>
      <w:lvlText w:val=""/>
      <w:lvlJc w:val="left"/>
    </w:lvl>
    <w:lvl w:ilvl="6" w:tplc="A34C3758">
      <w:numFmt w:val="decimal"/>
      <w:lvlText w:val=""/>
      <w:lvlJc w:val="left"/>
    </w:lvl>
    <w:lvl w:ilvl="7" w:tplc="BDBE91DC">
      <w:numFmt w:val="decimal"/>
      <w:lvlText w:val=""/>
      <w:lvlJc w:val="left"/>
    </w:lvl>
    <w:lvl w:ilvl="8" w:tplc="3F562C5C">
      <w:numFmt w:val="decimal"/>
      <w:lvlText w:val=""/>
      <w:lvlJc w:val="left"/>
    </w:lvl>
  </w:abstractNum>
  <w:abstractNum w:abstractNumId="4" w15:restartNumberingAfterBreak="0">
    <w:nsid w:val="36DB2D9F"/>
    <w:multiLevelType w:val="hybridMultilevel"/>
    <w:tmpl w:val="B5E6D0E8"/>
    <w:lvl w:ilvl="0" w:tplc="FD92624C">
      <w:start w:val="1"/>
      <w:numFmt w:val="bullet"/>
      <w:lvlText w:val="•"/>
      <w:lvlJc w:val="left"/>
      <w:pPr>
        <w:ind w:left="720" w:hanging="360"/>
      </w:pPr>
    </w:lvl>
    <w:lvl w:ilvl="1" w:tplc="735E5864">
      <w:numFmt w:val="decimal"/>
      <w:lvlText w:val=""/>
      <w:lvlJc w:val="left"/>
    </w:lvl>
    <w:lvl w:ilvl="2" w:tplc="5C1C25B8">
      <w:numFmt w:val="decimal"/>
      <w:lvlText w:val=""/>
      <w:lvlJc w:val="left"/>
    </w:lvl>
    <w:lvl w:ilvl="3" w:tplc="8104F0AA">
      <w:numFmt w:val="decimal"/>
      <w:lvlText w:val=""/>
      <w:lvlJc w:val="left"/>
    </w:lvl>
    <w:lvl w:ilvl="4" w:tplc="3C04BD1E">
      <w:numFmt w:val="decimal"/>
      <w:lvlText w:val=""/>
      <w:lvlJc w:val="left"/>
    </w:lvl>
    <w:lvl w:ilvl="5" w:tplc="BF38612C">
      <w:numFmt w:val="decimal"/>
      <w:lvlText w:val=""/>
      <w:lvlJc w:val="left"/>
    </w:lvl>
    <w:lvl w:ilvl="6" w:tplc="2E46B58E">
      <w:numFmt w:val="decimal"/>
      <w:lvlText w:val=""/>
      <w:lvlJc w:val="left"/>
    </w:lvl>
    <w:lvl w:ilvl="7" w:tplc="968040BA">
      <w:numFmt w:val="decimal"/>
      <w:lvlText w:val=""/>
      <w:lvlJc w:val="left"/>
    </w:lvl>
    <w:lvl w:ilvl="8" w:tplc="B06EDDDE">
      <w:numFmt w:val="decimal"/>
      <w:lvlText w:val=""/>
      <w:lvlJc w:val="left"/>
    </w:lvl>
  </w:abstractNum>
  <w:abstractNum w:abstractNumId="5" w15:restartNumberingAfterBreak="0">
    <w:nsid w:val="433F7C88"/>
    <w:multiLevelType w:val="hybridMultilevel"/>
    <w:tmpl w:val="82D0E4DE"/>
    <w:lvl w:ilvl="0" w:tplc="BC80EF56">
      <w:start w:val="1"/>
      <w:numFmt w:val="decimal"/>
      <w:lvlText w:val="%1."/>
      <w:lvlJc w:val="left"/>
      <w:pPr>
        <w:ind w:left="720" w:hanging="360"/>
      </w:pPr>
    </w:lvl>
    <w:lvl w:ilvl="1" w:tplc="4FA4AD86">
      <w:numFmt w:val="decimal"/>
      <w:lvlText w:val=""/>
      <w:lvlJc w:val="left"/>
    </w:lvl>
    <w:lvl w:ilvl="2" w:tplc="5C7C7D4E">
      <w:numFmt w:val="decimal"/>
      <w:lvlText w:val=""/>
      <w:lvlJc w:val="left"/>
    </w:lvl>
    <w:lvl w:ilvl="3" w:tplc="936044C2">
      <w:numFmt w:val="decimal"/>
      <w:lvlText w:val=""/>
      <w:lvlJc w:val="left"/>
    </w:lvl>
    <w:lvl w:ilvl="4" w:tplc="3126EFC6">
      <w:numFmt w:val="decimal"/>
      <w:lvlText w:val=""/>
      <w:lvlJc w:val="left"/>
    </w:lvl>
    <w:lvl w:ilvl="5" w:tplc="36C238A6">
      <w:numFmt w:val="decimal"/>
      <w:lvlText w:val=""/>
      <w:lvlJc w:val="left"/>
    </w:lvl>
    <w:lvl w:ilvl="6" w:tplc="BA4EB7B2">
      <w:numFmt w:val="decimal"/>
      <w:lvlText w:val=""/>
      <w:lvlJc w:val="left"/>
    </w:lvl>
    <w:lvl w:ilvl="7" w:tplc="BF36136C">
      <w:numFmt w:val="decimal"/>
      <w:lvlText w:val=""/>
      <w:lvlJc w:val="left"/>
    </w:lvl>
    <w:lvl w:ilvl="8" w:tplc="9384A168">
      <w:numFmt w:val="decimal"/>
      <w:lvlText w:val=""/>
      <w:lvlJc w:val="left"/>
    </w:lvl>
  </w:abstractNum>
  <w:abstractNum w:abstractNumId="6" w15:restartNumberingAfterBreak="0">
    <w:nsid w:val="487617C2"/>
    <w:multiLevelType w:val="hybridMultilevel"/>
    <w:tmpl w:val="F2D0A106"/>
    <w:lvl w:ilvl="0" w:tplc="FAECB7A6">
      <w:start w:val="1"/>
      <w:numFmt w:val="bullet"/>
      <w:lvlText w:val="●"/>
      <w:lvlJc w:val="left"/>
      <w:pPr>
        <w:ind w:left="720" w:hanging="360"/>
      </w:pPr>
    </w:lvl>
    <w:lvl w:ilvl="1" w:tplc="F3D260E8">
      <w:start w:val="1"/>
      <w:numFmt w:val="bullet"/>
      <w:lvlText w:val="○"/>
      <w:lvlJc w:val="left"/>
      <w:pPr>
        <w:ind w:left="1440" w:hanging="360"/>
      </w:pPr>
    </w:lvl>
    <w:lvl w:ilvl="2" w:tplc="408207D8">
      <w:start w:val="1"/>
      <w:numFmt w:val="bullet"/>
      <w:lvlText w:val="■"/>
      <w:lvlJc w:val="left"/>
      <w:pPr>
        <w:ind w:left="2160" w:hanging="360"/>
      </w:pPr>
    </w:lvl>
    <w:lvl w:ilvl="3" w:tplc="64442436">
      <w:start w:val="1"/>
      <w:numFmt w:val="bullet"/>
      <w:lvlText w:val="●"/>
      <w:lvlJc w:val="left"/>
      <w:pPr>
        <w:ind w:left="2880" w:hanging="360"/>
      </w:pPr>
    </w:lvl>
    <w:lvl w:ilvl="4" w:tplc="79DED4AE">
      <w:start w:val="1"/>
      <w:numFmt w:val="bullet"/>
      <w:lvlText w:val="○"/>
      <w:lvlJc w:val="left"/>
      <w:pPr>
        <w:ind w:left="3600" w:hanging="360"/>
      </w:pPr>
    </w:lvl>
    <w:lvl w:ilvl="5" w:tplc="D6B0C82E">
      <w:start w:val="1"/>
      <w:numFmt w:val="bullet"/>
      <w:lvlText w:val="■"/>
      <w:lvlJc w:val="left"/>
      <w:pPr>
        <w:ind w:left="4320" w:hanging="360"/>
      </w:pPr>
    </w:lvl>
    <w:lvl w:ilvl="6" w:tplc="2A44D040">
      <w:start w:val="1"/>
      <w:numFmt w:val="bullet"/>
      <w:lvlText w:val="●"/>
      <w:lvlJc w:val="left"/>
      <w:pPr>
        <w:ind w:left="5040" w:hanging="360"/>
      </w:pPr>
    </w:lvl>
    <w:lvl w:ilvl="7" w:tplc="B164BC90">
      <w:start w:val="1"/>
      <w:numFmt w:val="bullet"/>
      <w:lvlText w:val="●"/>
      <w:lvlJc w:val="left"/>
      <w:pPr>
        <w:ind w:left="5760" w:hanging="360"/>
      </w:pPr>
    </w:lvl>
    <w:lvl w:ilvl="8" w:tplc="861C4160">
      <w:start w:val="1"/>
      <w:numFmt w:val="bullet"/>
      <w:lvlText w:val="●"/>
      <w:lvlJc w:val="left"/>
      <w:pPr>
        <w:ind w:left="6480" w:hanging="360"/>
      </w:pPr>
    </w:lvl>
  </w:abstractNum>
  <w:abstractNum w:abstractNumId="7" w15:restartNumberingAfterBreak="0">
    <w:nsid w:val="4ABC55D2"/>
    <w:multiLevelType w:val="hybridMultilevel"/>
    <w:tmpl w:val="32B0E5BA"/>
    <w:lvl w:ilvl="0" w:tplc="962CB56A">
      <w:start w:val="1"/>
      <w:numFmt w:val="decimal"/>
      <w:lvlText w:val="%1."/>
      <w:lvlJc w:val="left"/>
      <w:pPr>
        <w:ind w:left="720" w:hanging="360"/>
      </w:pPr>
    </w:lvl>
    <w:lvl w:ilvl="1" w:tplc="1DE4203E">
      <w:numFmt w:val="decimal"/>
      <w:lvlText w:val=""/>
      <w:lvlJc w:val="left"/>
    </w:lvl>
    <w:lvl w:ilvl="2" w:tplc="38F0E112">
      <w:numFmt w:val="decimal"/>
      <w:lvlText w:val=""/>
      <w:lvlJc w:val="left"/>
    </w:lvl>
    <w:lvl w:ilvl="3" w:tplc="FBFEF60A">
      <w:numFmt w:val="decimal"/>
      <w:lvlText w:val=""/>
      <w:lvlJc w:val="left"/>
    </w:lvl>
    <w:lvl w:ilvl="4" w:tplc="A6DA99AE">
      <w:numFmt w:val="decimal"/>
      <w:lvlText w:val=""/>
      <w:lvlJc w:val="left"/>
    </w:lvl>
    <w:lvl w:ilvl="5" w:tplc="2B327A02">
      <w:numFmt w:val="decimal"/>
      <w:lvlText w:val=""/>
      <w:lvlJc w:val="left"/>
    </w:lvl>
    <w:lvl w:ilvl="6" w:tplc="3C1E9A32">
      <w:numFmt w:val="decimal"/>
      <w:lvlText w:val=""/>
      <w:lvlJc w:val="left"/>
    </w:lvl>
    <w:lvl w:ilvl="7" w:tplc="1C2C2A14">
      <w:numFmt w:val="decimal"/>
      <w:lvlText w:val=""/>
      <w:lvlJc w:val="left"/>
    </w:lvl>
    <w:lvl w:ilvl="8" w:tplc="98E28B14">
      <w:numFmt w:val="decimal"/>
      <w:lvlText w:val=""/>
      <w:lvlJc w:val="left"/>
    </w:lvl>
  </w:abstractNum>
  <w:abstractNum w:abstractNumId="8" w15:restartNumberingAfterBreak="0">
    <w:nsid w:val="705424AB"/>
    <w:multiLevelType w:val="hybridMultilevel"/>
    <w:tmpl w:val="D548DC56"/>
    <w:lvl w:ilvl="0" w:tplc="5D3051A4">
      <w:start w:val="1"/>
      <w:numFmt w:val="decimal"/>
      <w:lvlText w:val="%1."/>
      <w:lvlJc w:val="left"/>
      <w:pPr>
        <w:ind w:left="720" w:hanging="360"/>
      </w:pPr>
    </w:lvl>
    <w:lvl w:ilvl="1" w:tplc="857AF976">
      <w:numFmt w:val="decimal"/>
      <w:lvlText w:val=""/>
      <w:lvlJc w:val="left"/>
    </w:lvl>
    <w:lvl w:ilvl="2" w:tplc="D8CCC102">
      <w:numFmt w:val="decimal"/>
      <w:lvlText w:val=""/>
      <w:lvlJc w:val="left"/>
    </w:lvl>
    <w:lvl w:ilvl="3" w:tplc="EF145A92">
      <w:numFmt w:val="decimal"/>
      <w:lvlText w:val=""/>
      <w:lvlJc w:val="left"/>
    </w:lvl>
    <w:lvl w:ilvl="4" w:tplc="03FE831A">
      <w:numFmt w:val="decimal"/>
      <w:lvlText w:val=""/>
      <w:lvlJc w:val="left"/>
    </w:lvl>
    <w:lvl w:ilvl="5" w:tplc="F3185F0A">
      <w:numFmt w:val="decimal"/>
      <w:lvlText w:val=""/>
      <w:lvlJc w:val="left"/>
    </w:lvl>
    <w:lvl w:ilvl="6" w:tplc="693ECB80">
      <w:numFmt w:val="decimal"/>
      <w:lvlText w:val=""/>
      <w:lvlJc w:val="left"/>
    </w:lvl>
    <w:lvl w:ilvl="7" w:tplc="9AF42644">
      <w:numFmt w:val="decimal"/>
      <w:lvlText w:val=""/>
      <w:lvlJc w:val="left"/>
    </w:lvl>
    <w:lvl w:ilvl="8" w:tplc="5114F88C">
      <w:numFmt w:val="decimal"/>
      <w:lvlText w:val=""/>
      <w:lvlJc w:val="left"/>
    </w:lvl>
  </w:abstractNum>
  <w:abstractNum w:abstractNumId="9" w15:restartNumberingAfterBreak="0">
    <w:nsid w:val="76475AA2"/>
    <w:multiLevelType w:val="hybridMultilevel"/>
    <w:tmpl w:val="72C45636"/>
    <w:lvl w:ilvl="0" w:tplc="EA487FF8">
      <w:start w:val="1"/>
      <w:numFmt w:val="decimal"/>
      <w:lvlText w:val="%1."/>
      <w:lvlJc w:val="left"/>
      <w:pPr>
        <w:ind w:left="720" w:hanging="360"/>
      </w:pPr>
    </w:lvl>
    <w:lvl w:ilvl="1" w:tplc="B044C898">
      <w:numFmt w:val="decimal"/>
      <w:lvlText w:val=""/>
      <w:lvlJc w:val="left"/>
    </w:lvl>
    <w:lvl w:ilvl="2" w:tplc="E19E277C">
      <w:numFmt w:val="decimal"/>
      <w:lvlText w:val=""/>
      <w:lvlJc w:val="left"/>
    </w:lvl>
    <w:lvl w:ilvl="3" w:tplc="4A1C6546">
      <w:numFmt w:val="decimal"/>
      <w:lvlText w:val=""/>
      <w:lvlJc w:val="left"/>
    </w:lvl>
    <w:lvl w:ilvl="4" w:tplc="C32C1D74">
      <w:numFmt w:val="decimal"/>
      <w:lvlText w:val=""/>
      <w:lvlJc w:val="left"/>
    </w:lvl>
    <w:lvl w:ilvl="5" w:tplc="439AB872">
      <w:numFmt w:val="decimal"/>
      <w:lvlText w:val=""/>
      <w:lvlJc w:val="left"/>
    </w:lvl>
    <w:lvl w:ilvl="6" w:tplc="7C6E01B4">
      <w:numFmt w:val="decimal"/>
      <w:lvlText w:val=""/>
      <w:lvlJc w:val="left"/>
    </w:lvl>
    <w:lvl w:ilvl="7" w:tplc="A2A04952">
      <w:numFmt w:val="decimal"/>
      <w:lvlText w:val=""/>
      <w:lvlJc w:val="left"/>
    </w:lvl>
    <w:lvl w:ilvl="8" w:tplc="4DAC42DA">
      <w:numFmt w:val="decimal"/>
      <w:lvlText w:val=""/>
      <w:lvlJc w:val="left"/>
    </w:lvl>
  </w:abstractNum>
  <w:num w:numId="1" w16cid:durableId="1552498097">
    <w:abstractNumId w:val="6"/>
    <w:lvlOverride w:ilvl="0">
      <w:startOverride w:val="1"/>
    </w:lvlOverride>
  </w:num>
  <w:num w:numId="2" w16cid:durableId="1568032771">
    <w:abstractNumId w:val="4"/>
    <w:lvlOverride w:ilvl="0">
      <w:startOverride w:val="1"/>
    </w:lvlOverride>
  </w:num>
  <w:num w:numId="3" w16cid:durableId="1364285081">
    <w:abstractNumId w:val="3"/>
    <w:lvlOverride w:ilvl="0">
      <w:startOverride w:val="1"/>
    </w:lvlOverride>
  </w:num>
  <w:num w:numId="4" w16cid:durableId="413744686">
    <w:abstractNumId w:val="5"/>
    <w:lvlOverride w:ilvl="0">
      <w:startOverride w:val="1"/>
    </w:lvlOverride>
  </w:num>
  <w:num w:numId="5" w16cid:durableId="950742079">
    <w:abstractNumId w:val="0"/>
    <w:lvlOverride w:ilvl="0">
      <w:startOverride w:val="1"/>
    </w:lvlOverride>
  </w:num>
  <w:num w:numId="6" w16cid:durableId="366491683">
    <w:abstractNumId w:val="7"/>
    <w:lvlOverride w:ilvl="0">
      <w:startOverride w:val="1"/>
    </w:lvlOverride>
  </w:num>
  <w:num w:numId="7" w16cid:durableId="955598607">
    <w:abstractNumId w:val="1"/>
    <w:lvlOverride w:ilvl="0">
      <w:startOverride w:val="1"/>
    </w:lvlOverride>
  </w:num>
  <w:num w:numId="8" w16cid:durableId="540092934">
    <w:abstractNumId w:val="8"/>
    <w:lvlOverride w:ilvl="0">
      <w:startOverride w:val="1"/>
    </w:lvlOverride>
  </w:num>
  <w:num w:numId="9" w16cid:durableId="479538004">
    <w:abstractNumId w:val="9"/>
    <w:lvlOverride w:ilvl="0">
      <w:startOverride w:val="1"/>
    </w:lvlOverride>
  </w:num>
  <w:num w:numId="10" w16cid:durableId="5895079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74"/>
    <w:rsid w:val="0001264E"/>
    <w:rsid w:val="00021336"/>
    <w:rsid w:val="00261D50"/>
    <w:rsid w:val="0027210B"/>
    <w:rsid w:val="0032486C"/>
    <w:rsid w:val="003C6551"/>
    <w:rsid w:val="004C26B1"/>
    <w:rsid w:val="004D415E"/>
    <w:rsid w:val="006B77C4"/>
    <w:rsid w:val="006C66D7"/>
    <w:rsid w:val="007C3874"/>
    <w:rsid w:val="00AA2562"/>
    <w:rsid w:val="00B4594A"/>
    <w:rsid w:val="00D667AB"/>
    <w:rsid w:val="00E17361"/>
    <w:rsid w:val="00E907B7"/>
    <w:rsid w:val="00EB6E96"/>
    <w:rsid w:val="00ED13FA"/>
    <w:rsid w:val="00FE5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437D"/>
  <w15:docId w15:val="{32E69333-BCF8-423A-A6A4-C968F1D69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1F3864"/>
      </w:pBdr>
      <w:spacing w:before="320" w:after="160"/>
      <w:outlineLvl w:val="0"/>
    </w:pPr>
    <w:rPr>
      <w:b/>
      <w:bCs/>
      <w:color w:val="1F3864"/>
      <w:sz w:val="28"/>
      <w:szCs w:val="28"/>
    </w:rPr>
  </w:style>
  <w:style w:type="paragraph" w:styleId="Heading2">
    <w:name w:val="heading 2"/>
    <w:uiPriority w:val="9"/>
    <w:unhideWhenUsed/>
    <w:qFormat/>
    <w:pPr>
      <w:keepNext/>
      <w:spacing w:before="24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15</Pages>
  <Words>4927</Words>
  <Characters>28085</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OILGUARD: Forecasting-Based Early Warning of Abnormal Events in Oil Wells</vt:lpstr>
    </vt:vector>
  </TitlesOfParts>
  <Company/>
  <LinksUpToDate>false</LinksUpToDate>
  <CharactersWithSpaces>32947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OILGUARD: Forecasting-Based Early Warning of Abnormal Events in Oil Wells</dc:title>
  <dc:creator>Ravva Nagarjun &amp; Naveen Kumar N</dc:creator>
  <cp:lastModifiedBy>ARJUN R</cp:lastModifiedBy>
  <cp:revision>7</cp:revision>
  <cp:lastPrinted>2026-10-29T08:59:00Z</cp:lastPrinted>
  <dcterms:created xsi:type="dcterms:W3CDTF">2026-10-28T14:54:00Z</dcterms:created>
  <dcterms:modified xsi:type="dcterms:W3CDTF">2026-10-29T09:01:00Z</dcterms:modified>
</cp:coreProperties>
</file>