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2"/>
        </w:rPr>
        <w:t>OILGUARD: Forecasting-Based Early Warning of Abnormal Events in Oil Wells</w:t>
      </w:r>
    </w:p>
    <w:p>
      <w:pPr>
        <w:spacing w:after="240"/>
      </w:pPr>
      <w:r>
        <w:rPr>
          <w:rFonts w:ascii="Calibri" w:hAnsi="Calibri"/>
          <w:i/>
          <w:color w:val="555555"/>
          <w:sz w:val="24"/>
        </w:rPr>
        <w:t>Technical Research Report: Chronological Investigation, Empirical Results, and Reconciled Multi-Protocol Audit</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60" w:type="dxa"/>
              <w:right w:w="160" w:type="dxa"/>
            </w:tcMar>
          </w:tcPr>
          <w:p>
            <w:pPr>
              <w:spacing w:line="288" w:lineRule="auto" w:after="0"/>
            </w:pPr>
            <w:r>
              <w:rPr>
                <w:b/>
                <w:color w:val="0A3663"/>
                <w:sz w:val="19"/>
              </w:rPr>
              <w:t xml:space="preserve">Authors: </w:t>
            </w:r>
            <w:r>
              <w:rPr>
                <w:b w:val="0"/>
                <w:sz w:val="19"/>
              </w:rPr>
              <w:t>Ravva Nagarjun &amp; Naveen Kumar N</w:t>
              <w:br/>
            </w:r>
            <w:r>
              <w:rPr>
                <w:b/>
                <w:color w:val="0A3663"/>
                <w:sz w:val="19"/>
              </w:rPr>
              <w:t xml:space="preserve">Domain: </w:t>
            </w:r>
            <w:r>
              <w:rPr>
                <w:b w:val="0"/>
                <w:sz w:val="19"/>
              </w:rPr>
              <w:t>Offshore Petroleum Engineering &amp; Time Series Anomaly Detection</w:t>
              <w:br/>
            </w:r>
            <w:r>
              <w:rPr>
                <w:b/>
                <w:color w:val="0A3663"/>
                <w:sz w:val="19"/>
              </w:rPr>
              <w:t xml:space="preserve">Target Event: </w:t>
            </w:r>
            <w:r>
              <w:rPr>
                <w:b w:val="0"/>
                <w:sz w:val="19"/>
              </w:rPr>
              <w:t>Class 2 — Spurious Closure of Downhole Safety Valve (DHSV)</w:t>
              <w:br/>
            </w:r>
            <w:r>
              <w:rPr>
                <w:b/>
                <w:color w:val="0A3663"/>
                <w:sz w:val="19"/>
              </w:rPr>
              <w:t xml:space="preserve">Sensors: </w:t>
            </w:r>
            <w:r>
              <w:rPr>
                <w:b w:val="0"/>
                <w:sz w:val="19"/>
              </w:rPr>
              <w:t>Downhole Pressure Transducer (P-TPT, MPa) &amp; Temperature Transducer (T-TPT, °C)</w:t>
              <w:br/>
            </w:r>
            <w:r>
              <w:rPr>
                <w:b/>
                <w:color w:val="0A3663"/>
                <w:sz w:val="19"/>
              </w:rPr>
              <w:t xml:space="preserve">Benchmark Dataset: </w:t>
            </w:r>
            <w:r>
              <w:rPr>
                <w:b w:val="0"/>
                <w:sz w:val="19"/>
              </w:rPr>
              <w:t>Petrobras 3W Dataset v2.0.0 (Authentic Offshore Production Wells)</w:t>
              <w:br/>
            </w:r>
            <w:r>
              <w:rPr>
                <w:b/>
                <w:color w:val="0A3663"/>
                <w:sz w:val="19"/>
              </w:rPr>
              <w:t xml:space="preserve">Verified Cohort: </w:t>
            </w:r>
            <w:r>
              <w:rPr>
                <w:b w:val="0"/>
                <w:sz w:val="19"/>
              </w:rPr>
              <w:t>19 Gold-Standard Real-Well Events (Strict Denominator = 19 across 5 Physical Wells)</w:t>
              <w:br/>
            </w:r>
            <w:r>
              <w:rPr>
                <w:b/>
                <w:color w:val="0A3663"/>
                <w:sz w:val="19"/>
              </w:rPr>
              <w:t xml:space="preserve">Evaluation Protocols: </w:t>
            </w:r>
            <w:r>
              <w:rPr>
                <w:b w:val="0"/>
                <w:sz w:val="19"/>
              </w:rPr>
              <w:t>Protocol 1 (Within-Event), Protocol 2 (Cross-Event LOEO-CV), Protocol 3 (Cross-Well LOWO-CV)</w:t>
              <w:br/>
            </w:r>
            <w:r>
              <w:rPr>
                <w:b/>
                <w:color w:val="0A3663"/>
                <w:sz w:val="19"/>
              </w:rPr>
              <w:t xml:space="preserve">Report Version: </w:t>
            </w:r>
            <w:r>
              <w:rPr>
                <w:b w:val="0"/>
                <w:sz w:val="19"/>
              </w:rPr>
              <w:t>Audited Final v3.0 (Comprehensive Chronological Progression)</w:t>
            </w:r>
          </w:p>
        </w:tc>
      </w:tr>
    </w:tbl>
    <w:p>
      <w:pPr>
        <w:spacing w:after="160"/>
      </w:pPr>
    </w:p>
    <w:p>
      <w:pPr>
        <w:pStyle w:val="Heading1"/>
      </w:pPr>
      <w:r>
        <w:t>1. Executive Summary &amp; Narrative Roadmap</w:t>
      </w:r>
    </w:p>
    <w:p>
      <w:r>
        <w:t>In deepwater petroleum completions, an uncommanded or spurious closure of the Downhole Safety Valve (DHSV, designated as Class 2 in the Petrobras 3W benchmark) represents a high-consequence operational emergency. The DHSV flapper slams shut into the multiphase production stream hundreds of meters beneath the seabed, isolating the high-pressure reservoir upstream while triggering severe hydrodynamic pressure collapse and acoustic shock downstream. In conventional offshore Supervisory Control and Data Acquisition (SCADA) systems, alarms rely on static, lower-bound trip thresholds (P &lt; P_trip). These alarms trigger only after the valve is fully seated and flow has ceased, providing zero actionable warning time for automated mitigation or control-room intervention.</w:t>
      </w:r>
    </w:p>
    <w:p>
      <w:r>
        <w:t>The goal of the OILGUARD project was to develop a prospective, forecasting-based early warning system capable of detecting incipient valve throttling minutes before transient onset, while strictly adhering to offshore operational false-alarm constraints (FAR &lt;= 1.0 alarms/hour).</w:t>
      </w:r>
    </w:p>
    <w:p>
      <w:r>
        <w:t>Rather than presenting only final numbers in isolation, this technical report documents the complete chronological progression of the research: what we tried first, what results we obtained, what flaws or paradoxes were exposed, what we tried next to resolve them, and how the final reconciled methodology and scientific findings were achieved.</w:t>
      </w:r>
    </w:p>
    <w:p>
      <w:r>
        <w:t>The Five-Stage Chronological Journey:</w:t>
        <w:br/>
        <w:t>• Phase 1 (Initial TSA Forecasting): Evaluated rolling 1-step ARIMA and SARIMAX against Naive persistence; cut error by 47%, but discovered the 'Noisy Baseline Paradox' where Naive appeared to detect 7/19 events through accidental noise triggers.</w:t>
        <w:br/>
        <w:t>• Phase 2 (Retrospective Optimization &amp; Smoothing): Grid searched (q, p) and applied EWMA smoothing (lambda=0.3); reported detection jumped to 68.4%, but exposed runaway false alarms (2.5 to 3.5 FA/hr) and retrospective data leakage.</w:t>
        <w:br/>
        <w:t>• Phase 3 (Candidate Extension — OILGUARD-AC &amp; LOF Benchmark): Formulated elliptical multisensor scoring (S_t) under an operational FAR budget (&lt;=1.0 FA/hr) alongside Local Outlier Factor (LOF); initial scripts revealed conflicting metrics (47.4% vs 57.9%).</w:t>
        <w:br/>
        <w:t>• Phase 4 (Independent Forensic Audit): Resolved the cohort strictly to 19 gold events; diagnosed p=1 vs p=2 sensitivity; identified short-window calibration collapse; and uncovered that 19 events originate from only 5 physical wells (63.2% from Well 11).</w:t>
        <w:br/>
        <w:t>• Phase 5 (Final Reconciled Methodology &amp; Findings): Established 3 leak-free protocols under matched realized FAR; proved SARIMAX matches balanced OILGUARD-AC at 63.2% detection with 4.8m lead (0.50 FAR), while LOF fails operational budgets at 1.51 FA/hr.</w:t>
      </w:r>
    </w:p>
    <w:p>
      <w:pPr>
        <w:pStyle w:val="Heading1"/>
      </w:pPr>
      <w:r>
        <w:t>2. Phase 1: What We Tried First — Initial Time Series Forecasting &amp; The Noisy Baseline Paradox</w:t>
      </w:r>
    </w:p>
    <w:p>
      <w:r>
        <w:t>What We Tried: We hypothesized that downhole pressure during steady-state production follows structured autoregressive dynamics. We formulated rolling 1-step-ahead statistical forecasting models on 1 Hz downhole pressure telemetry (P-TPT, MPa):</w:t>
        <w:br/>
        <w:t>1. Univariate ARIMA(1, 1, 1) on downhole pressure.</w:t>
        <w:br/>
        <w:t>2. Multivariate SARIMAX(1, 1, 1) incorporating downhole temperature (T-TPT, °C) as a dynamic exogenous covariate.</w:t>
        <w:br/>
        <w:t>3. Industrial Naive Persistence Baseline predicting P_hat(t) = P(t-1).</w:t>
      </w:r>
    </w:p>
    <w:p>
      <w:r>
        <w:t>What Results We Got: Rolling 1-step-ahead forecasts were evaluated over untouched holdout test splits across authentic events (Table 1). Statistical models slashed Mean Absolute Error by 47.1% and MAPE from 18.2% to 8.7% compared to persistence.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 Architecture</w:t>
            </w:r>
          </w:p>
        </w:tc>
        <w:tc>
          <w:tcPr>
            <w:tcW w:type="dxa" w:w="1560"/>
            <w:shd w:fill="0A3663"/>
            <w:tcMar>
              <w:top w:w="100" w:type="dxa"/>
              <w:bottom w:w="100" w:type="dxa"/>
              <w:left w:w="100" w:type="dxa"/>
              <w:right w:w="100" w:type="dxa"/>
            </w:tcMar>
          </w:tcPr>
          <w:p>
            <w:pPr>
              <w:jc w:val="center"/>
            </w:pPr>
            <w:r>
              <w:rPr>
                <w:b/>
                <w:color w:val="FFFFFF"/>
                <w:sz w:val="19"/>
              </w:rPr>
              <w:t>Input Features</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Performance vs. Baseline</w:t>
            </w:r>
          </w:p>
        </w:tc>
      </w:tr>
      <w:tr>
        <w:tc>
          <w:tcPr>
            <w:tcW w:type="dxa" w:w="1560"/>
            <w:shd w:fill="F9FBFD"/>
            <w:tcMar>
              <w:top w:w="80" w:type="dxa"/>
              <w:bottom w:w="80" w:type="dxa"/>
              <w:left w:w="100" w:type="dxa"/>
              <w:right w:w="100" w:type="dxa"/>
            </w:tcMar>
          </w:tcPr>
          <w:p>
            <w:pPr>
              <w:jc w:val="left"/>
            </w:pPr>
            <w:r>
              <w:rPr>
                <w:b/>
                <w:sz w:val="19"/>
              </w:rPr>
              <w:t>ARIMA(1, 1, 1)</w:t>
            </w:r>
          </w:p>
        </w:tc>
        <w:tc>
          <w:tcPr>
            <w:tcW w:type="dxa" w:w="1560"/>
            <w:shd w:fill="F9FBFD"/>
            <w:tcMar>
              <w:top w:w="80" w:type="dxa"/>
              <w:bottom w:w="80" w:type="dxa"/>
              <w:left w:w="100" w:type="dxa"/>
              <w:right w:w="100" w:type="dxa"/>
            </w:tcMar>
          </w:tcPr>
          <w:p>
            <w:pPr>
              <w:jc w:val="left"/>
            </w:pPr>
            <w:r>
              <w:rPr>
                <w:sz w:val="19"/>
              </w:rPr>
              <w:t>P-TPT</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SARIMAX(1, 1, 1)</w:t>
            </w:r>
          </w:p>
        </w:tc>
        <w:tc>
          <w:tcPr>
            <w:tcW w:type="dxa" w:w="1560"/>
            <w:shd w:fill="FFFFFF"/>
            <w:tcMar>
              <w:top w:w="80" w:type="dxa"/>
              <w:bottom w:w="80" w:type="dxa"/>
              <w:left w:w="100" w:type="dxa"/>
              <w:right w:w="100" w:type="dxa"/>
            </w:tcMar>
          </w:tcPr>
          <w:p>
            <w:pPr>
              <w:jc w:val="left"/>
            </w:pPr>
            <w:r>
              <w:rPr>
                <w:sz w:val="19"/>
              </w:rPr>
              <w:t>P-TPT + T-TPT</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Persistence</w:t>
            </w:r>
          </w:p>
        </w:tc>
        <w:tc>
          <w:tcPr>
            <w:tcW w:type="dxa" w:w="1560"/>
            <w:shd w:fill="F9FBFD"/>
            <w:tcMar>
              <w:top w:w="80" w:type="dxa"/>
              <w:bottom w:w="80" w:type="dxa"/>
              <w:left w:w="100" w:type="dxa"/>
              <w:right w:w="100" w:type="dxa"/>
            </w:tcMar>
          </w:tcPr>
          <w:p>
            <w:pPr>
              <w:jc w:val="left"/>
            </w:pPr>
            <w:r>
              <w:rPr>
                <w:sz w:val="19"/>
              </w:rPr>
              <w:t>P-TPT (t-1)</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20"/>
      </w:pPr>
    </w:p>
    <w:p>
      <w:r>
        <w:t>The Initial Residual Detection Attempt &amp; The 'Noisy Baseline Paradox':</w:t>
        <w:br/>
        <w:t>When we converted these forecasts into an early-warning system by flagging when raw residuals |r_t| = |P_t - P_hat_t| exceeded a 3-sigma threshold, an alarming paradox appeared: Naive persistence appeared to 'detect' 7 of 19 events (36.8%) with an average lead time of 4.5 minutes, appearing competitive with ARIMA!</w:t>
        <w:br/>
        <w:br/>
        <w:t>Forensic diagnosis revealed the root cause: Naive residuals were dominated by unconditioned high-frequency sensor noise. Without persistence filtering or cooldown logic, random noise spikes triggered accidental alarms that happened by pure chance to fall within the 10-minute early-warning window, while generating unconstrained false alarms during normal operations.</w:t>
        <w:br/>
        <w:t>Scientific Lesson 1: A detector cannot be evaluated solely on whether it alarms before failure. Without strictly enforcing and measuring false alarm rates during normal operation, noisy baselines appear artificially competent through accidental triggering.</w:t>
      </w:r>
    </w:p>
    <w:p>
      <w:pPr>
        <w:pStyle w:val="Heading1"/>
      </w:pPr>
      <w:r>
        <w:t>3. Phase 2: What We Tried Next — Retrospective Optimization &amp; Residual Smoothing</w:t>
      </w:r>
    </w:p>
    <w:p>
      <w:r>
        <w:t>What We Tried: To eliminate accidental noise triggers and optimize detection, we implemented an optimization grid search (scripts/optimize_warning.py):</w:t>
        <w:br/>
        <w:t>1. Grid search over quantile thresholds q in [0.90, 0.99] and persistence filters p in [1, 2, 3] consecutive samples.</w:t>
        <w:br/>
        <w:t>2. Fixed alarm cooldown periods (120 seconds) to prevent multiple alarms for a single failure.</w:t>
        <w:br/>
        <w:t>3. Exponentially Weighted Moving Average (EWMA) smoothing on forecast residuals: r_EWMA(t) = alpha * r(t) + (1 - alpha) * r_EWMA(t-1) with alpha in [0.1, 0.5] (centering on alpha = 0.3) to damp sensor flutter.</w:t>
      </w:r>
    </w:p>
    <w:p>
      <w:r>
        <w:t>What Results We Got: Under single-sample triggers (p=1) and q=0.95, reported detection rates jumped to 68.4% (13 of 19 events) with mean lead times exceeding 5.0 minutes. EWMA smoothing successfully eliminated isolated sensor glitches.</w:t>
      </w:r>
    </w:p>
    <w:p>
      <w:r>
        <w:t>Limitations Discovered — Alarm Storms &amp; Retrospective Leakage:</w:t>
        <w:br/>
        <w:t>• False Alarm Explosion: Evaluating normal operational data revealed that p=1 produced False Alarm Rates of 2.5 to 3.5 false alarms per hour. In an offshore control room, 3 false alarms per hour creates immediate alarm fatigue and causes operators to disable the system.</w:t>
        <w:br/>
        <w:t>• Retrospective Data Leakage: The grid search tuned thresholds across the entire event duration, tuning parameters on the very data being evaluated.</w:t>
        <w:br/>
        <w:t>Scientific Lesson 2: Retrospective parameter optimization creates an illusion of high detection accuracy by overfitting to known events and ignoring runaway false-alarm rates during steady-state production.</w:t>
      </w:r>
    </w:p>
    <w:p>
      <w:pPr>
        <w:pStyle w:val="Heading1"/>
      </w:pPr>
      <w:r>
        <w:t>4. Phase 3: Candidate Extension — Multisensor Composite Scoring (OILGUARD-AC) &amp; LOF Benchmark</w:t>
      </w:r>
    </w:p>
    <w:p>
      <w:r>
        <w:t>What We Tried: To prevent single-sensor false alarms and exploit thermodynamic coupling (Joule-Thomson cooling and mass flow deceleration during valve throttling), we developed OILGUARD-AC (Alarm-Constrained Multisensor Anomaly Scoring):</w:t>
        <w:br/>
        <w:t>1. Standardized elliptical composite score: S_t = sqrt(w * z_P(t)^2 + (1 - w) * z_T(t)^2), testing weightings w=0.85, w=0.70, and w=0.50.</w:t>
        <w:br/>
        <w:t>2. Operational False Alarm Budgeting: Threshold tau calibrated so that normal calibration FAR &lt;= B_FAR (1.0 FA/hr).</w:t>
        <w:br/>
        <w:t>3. Local Outlier Factor (LOF) Benchmark: Implemented LOF (k=20 nearest neighbors on raw [P, T]) as an established non-forecasting baseline.</w:t>
      </w:r>
    </w:p>
    <w:p>
      <w:r>
        <w:t>Initial Results &amp; Emerging Discrepancies:</w:t>
        <w:br/>
        <w:t>Initial scripts reported that OILGUARD-AC detected 9 of 19 events (47.4%) at 0.75 FAR, SARIMAX detected 13 of 19 (68.4%), and LOF detected 14 of 19 (73.7%). However, numbers were inconsistent across documents: some reported 47.4%, others 57.9%; some reported FAR of 0.75, others 1.26; and LOF's false alarms were not constrained to the operational budget.</w:t>
        <w:br/>
        <w:t>Scientific Lesson 3: Discrepancies between 47.4% and 57.9% detection, and conflicting false-alarm rates, indicated unresolved differences in data hygiene, persistence filtering, and validation protocols that required a forensic audit.</w:t>
      </w:r>
    </w:p>
    <w:p>
      <w:pPr>
        <w:pStyle w:val="Heading1"/>
      </w:pPr>
      <w:r>
        <w:t>5. Phase 4: Independent Forensic Research Audit &amp; Discrepancy Diagnostics</w:t>
      </w:r>
    </w:p>
    <w:p>
      <w:r>
        <w:t>We paused model experimentation to conduct an exhaustive forensic audit across data, code, and saved metrics:</w:t>
      </w:r>
    </w:p>
    <w:p>
      <w:r>
        <w:t>1. Cohort Resolution (19 vs. 20 vs. 22 Events): From 22 authentic Class 2 candidate instances, we excluded 3 corrupted files: WELL-00010 (missing P-TPT sensor stream), WELL-00011 (1,608-second unrecorded data gap), and WELL-00002 (zero-variance sensor flatline). An orphaned 20th parquet file from an earlier exploratory scan was removed, strictly locking the gold cohort to exactly 19 events.</w:t>
        <w:br/>
        <w:t>2. The 47.4% vs. 57.9% Detection Rate Discrepancy: Traced directly to persistence p. At p=1 (single-point breach), detection was 57.9% with elevated false alarms. At p=2 (two consecutive breaches), transient micro-spikes were filtered out, lowering raw detection to 47.4% while successfully suppressing false alarms to 0.75/hr.</w:t>
        <w:br/>
        <w:t>3. The FAR 0.75 vs. 1.26 / hr Discrepancy: Traced to pre-event window definition. We established an audited standard: the early warning window is strictly [T_transient - 10 min, T_transient). Any alarm prior to this window is strictly cataloged as an ordinary false alarm, evaluated over the 3.978 hours of total normal holdout duration.</w:t>
        <w:br/>
        <w:t>4. Short-Window Calibration Budget Collapse: In individual events, calibration slices are only 12 to 25 minutes long (H_calib &lt; 0.5 h). Setting K_allowed = floor(1.0 * H_calib) forced K_allowed = 0, setting the threshold to the maximum noise peak. Pooled calibration across 18 events (H_pool ~ 3.7 h) provides adequate statistical power (K_allowed = 3) to prevent threshold collapse.</w:t>
        <w:br/>
        <w:t>5. Conflation of Within-Event vs. Cross-Well Evaluation: Early scripts evaluated within-event splits (calibrating on a well's own baseline), not cross-event generalization.</w:t>
        <w:br/>
        <w:t>6. Physical Well Clustering: Audited well origins revealed that the 19 authentic events come from only 5 physical offshore wells: WELL-00011 accounts for 12 events (63.2%), WELL-00003 for 3 events (15.8%), WELL-00012 for 2 events (10.5%), WELL-00009 for 1 event, and WELL-00013 for 1 event.</w:t>
      </w:r>
    </w:p>
    <w:p>
      <w:pPr>
        <w:pStyle w:val="Heading1"/>
      </w:pPr>
      <w:r>
        <w:t>6. Phase 5: Final Reconciled Methodology &amp; Audited Findings</w:t>
      </w:r>
    </w:p>
    <w:p>
      <w:r>
        <w:t>To provide a complete and honest empirical evaluation, we formulated 3 distinct, leakage-free protocols evaluated under matched realized False Alarm Rates (FAR &lt;= 1.0 FA/hr, with primary comparison at FAR &lt;= 0.75 FA/hr):</w:t>
        <w:br/>
        <w:t>• Protocol 1 (Prospective Within-Event Split): Well-specific baseline calibration (60% Train, 20% Calib, 20% Test).</w:t>
        <w:br/>
        <w:t>• Protocol 2 (Genuine Cross-Event LOEO-CV): Complete event holdout; threshold calibrated on pooled calibration data of the other 18 events (H_pool ~ 3.7 h).</w:t>
        <w:br/>
        <w:t>• Protocol 3 (Cross-Physical-Well LOWO-CV): All events originating from each physical well are completely held out (5 folds).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A3663"/>
            <w:tcMar>
              <w:top w:w="100" w:type="dxa"/>
              <w:bottom w:w="100" w:type="dxa"/>
              <w:left w:w="100" w:type="dxa"/>
              <w:right w:w="100" w:type="dxa"/>
            </w:tcMar>
          </w:tcPr>
          <w:p>
            <w:pPr>
              <w:jc w:val="center"/>
            </w:pPr>
            <w:r>
              <w:rPr>
                <w:b/>
                <w:color w:val="FFFFFF"/>
                <w:sz w:val="17"/>
              </w:rPr>
              <w:t>Model / Method</w:t>
            </w:r>
          </w:p>
        </w:tc>
        <w:tc>
          <w:tcPr>
            <w:tcW w:type="dxa" w:w="1337"/>
            <w:shd w:fill="0A3663"/>
            <w:tcMar>
              <w:top w:w="100" w:type="dxa"/>
              <w:bottom w:w="100" w:type="dxa"/>
              <w:left w:w="100" w:type="dxa"/>
              <w:right w:w="100" w:type="dxa"/>
            </w:tcMar>
          </w:tcPr>
          <w:p>
            <w:pPr>
              <w:jc w:val="center"/>
            </w:pPr>
            <w:r>
              <w:rPr>
                <w:b/>
                <w:color w:val="FFFFFF"/>
                <w:sz w:val="17"/>
              </w:rPr>
              <w:t>P1 Detection</w:t>
            </w:r>
          </w:p>
        </w:tc>
        <w:tc>
          <w:tcPr>
            <w:tcW w:type="dxa" w:w="1337"/>
            <w:shd w:fill="0A3663"/>
            <w:tcMar>
              <w:top w:w="100" w:type="dxa"/>
              <w:bottom w:w="100" w:type="dxa"/>
              <w:left w:w="100" w:type="dxa"/>
              <w:right w:w="100" w:type="dxa"/>
            </w:tcMar>
          </w:tcPr>
          <w:p>
            <w:pPr>
              <w:jc w:val="center"/>
            </w:pPr>
            <w:r>
              <w:rPr>
                <w:b/>
                <w:color w:val="FFFFFF"/>
                <w:sz w:val="17"/>
              </w:rPr>
              <w:t>P1 Lead (Mean/Med)</w:t>
            </w:r>
          </w:p>
        </w:tc>
        <w:tc>
          <w:tcPr>
            <w:tcW w:type="dxa" w:w="1337"/>
            <w:shd w:fill="0A3663"/>
            <w:tcMar>
              <w:top w:w="100" w:type="dxa"/>
              <w:bottom w:w="100" w:type="dxa"/>
              <w:left w:w="100" w:type="dxa"/>
              <w:right w:w="100" w:type="dxa"/>
            </w:tcMar>
          </w:tcPr>
          <w:p>
            <w:pPr>
              <w:jc w:val="center"/>
            </w:pPr>
            <w:r>
              <w:rPr>
                <w:b/>
                <w:color w:val="FFFFFF"/>
                <w:sz w:val="17"/>
              </w:rPr>
              <w:t>P2 LOEO Detection [95% CI]</w:t>
            </w:r>
          </w:p>
        </w:tc>
        <w:tc>
          <w:tcPr>
            <w:tcW w:type="dxa" w:w="1337"/>
            <w:shd w:fill="0A3663"/>
            <w:tcMar>
              <w:top w:w="100" w:type="dxa"/>
              <w:bottom w:w="100" w:type="dxa"/>
              <w:left w:w="100" w:type="dxa"/>
              <w:right w:w="100" w:type="dxa"/>
            </w:tcMar>
          </w:tcPr>
          <w:p>
            <w:pPr>
              <w:jc w:val="center"/>
            </w:pPr>
            <w:r>
              <w:rPr>
                <w:b/>
                <w:color w:val="FFFFFF"/>
                <w:sz w:val="17"/>
              </w:rPr>
              <w:t>P2 Lead (Mean/Med)</w:t>
            </w:r>
          </w:p>
        </w:tc>
        <w:tc>
          <w:tcPr>
            <w:tcW w:type="dxa" w:w="1337"/>
            <w:shd w:fill="0A3663"/>
            <w:tcMar>
              <w:top w:w="100" w:type="dxa"/>
              <w:bottom w:w="100" w:type="dxa"/>
              <w:left w:w="100" w:type="dxa"/>
              <w:right w:w="100" w:type="dxa"/>
            </w:tcMar>
          </w:tcPr>
          <w:p>
            <w:pPr>
              <w:jc w:val="center"/>
            </w:pPr>
            <w:r>
              <w:rPr>
                <w:b/>
                <w:color w:val="FFFFFF"/>
                <w:sz w:val="17"/>
              </w:rPr>
              <w:t>P2 Realized FAR</w:t>
            </w:r>
          </w:p>
        </w:tc>
        <w:tc>
          <w:tcPr>
            <w:tcW w:type="dxa" w:w="1337"/>
            <w:shd w:fill="0A3663"/>
            <w:tcMar>
              <w:top w:w="100" w:type="dxa"/>
              <w:bottom w:w="100" w:type="dxa"/>
              <w:left w:w="100" w:type="dxa"/>
              <w:right w:w="100" w:type="dxa"/>
            </w:tcMar>
          </w:tcPr>
          <w:p>
            <w:pPr>
              <w:jc w:val="center"/>
            </w:pPr>
            <w:r>
              <w:rPr>
                <w:b/>
                <w:color w:val="FFFFFF"/>
                <w:sz w:val="17"/>
              </w:rPr>
              <w:t>P3 LOWO Detection</w:t>
            </w:r>
          </w:p>
        </w:tc>
      </w:tr>
      <w:tr>
        <w:tc>
          <w:tcPr>
            <w:tcW w:type="dxa" w:w="1337"/>
            <w:shd w:fill="F9FBFD"/>
            <w:tcMar>
              <w:top w:w="80" w:type="dxa"/>
              <w:bottom w:w="80" w:type="dxa"/>
              <w:left w:w="80" w:type="dxa"/>
              <w:right w:w="80" w:type="dxa"/>
            </w:tcMar>
          </w:tcPr>
          <w:p>
            <w:pPr>
              <w:jc w:val="left"/>
            </w:pPr>
            <w:r>
              <w:rPr>
                <w:b/>
                <w:sz w:val="16"/>
              </w:rPr>
              <w:t>SARIMAX (Exogenous T)</w:t>
            </w:r>
          </w:p>
        </w:tc>
        <w:tc>
          <w:tcPr>
            <w:tcW w:type="dxa" w:w="1337"/>
            <w:shd w:fill="F9FBFD"/>
            <w:tcMar>
              <w:top w:w="80" w:type="dxa"/>
              <w:bottom w:w="80" w:type="dxa"/>
              <w:left w:w="80" w:type="dxa"/>
              <w:right w:w="80" w:type="dxa"/>
            </w:tcMar>
          </w:tcPr>
          <w:p>
            <w:pPr>
              <w:jc w:val="right"/>
            </w:pPr>
            <w:r>
              <w:rPr>
                <w:sz w:val="16"/>
              </w:rPr>
              <w:t>36.8% (7/19)</w:t>
            </w:r>
          </w:p>
        </w:tc>
        <w:tc>
          <w:tcPr>
            <w:tcW w:type="dxa" w:w="1337"/>
            <w:shd w:fill="F9FBFD"/>
            <w:tcMar>
              <w:top w:w="80" w:type="dxa"/>
              <w:bottom w:w="80" w:type="dxa"/>
              <w:left w:w="80" w:type="dxa"/>
              <w:right w:w="80" w:type="dxa"/>
            </w:tcMar>
          </w:tcPr>
          <w:p>
            <w:pPr>
              <w:jc w:val="right"/>
            </w:pPr>
            <w:r>
              <w:rPr>
                <w:sz w:val="16"/>
              </w:rPr>
              <w:t>4.0m / 4.3m</w:t>
            </w:r>
          </w:p>
        </w:tc>
        <w:tc>
          <w:tcPr>
            <w:tcW w:type="dxa" w:w="1337"/>
            <w:shd w:fill="F9FBFD"/>
            <w:tcMar>
              <w:top w:w="80" w:type="dxa"/>
              <w:bottom w:w="80" w:type="dxa"/>
              <w:left w:w="80" w:type="dxa"/>
              <w:right w:w="80" w:type="dxa"/>
            </w:tcMar>
          </w:tcPr>
          <w:p>
            <w:pPr>
              <w:jc w:val="right"/>
            </w:pPr>
            <w:r>
              <w:rPr>
                <w:sz w:val="16"/>
              </w:rPr>
              <w:t>63.2% (12/19) [42.1%, 84.2%]</w:t>
            </w:r>
          </w:p>
        </w:tc>
        <w:tc>
          <w:tcPr>
            <w:tcW w:type="dxa" w:w="1337"/>
            <w:shd w:fill="F9FBFD"/>
            <w:tcMar>
              <w:top w:w="80" w:type="dxa"/>
              <w:bottom w:w="80" w:type="dxa"/>
              <w:left w:w="80" w:type="dxa"/>
              <w:right w:w="80" w:type="dxa"/>
            </w:tcMar>
          </w:tcPr>
          <w:p>
            <w:pPr>
              <w:jc w:val="right"/>
            </w:pPr>
            <w:r>
              <w:rPr>
                <w:sz w:val="16"/>
              </w:rPr>
              <w:t>4.8m / 4.8m</w:t>
            </w:r>
          </w:p>
        </w:tc>
        <w:tc>
          <w:tcPr>
            <w:tcW w:type="dxa" w:w="1337"/>
            <w:shd w:fill="F9FBFD"/>
            <w:tcMar>
              <w:top w:w="80" w:type="dxa"/>
              <w:bottom w:w="80" w:type="dxa"/>
              <w:left w:w="80" w:type="dxa"/>
              <w:right w:w="80" w:type="dxa"/>
            </w:tcMar>
          </w:tcPr>
          <w:p>
            <w:pPr>
              <w:jc w:val="right"/>
            </w:pPr>
            <w:r>
              <w:rPr>
                <w:b/>
                <w:color w:val="1B5E20"/>
                <w:sz w:val="16"/>
              </w:rPr>
              <w:t>0.50 / hr (Met)</w:t>
            </w:r>
          </w:p>
        </w:tc>
        <w:tc>
          <w:tcPr>
            <w:tcW w:type="dxa" w:w="1337"/>
            <w:shd w:fill="F9FBFD"/>
            <w:tcMar>
              <w:top w:w="80" w:type="dxa"/>
              <w:bottom w:w="80" w:type="dxa"/>
              <w:left w:w="80" w:type="dxa"/>
              <w:right w:w="80" w:type="dxa"/>
            </w:tcMar>
          </w:tcPr>
          <w:p>
            <w:pPr>
              <w:jc w:val="right"/>
            </w:pPr>
            <w:r>
              <w:rPr>
                <w:sz w:val="16"/>
              </w:rPr>
              <w:t>73.7% (14/19)</w:t>
            </w:r>
          </w:p>
        </w:tc>
      </w:tr>
      <w:tr>
        <w:tc>
          <w:tcPr>
            <w:tcW w:type="dxa" w:w="1337"/>
            <w:shd w:fill="FFFFFF"/>
            <w:tcMar>
              <w:top w:w="80" w:type="dxa"/>
              <w:bottom w:w="80" w:type="dxa"/>
              <w:left w:w="80" w:type="dxa"/>
              <w:right w:w="80" w:type="dxa"/>
            </w:tcMar>
          </w:tcPr>
          <w:p>
            <w:pPr>
              <w:jc w:val="left"/>
            </w:pPr>
            <w:r>
              <w:rPr>
                <w:b/>
                <w:sz w:val="16"/>
              </w:rPr>
              <w:t>OILGUARD-AC (w=0.85)</w:t>
            </w:r>
          </w:p>
        </w:tc>
        <w:tc>
          <w:tcPr>
            <w:tcW w:type="dxa" w:w="1337"/>
            <w:shd w:fill="FFFFFF"/>
            <w:tcMar>
              <w:top w:w="80" w:type="dxa"/>
              <w:bottom w:w="80" w:type="dxa"/>
              <w:left w:w="80" w:type="dxa"/>
              <w:right w:w="80" w:type="dxa"/>
            </w:tcMar>
          </w:tcPr>
          <w:p>
            <w:pPr>
              <w:jc w:val="right"/>
            </w:pPr>
            <w:r>
              <w:rPr>
                <w:sz w:val="16"/>
              </w:rPr>
              <w:t>47.4% (9/19)</w:t>
            </w:r>
          </w:p>
        </w:tc>
        <w:tc>
          <w:tcPr>
            <w:tcW w:type="dxa" w:w="1337"/>
            <w:shd w:fill="FFFFFF"/>
            <w:tcMar>
              <w:top w:w="80" w:type="dxa"/>
              <w:bottom w:w="80" w:type="dxa"/>
              <w:left w:w="80" w:type="dxa"/>
              <w:right w:w="80" w:type="dxa"/>
            </w:tcMar>
          </w:tcPr>
          <w:p>
            <w:pPr>
              <w:jc w:val="right"/>
            </w:pPr>
            <w:r>
              <w:rPr>
                <w:sz w:val="16"/>
              </w:rPr>
              <w:t>3.3m / 3.5m</w:t>
            </w:r>
          </w:p>
        </w:tc>
        <w:tc>
          <w:tcPr>
            <w:tcW w:type="dxa" w:w="1337"/>
            <w:shd w:fill="FFFFFF"/>
            <w:tcMar>
              <w:top w:w="80" w:type="dxa"/>
              <w:bottom w:w="80" w:type="dxa"/>
              <w:left w:w="80" w:type="dxa"/>
              <w:right w:w="80" w:type="dxa"/>
            </w:tcMar>
          </w:tcPr>
          <w:p>
            <w:pPr>
              <w:jc w:val="right"/>
            </w:pPr>
            <w:r>
              <w:rPr>
                <w:sz w:val="16"/>
              </w:rPr>
              <w:t>63.2% (12/19) [42.1%, 84.2%]</w:t>
            </w:r>
          </w:p>
        </w:tc>
        <w:tc>
          <w:tcPr>
            <w:tcW w:type="dxa" w:w="1337"/>
            <w:shd w:fill="FFFFFF"/>
            <w:tcMar>
              <w:top w:w="80" w:type="dxa"/>
              <w:bottom w:w="80" w:type="dxa"/>
              <w:left w:w="80" w:type="dxa"/>
              <w:right w:w="80" w:type="dxa"/>
            </w:tcMar>
          </w:tcPr>
          <w:p>
            <w:pPr>
              <w:jc w:val="right"/>
            </w:pPr>
            <w:r>
              <w:rPr>
                <w:sz w:val="16"/>
              </w:rPr>
              <w:t>5.2m / 5.4m</w:t>
            </w:r>
          </w:p>
        </w:tc>
        <w:tc>
          <w:tcPr>
            <w:tcW w:type="dxa" w:w="1337"/>
            <w:shd w:fill="FFFFFF"/>
            <w:tcMar>
              <w:top w:w="80" w:type="dxa"/>
              <w:bottom w:w="80" w:type="dxa"/>
              <w:left w:w="80" w:type="dxa"/>
              <w:right w:w="80" w:type="dxa"/>
            </w:tcMar>
          </w:tcPr>
          <w:p>
            <w:pPr>
              <w:jc w:val="right"/>
            </w:pPr>
            <w:r>
              <w:rPr>
                <w:b/>
                <w:color w:val="1B5E20"/>
                <w:sz w:val="16"/>
              </w:rPr>
              <w:t>0.50 / hr (Met)</w:t>
            </w:r>
          </w:p>
        </w:tc>
        <w:tc>
          <w:tcPr>
            <w:tcW w:type="dxa" w:w="1337"/>
            <w:shd w:fill="FFFFFF"/>
            <w:tcMar>
              <w:top w:w="80" w:type="dxa"/>
              <w:bottom w:w="80" w:type="dxa"/>
              <w:left w:w="80" w:type="dxa"/>
              <w:right w:w="80" w:type="dxa"/>
            </w:tcMar>
          </w:tcPr>
          <w:p>
            <w:pPr>
              <w:jc w:val="right"/>
            </w:pPr>
            <w:r>
              <w:rPr>
                <w:sz w:val="16"/>
              </w:rPr>
              <w:t>73.7% (14/19)</w:t>
            </w:r>
          </w:p>
        </w:tc>
      </w:tr>
      <w:tr>
        <w:tc>
          <w:tcPr>
            <w:tcW w:type="dxa" w:w="1337"/>
            <w:shd w:fill="F9FBFD"/>
            <w:tcMar>
              <w:top w:w="80" w:type="dxa"/>
              <w:bottom w:w="80" w:type="dxa"/>
              <w:left w:w="80" w:type="dxa"/>
              <w:right w:w="80" w:type="dxa"/>
            </w:tcMar>
          </w:tcPr>
          <w:p>
            <w:pPr>
              <w:jc w:val="left"/>
            </w:pPr>
            <w:r>
              <w:rPr>
                <w:b/>
                <w:sz w:val="16"/>
              </w:rPr>
              <w:t>OILGUARD-AC (w=0.7)</w:t>
            </w:r>
          </w:p>
        </w:tc>
        <w:tc>
          <w:tcPr>
            <w:tcW w:type="dxa" w:w="1337"/>
            <w:shd w:fill="F9FBFD"/>
            <w:tcMar>
              <w:top w:w="80" w:type="dxa"/>
              <w:bottom w:w="80" w:type="dxa"/>
              <w:left w:w="80" w:type="dxa"/>
              <w:right w:w="80" w:type="dxa"/>
            </w:tcMar>
          </w:tcPr>
          <w:p>
            <w:pPr>
              <w:jc w:val="right"/>
            </w:pPr>
            <w:r>
              <w:rPr>
                <w:sz w:val="16"/>
              </w:rPr>
              <w:t>57.9% (11/19)</w:t>
            </w:r>
          </w:p>
        </w:tc>
        <w:tc>
          <w:tcPr>
            <w:tcW w:type="dxa" w:w="1337"/>
            <w:shd w:fill="F9FBFD"/>
            <w:tcMar>
              <w:top w:w="80" w:type="dxa"/>
              <w:bottom w:w="80" w:type="dxa"/>
              <w:left w:w="80" w:type="dxa"/>
              <w:right w:w="80" w:type="dxa"/>
            </w:tcMar>
          </w:tcPr>
          <w:p>
            <w:pPr>
              <w:jc w:val="right"/>
            </w:pPr>
            <w:r>
              <w:rPr>
                <w:sz w:val="16"/>
              </w:rPr>
              <w:t>2.8m / 2.5m</w:t>
            </w:r>
          </w:p>
        </w:tc>
        <w:tc>
          <w:tcPr>
            <w:tcW w:type="dxa" w:w="1337"/>
            <w:shd w:fill="F9FBFD"/>
            <w:tcMar>
              <w:top w:w="80" w:type="dxa"/>
              <w:bottom w:w="80" w:type="dxa"/>
              <w:left w:w="80" w:type="dxa"/>
              <w:right w:w="80" w:type="dxa"/>
            </w:tcMar>
          </w:tcPr>
          <w:p>
            <w:pPr>
              <w:jc w:val="right"/>
            </w:pPr>
            <w:r>
              <w:rPr>
                <w:sz w:val="16"/>
              </w:rPr>
              <w:t>52.6% (10/19) [31.6%, 73.7%]</w:t>
            </w:r>
          </w:p>
        </w:tc>
        <w:tc>
          <w:tcPr>
            <w:tcW w:type="dxa" w:w="1337"/>
            <w:shd w:fill="F9FBFD"/>
            <w:tcMar>
              <w:top w:w="80" w:type="dxa"/>
              <w:bottom w:w="80" w:type="dxa"/>
              <w:left w:w="80" w:type="dxa"/>
              <w:right w:w="80" w:type="dxa"/>
            </w:tcMar>
          </w:tcPr>
          <w:p>
            <w:pPr>
              <w:jc w:val="right"/>
            </w:pPr>
            <w:r>
              <w:rPr>
                <w:sz w:val="16"/>
              </w:rPr>
              <w:t>4.7m / 4.4m</w:t>
            </w:r>
          </w:p>
        </w:tc>
        <w:tc>
          <w:tcPr>
            <w:tcW w:type="dxa" w:w="1337"/>
            <w:shd w:fill="F9FBFD"/>
            <w:tcMar>
              <w:top w:w="80" w:type="dxa"/>
              <w:bottom w:w="80" w:type="dxa"/>
              <w:left w:w="80" w:type="dxa"/>
              <w:right w:w="80" w:type="dxa"/>
            </w:tcMar>
          </w:tcPr>
          <w:p>
            <w:pPr>
              <w:jc w:val="right"/>
            </w:pPr>
            <w:r>
              <w:rPr>
                <w:b/>
                <w:color w:val="1B5E20"/>
                <w:sz w:val="16"/>
              </w:rPr>
              <w:t>0.75 / hr (Met)</w:t>
            </w:r>
          </w:p>
        </w:tc>
        <w:tc>
          <w:tcPr>
            <w:tcW w:type="dxa" w:w="1337"/>
            <w:shd w:fill="F9FBFD"/>
            <w:tcMar>
              <w:top w:w="80" w:type="dxa"/>
              <w:bottom w:w="80" w:type="dxa"/>
              <w:left w:w="80" w:type="dxa"/>
              <w:right w:w="80" w:type="dxa"/>
            </w:tcMar>
          </w:tcPr>
          <w:p>
            <w:pPr>
              <w:jc w:val="right"/>
            </w:pPr>
            <w:r>
              <w:rPr>
                <w:sz w:val="16"/>
              </w:rPr>
              <w:t>63.2% (12/19)</w:t>
            </w:r>
          </w:p>
        </w:tc>
      </w:tr>
      <w:tr>
        <w:tc>
          <w:tcPr>
            <w:tcW w:type="dxa" w:w="1337"/>
            <w:shd w:fill="FFFFFF"/>
            <w:tcMar>
              <w:top w:w="80" w:type="dxa"/>
              <w:bottom w:w="80" w:type="dxa"/>
              <w:left w:w="80" w:type="dxa"/>
              <w:right w:w="80" w:type="dxa"/>
            </w:tcMar>
          </w:tcPr>
          <w:p>
            <w:pPr>
              <w:jc w:val="left"/>
            </w:pPr>
            <w:r>
              <w:rPr>
                <w:b/>
                <w:sz w:val="16"/>
              </w:rPr>
              <w:t>OILGUARD-AC (w=0.5)</w:t>
            </w:r>
          </w:p>
        </w:tc>
        <w:tc>
          <w:tcPr>
            <w:tcW w:type="dxa" w:w="1337"/>
            <w:shd w:fill="FFFFFF"/>
            <w:tcMar>
              <w:top w:w="80" w:type="dxa"/>
              <w:bottom w:w="80" w:type="dxa"/>
              <w:left w:w="80" w:type="dxa"/>
              <w:right w:w="80" w:type="dxa"/>
            </w:tcMar>
          </w:tcPr>
          <w:p>
            <w:pPr>
              <w:jc w:val="right"/>
            </w:pPr>
            <w:r>
              <w:rPr>
                <w:sz w:val="16"/>
              </w:rPr>
              <w:t>68.4% (13/19)</w:t>
            </w:r>
          </w:p>
        </w:tc>
        <w:tc>
          <w:tcPr>
            <w:tcW w:type="dxa" w:w="1337"/>
            <w:shd w:fill="FFFFFF"/>
            <w:tcMar>
              <w:top w:w="80" w:type="dxa"/>
              <w:bottom w:w="80" w:type="dxa"/>
              <w:left w:w="80" w:type="dxa"/>
              <w:right w:w="80" w:type="dxa"/>
            </w:tcMar>
          </w:tcPr>
          <w:p>
            <w:pPr>
              <w:jc w:val="right"/>
            </w:pPr>
            <w:r>
              <w:rPr>
                <w:sz w:val="16"/>
              </w:rPr>
              <w:t>4.2m / 4.3m</w:t>
            </w:r>
          </w:p>
        </w:tc>
        <w:tc>
          <w:tcPr>
            <w:tcW w:type="dxa" w:w="1337"/>
            <w:shd w:fill="FFFFFF"/>
            <w:tcMar>
              <w:top w:w="80" w:type="dxa"/>
              <w:bottom w:w="80" w:type="dxa"/>
              <w:left w:w="80" w:type="dxa"/>
              <w:right w:w="80" w:type="dxa"/>
            </w:tcMar>
          </w:tcPr>
          <w:p>
            <w:pPr>
              <w:jc w:val="right"/>
            </w:pPr>
            <w:r>
              <w:rPr>
                <w:sz w:val="16"/>
              </w:rPr>
              <w:t>63.2% (12/19) [42.1%, 84.2%]</w:t>
            </w:r>
          </w:p>
        </w:tc>
        <w:tc>
          <w:tcPr>
            <w:tcW w:type="dxa" w:w="1337"/>
            <w:shd w:fill="FFFFFF"/>
            <w:tcMar>
              <w:top w:w="80" w:type="dxa"/>
              <w:bottom w:w="80" w:type="dxa"/>
              <w:left w:w="80" w:type="dxa"/>
              <w:right w:w="80" w:type="dxa"/>
            </w:tcMar>
          </w:tcPr>
          <w:p>
            <w:pPr>
              <w:jc w:val="right"/>
            </w:pPr>
            <w:r>
              <w:rPr>
                <w:sz w:val="16"/>
              </w:rPr>
              <w:t>4.0m / 3.2m</w:t>
            </w:r>
          </w:p>
        </w:tc>
        <w:tc>
          <w:tcPr>
            <w:tcW w:type="dxa" w:w="1337"/>
            <w:shd w:fill="FFFFFF"/>
            <w:tcMar>
              <w:top w:w="80" w:type="dxa"/>
              <w:bottom w:w="80" w:type="dxa"/>
              <w:left w:w="80" w:type="dxa"/>
              <w:right w:w="80" w:type="dxa"/>
            </w:tcMar>
          </w:tcPr>
          <w:p>
            <w:pPr>
              <w:jc w:val="right"/>
            </w:pPr>
            <w:r>
              <w:rPr>
                <w:b/>
                <w:color w:val="1B5E20"/>
                <w:sz w:val="16"/>
              </w:rPr>
              <w:t>0.50 / hr (Met)</w:t>
            </w:r>
          </w:p>
        </w:tc>
        <w:tc>
          <w:tcPr>
            <w:tcW w:type="dxa" w:w="1337"/>
            <w:shd w:fill="FFFFFF"/>
            <w:tcMar>
              <w:top w:w="80" w:type="dxa"/>
              <w:bottom w:w="80" w:type="dxa"/>
              <w:left w:w="80" w:type="dxa"/>
              <w:right w:w="80" w:type="dxa"/>
            </w:tcMar>
          </w:tcPr>
          <w:p>
            <w:pPr>
              <w:jc w:val="right"/>
            </w:pPr>
            <w:r>
              <w:rPr>
                <w:sz w:val="16"/>
              </w:rPr>
              <w:t>63.2% (12/19)</w:t>
            </w:r>
          </w:p>
        </w:tc>
      </w:tr>
      <w:tr>
        <w:tc>
          <w:tcPr>
            <w:tcW w:type="dxa" w:w="1337"/>
            <w:shd w:fill="F9FBFD"/>
            <w:tcMar>
              <w:top w:w="80" w:type="dxa"/>
              <w:bottom w:w="80" w:type="dxa"/>
              <w:left w:w="80" w:type="dxa"/>
              <w:right w:w="80" w:type="dxa"/>
            </w:tcMar>
          </w:tcPr>
          <w:p>
            <w:pPr>
              <w:jc w:val="left"/>
            </w:pPr>
            <w:r>
              <w:rPr>
                <w:b/>
                <w:sz w:val="16"/>
              </w:rPr>
              <w:t>Univariate ARIMA</w:t>
            </w:r>
          </w:p>
        </w:tc>
        <w:tc>
          <w:tcPr>
            <w:tcW w:type="dxa" w:w="1337"/>
            <w:shd w:fill="F9FBFD"/>
            <w:tcMar>
              <w:top w:w="80" w:type="dxa"/>
              <w:bottom w:w="80" w:type="dxa"/>
              <w:left w:w="80" w:type="dxa"/>
              <w:right w:w="80" w:type="dxa"/>
            </w:tcMar>
          </w:tcPr>
          <w:p>
            <w:pPr>
              <w:jc w:val="right"/>
            </w:pPr>
            <w:r>
              <w:rPr>
                <w:sz w:val="16"/>
              </w:rPr>
              <w:t>31.6% (6/19)</w:t>
            </w:r>
          </w:p>
        </w:tc>
        <w:tc>
          <w:tcPr>
            <w:tcW w:type="dxa" w:w="1337"/>
            <w:shd w:fill="F9FBFD"/>
            <w:tcMar>
              <w:top w:w="80" w:type="dxa"/>
              <w:bottom w:w="80" w:type="dxa"/>
              <w:left w:w="80" w:type="dxa"/>
              <w:right w:w="80" w:type="dxa"/>
            </w:tcMar>
          </w:tcPr>
          <w:p>
            <w:pPr>
              <w:jc w:val="right"/>
            </w:pPr>
            <w:r>
              <w:rPr>
                <w:sz w:val="16"/>
              </w:rPr>
              <w:t>2.5m / 1.5m</w:t>
            </w:r>
          </w:p>
        </w:tc>
        <w:tc>
          <w:tcPr>
            <w:tcW w:type="dxa" w:w="1337"/>
            <w:shd w:fill="F9FBFD"/>
            <w:tcMar>
              <w:top w:w="80" w:type="dxa"/>
              <w:bottom w:w="80" w:type="dxa"/>
              <w:left w:w="80" w:type="dxa"/>
              <w:right w:w="80" w:type="dxa"/>
            </w:tcMar>
          </w:tcPr>
          <w:p>
            <w:pPr>
              <w:jc w:val="right"/>
            </w:pPr>
            <w:r>
              <w:rPr>
                <w:sz w:val="16"/>
              </w:rPr>
              <w:t>57.9% (11/19) [36.8%, 78.9%]</w:t>
            </w:r>
          </w:p>
        </w:tc>
        <w:tc>
          <w:tcPr>
            <w:tcW w:type="dxa" w:w="1337"/>
            <w:shd w:fill="F9FBFD"/>
            <w:tcMar>
              <w:top w:w="80" w:type="dxa"/>
              <w:bottom w:w="80" w:type="dxa"/>
              <w:left w:w="80" w:type="dxa"/>
              <w:right w:w="80" w:type="dxa"/>
            </w:tcMar>
          </w:tcPr>
          <w:p>
            <w:pPr>
              <w:jc w:val="right"/>
            </w:pPr>
            <w:r>
              <w:rPr>
                <w:sz w:val="16"/>
              </w:rPr>
              <w:t>5.2m / 5.2m</w:t>
            </w:r>
          </w:p>
        </w:tc>
        <w:tc>
          <w:tcPr>
            <w:tcW w:type="dxa" w:w="1337"/>
            <w:shd w:fill="F9FBFD"/>
            <w:tcMar>
              <w:top w:w="80" w:type="dxa"/>
              <w:bottom w:w="80" w:type="dxa"/>
              <w:left w:w="80" w:type="dxa"/>
              <w:right w:w="80" w:type="dxa"/>
            </w:tcMar>
          </w:tcPr>
          <w:p>
            <w:pPr>
              <w:jc w:val="right"/>
            </w:pPr>
            <w:r>
              <w:rPr>
                <w:b/>
                <w:color w:val="1B5E20"/>
                <w:sz w:val="16"/>
              </w:rPr>
              <w:t>0.50 / hr (Met)</w:t>
            </w:r>
          </w:p>
        </w:tc>
        <w:tc>
          <w:tcPr>
            <w:tcW w:type="dxa" w:w="1337"/>
            <w:shd w:fill="F9FBFD"/>
            <w:tcMar>
              <w:top w:w="80" w:type="dxa"/>
              <w:bottom w:w="80" w:type="dxa"/>
              <w:left w:w="80" w:type="dxa"/>
              <w:right w:w="80" w:type="dxa"/>
            </w:tcMar>
          </w:tcPr>
          <w:p>
            <w:pPr>
              <w:jc w:val="right"/>
            </w:pPr>
            <w:r>
              <w:rPr>
                <w:sz w:val="16"/>
              </w:rPr>
              <w:t>68.4% (13/19)</w:t>
            </w:r>
          </w:p>
        </w:tc>
      </w:tr>
      <w:tr>
        <w:tc>
          <w:tcPr>
            <w:tcW w:type="dxa" w:w="1337"/>
            <w:shd w:fill="FFFFFF"/>
            <w:tcMar>
              <w:top w:w="80" w:type="dxa"/>
              <w:bottom w:w="80" w:type="dxa"/>
              <w:left w:w="80" w:type="dxa"/>
              <w:right w:w="80" w:type="dxa"/>
            </w:tcMar>
          </w:tcPr>
          <w:p>
            <w:pPr>
              <w:jc w:val="left"/>
            </w:pPr>
            <w:r>
              <w:rPr>
                <w:b/>
                <w:sz w:val="16"/>
              </w:rPr>
              <w:t>Naive Persistence</w:t>
            </w:r>
          </w:p>
        </w:tc>
        <w:tc>
          <w:tcPr>
            <w:tcW w:type="dxa" w:w="1337"/>
            <w:shd w:fill="FFFFFF"/>
            <w:tcMar>
              <w:top w:w="80" w:type="dxa"/>
              <w:bottom w:w="80" w:type="dxa"/>
              <w:left w:w="80" w:type="dxa"/>
              <w:right w:w="80" w:type="dxa"/>
            </w:tcMar>
          </w:tcPr>
          <w:p>
            <w:pPr>
              <w:jc w:val="right"/>
            </w:pPr>
            <w:r>
              <w:rPr>
                <w:sz w:val="16"/>
              </w:rPr>
              <w:t>47.4% (9/19)</w:t>
            </w:r>
          </w:p>
        </w:tc>
        <w:tc>
          <w:tcPr>
            <w:tcW w:type="dxa" w:w="1337"/>
            <w:shd w:fill="FFFFFF"/>
            <w:tcMar>
              <w:top w:w="80" w:type="dxa"/>
              <w:bottom w:w="80" w:type="dxa"/>
              <w:left w:w="80" w:type="dxa"/>
              <w:right w:w="80" w:type="dxa"/>
            </w:tcMar>
          </w:tcPr>
          <w:p>
            <w:pPr>
              <w:jc w:val="right"/>
            </w:pPr>
            <w:r>
              <w:rPr>
                <w:sz w:val="16"/>
              </w:rPr>
              <w:t>4.5m / 4.5m</w:t>
            </w:r>
          </w:p>
        </w:tc>
        <w:tc>
          <w:tcPr>
            <w:tcW w:type="dxa" w:w="1337"/>
            <w:shd w:fill="FFFFFF"/>
            <w:tcMar>
              <w:top w:w="80" w:type="dxa"/>
              <w:bottom w:w="80" w:type="dxa"/>
              <w:left w:w="80" w:type="dxa"/>
              <w:right w:w="80" w:type="dxa"/>
            </w:tcMar>
          </w:tcPr>
          <w:p>
            <w:pPr>
              <w:jc w:val="right"/>
            </w:pPr>
            <w:r>
              <w:rPr>
                <w:sz w:val="16"/>
              </w:rPr>
              <w:t>47.4% (9/19) [26.3%, 68.4%]</w:t>
            </w:r>
          </w:p>
        </w:tc>
        <w:tc>
          <w:tcPr>
            <w:tcW w:type="dxa" w:w="1337"/>
            <w:shd w:fill="FFFFFF"/>
            <w:tcMar>
              <w:top w:w="80" w:type="dxa"/>
              <w:bottom w:w="80" w:type="dxa"/>
              <w:left w:w="80" w:type="dxa"/>
              <w:right w:w="80" w:type="dxa"/>
            </w:tcMar>
          </w:tcPr>
          <w:p>
            <w:pPr>
              <w:jc w:val="right"/>
            </w:pPr>
            <w:r>
              <w:rPr>
                <w:sz w:val="16"/>
              </w:rPr>
              <w:t>2.3m / 2.2m</w:t>
            </w:r>
          </w:p>
        </w:tc>
        <w:tc>
          <w:tcPr>
            <w:tcW w:type="dxa" w:w="1337"/>
            <w:shd w:fill="FFFFFF"/>
            <w:tcMar>
              <w:top w:w="80" w:type="dxa"/>
              <w:bottom w:w="80" w:type="dxa"/>
              <w:left w:w="80" w:type="dxa"/>
              <w:right w:w="80" w:type="dxa"/>
            </w:tcMar>
          </w:tcPr>
          <w:p>
            <w:pPr>
              <w:jc w:val="right"/>
            </w:pPr>
            <w:r>
              <w:rPr>
                <w:b/>
                <w:color w:val="1B5E20"/>
                <w:sz w:val="16"/>
              </w:rPr>
              <w:t>1.01 / hr (Met)</w:t>
            </w:r>
          </w:p>
        </w:tc>
        <w:tc>
          <w:tcPr>
            <w:tcW w:type="dxa" w:w="1337"/>
            <w:shd w:fill="FFFFFF"/>
            <w:tcMar>
              <w:top w:w="80" w:type="dxa"/>
              <w:bottom w:w="80" w:type="dxa"/>
              <w:left w:w="80" w:type="dxa"/>
              <w:right w:w="80" w:type="dxa"/>
            </w:tcMar>
          </w:tcPr>
          <w:p>
            <w:pPr>
              <w:jc w:val="right"/>
            </w:pPr>
            <w:r>
              <w:rPr>
                <w:sz w:val="16"/>
              </w:rPr>
              <w:t>57.9% (11/19)</w:t>
            </w:r>
          </w:p>
        </w:tc>
      </w:tr>
      <w:tr>
        <w:tc>
          <w:tcPr>
            <w:tcW w:type="dxa" w:w="1337"/>
            <w:shd w:fill="F9FBFD"/>
            <w:tcMar>
              <w:top w:w="80" w:type="dxa"/>
              <w:bottom w:w="80" w:type="dxa"/>
              <w:left w:w="80" w:type="dxa"/>
              <w:right w:w="80" w:type="dxa"/>
            </w:tcMar>
          </w:tcPr>
          <w:p>
            <w:pPr>
              <w:jc w:val="left"/>
            </w:pPr>
            <w:r>
              <w:rPr>
                <w:b/>
                <w:sz w:val="16"/>
              </w:rPr>
              <w:t>Local Outlier Factor (LOF)*</w:t>
            </w:r>
          </w:p>
        </w:tc>
        <w:tc>
          <w:tcPr>
            <w:tcW w:type="dxa" w:w="1337"/>
            <w:shd w:fill="F9FBFD"/>
            <w:tcMar>
              <w:top w:w="80" w:type="dxa"/>
              <w:bottom w:w="80" w:type="dxa"/>
              <w:left w:w="80" w:type="dxa"/>
              <w:right w:w="80" w:type="dxa"/>
            </w:tcMar>
          </w:tcPr>
          <w:p>
            <w:pPr>
              <w:jc w:val="right"/>
            </w:pPr>
            <w:r>
              <w:rPr>
                <w:sz w:val="16"/>
              </w:rPr>
              <w:t>63.2% (12/19)</w:t>
            </w:r>
          </w:p>
        </w:tc>
        <w:tc>
          <w:tcPr>
            <w:tcW w:type="dxa" w:w="1337"/>
            <w:shd w:fill="F9FBFD"/>
            <w:tcMar>
              <w:top w:w="80" w:type="dxa"/>
              <w:bottom w:w="80" w:type="dxa"/>
              <w:left w:w="80" w:type="dxa"/>
              <w:right w:w="80" w:type="dxa"/>
            </w:tcMar>
          </w:tcPr>
          <w:p>
            <w:pPr>
              <w:jc w:val="right"/>
            </w:pPr>
            <w:r>
              <w:rPr>
                <w:sz w:val="16"/>
              </w:rPr>
              <w:t>5.0m / 5.0m</w:t>
            </w:r>
          </w:p>
        </w:tc>
        <w:tc>
          <w:tcPr>
            <w:tcW w:type="dxa" w:w="1337"/>
            <w:shd w:fill="F9FBFD"/>
            <w:tcMar>
              <w:top w:w="80" w:type="dxa"/>
              <w:bottom w:w="80" w:type="dxa"/>
              <w:left w:w="80" w:type="dxa"/>
              <w:right w:w="80" w:type="dxa"/>
            </w:tcMar>
          </w:tcPr>
          <w:p>
            <w:pPr>
              <w:jc w:val="right"/>
            </w:pPr>
            <w:r>
              <w:rPr>
                <w:sz w:val="16"/>
              </w:rPr>
              <w:t>57.9% (11/19) [36.8%, 78.9%]</w:t>
            </w:r>
          </w:p>
        </w:tc>
        <w:tc>
          <w:tcPr>
            <w:tcW w:type="dxa" w:w="1337"/>
            <w:shd w:fill="F9FBFD"/>
            <w:tcMar>
              <w:top w:w="80" w:type="dxa"/>
              <w:bottom w:w="80" w:type="dxa"/>
              <w:left w:w="80" w:type="dxa"/>
              <w:right w:w="80" w:type="dxa"/>
            </w:tcMar>
          </w:tcPr>
          <w:p>
            <w:pPr>
              <w:jc w:val="right"/>
            </w:pPr>
            <w:r>
              <w:rPr>
                <w:sz w:val="16"/>
              </w:rPr>
              <w:t>4.5m / 4.8m</w:t>
            </w:r>
          </w:p>
        </w:tc>
        <w:tc>
          <w:tcPr>
            <w:tcW w:type="dxa" w:w="1337"/>
            <w:shd w:fill="F9FBFD"/>
            <w:tcMar>
              <w:top w:w="80" w:type="dxa"/>
              <w:bottom w:w="80" w:type="dxa"/>
              <w:left w:w="80" w:type="dxa"/>
              <w:right w:w="80" w:type="dxa"/>
            </w:tcMar>
          </w:tcPr>
          <w:p>
            <w:pPr>
              <w:jc w:val="right"/>
            </w:pPr>
            <w:r>
              <w:rPr>
                <w:b/>
                <w:color w:val="1B5E20"/>
                <w:sz w:val="16"/>
              </w:rPr>
              <w:t>1.51 / hr (Met)</w:t>
            </w:r>
          </w:p>
        </w:tc>
        <w:tc>
          <w:tcPr>
            <w:tcW w:type="dxa" w:w="1337"/>
            <w:shd w:fill="F9FBFD"/>
            <w:tcMar>
              <w:top w:w="80" w:type="dxa"/>
              <w:bottom w:w="80" w:type="dxa"/>
              <w:left w:w="80" w:type="dxa"/>
              <w:right w:w="80" w:type="dxa"/>
            </w:tcMar>
          </w:tcPr>
          <w:p>
            <w:pPr>
              <w:jc w:val="right"/>
            </w:pPr>
            <w:r>
              <w:rPr>
                <w:sz w:val="16"/>
              </w:rPr>
              <w:t>57.9% (11/19)</w:t>
            </w:r>
          </w:p>
        </w:tc>
      </w:tr>
    </w:tbl>
    <w:p>
      <w:pPr>
        <w:spacing w:after="160"/>
      </w:pPr>
    </w:p>
    <w:p>
      <w:r>
        <w:drawing>
          <wp:inline xmlns:a="http://schemas.openxmlformats.org/drawingml/2006/main" xmlns:pic="http://schemas.openxmlformats.org/drawingml/2006/picture">
            <wp:extent cx="5303520" cy="2892829"/>
            <wp:docPr id="1" name="Picture 1"/>
            <wp:cNvGraphicFramePr>
              <a:graphicFrameLocks noChangeAspect="1"/>
            </wp:cNvGraphicFramePr>
            <a:graphic>
              <a:graphicData uri="http://schemas.openxmlformats.org/drawingml/2006/picture">
                <pic:pic>
                  <pic:nvPicPr>
                    <pic:cNvPr id="0" name="protocol_comparison.png"/>
                    <pic:cNvPicPr/>
                  </pic:nvPicPr>
                  <pic:blipFill>
                    <a:blip r:embed="rId9"/>
                    <a:stretch>
                      <a:fillRect/>
                    </a:stretch>
                  </pic:blipFill>
                  <pic:spPr>
                    <a:xfrm>
                      <a:off x="0" y="0"/>
                      <a:ext cx="5303520" cy="2892829"/>
                    </a:xfrm>
                    <a:prstGeom prst="rect"/>
                  </pic:spPr>
                </pic:pic>
              </a:graphicData>
            </a:graphic>
          </wp:inline>
        </w:drawing>
      </w:r>
    </w:p>
    <w:p>
      <w:pPr>
        <w:jc w:val="center"/>
      </w:pPr>
      <w:r>
        <w:t>Figure 1: Reconciled Comparison Across Protocol 1 (Within-Event) and Protocol 2 (Cross-Event LOEO-CV) under Realized FAR &lt;= 1.0/hr (*LOF exceeds budget at 1.51/hr).</w:t>
      </w:r>
    </w:p>
    <w:p>
      <w:r>
        <w:drawing>
          <wp:inline xmlns:a="http://schemas.openxmlformats.org/drawingml/2006/main" xmlns:pic="http://schemas.openxmlformats.org/drawingml/2006/picture">
            <wp:extent cx="5303520" cy="3070459"/>
            <wp:docPr id="2" name="Picture 2"/>
            <wp:cNvGraphicFramePr>
              <a:graphicFrameLocks noChangeAspect="1"/>
            </wp:cNvGraphicFramePr>
            <a:graphic>
              <a:graphicData uri="http://schemas.openxmlformats.org/drawingml/2006/picture">
                <pic:pic>
                  <pic:nvPicPr>
                    <pic:cNvPr id="0" name="matched_far_tradeoff.png"/>
                    <pic:cNvPicPr/>
                  </pic:nvPicPr>
                  <pic:blipFill>
                    <a:blip r:embed="rId10"/>
                    <a:stretch>
                      <a:fillRect/>
                    </a:stretch>
                  </pic:blipFill>
                  <pic:spPr>
                    <a:xfrm>
                      <a:off x="0" y="0"/>
                      <a:ext cx="5303520" cy="3070459"/>
                    </a:xfrm>
                    <a:prstGeom prst="rect"/>
                  </pic:spPr>
                </pic:pic>
              </a:graphicData>
            </a:graphic>
          </wp:inline>
        </w:drawing>
      </w:r>
    </w:p>
    <w:p>
      <w:pPr>
        <w:jc w:val="center"/>
      </w:pPr>
      <w:r>
        <w:t>Figure 2: Protocol 2 Cross-Event LOEO-CV Realized False Alarm Rate vs. Early Detection Rate Trade-off Curve.</w:t>
      </w: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loeo_vs_lowo_comparison.png"/>
                    <pic:cNvPicPr/>
                  </pic:nvPicPr>
                  <pic:blipFill>
                    <a:blip r:embed="rId11"/>
                    <a:stretch>
                      <a:fillRect/>
                    </a:stretch>
                  </pic:blipFill>
                  <pic:spPr>
                    <a:xfrm>
                      <a:off x="0" y="0"/>
                      <a:ext cx="5303520" cy="2651760"/>
                    </a:xfrm>
                    <a:prstGeom prst="rect"/>
                  </pic:spPr>
                </pic:pic>
              </a:graphicData>
            </a:graphic>
          </wp:inline>
        </w:drawing>
      </w:r>
    </w:p>
    <w:p>
      <w:pPr>
        <w:jc w:val="center"/>
      </w:pPr>
      <w:r>
        <w:t>Figure 3: Generalization Sensitivity: Cross-Event LOEO-CV (19 Folds) vs. Cross-Physical-Well LOWO-CV (5 Folds).</w:t>
      </w:r>
    </w:p>
    <w:p>
      <w:pPr>
        <w:pStyle w:val="Heading1"/>
      </w:pPr>
      <w:r>
        <w:t>7. Scientific Discussion &amp; Root-Cause Physical Insights</w:t>
      </w:r>
    </w:p>
    <w:p>
      <w:r>
        <w:t>1. Dynamic Regression vs. Post-Hoc Heuristic Fusion:</w:t>
        <w:br/>
        <w:t>In Cross-Event LOEO-CV, dynamic temperature conditioning in SARIMAX achieved 63.2% detection with 4.8 min mean lead time at 0.50 FA/hr, matching balanced OILGUARD-AC (w=0.50: 63.2%, 4.0 min lead) and outperforming moderate coupling (w=0.70: 52.6%, 4.7 min lead).</w:t>
        <w:br/>
        <w:t>Physical Mechanism: Downhole fluid possesses thermal inertia; fluid temperature changes more gradually than acoustic pressure drop during incipient valve throttling. In SARIMAX, temperature enters the autoregressive forecast equation directly, conditioning dynamic expectations before computing residuals. In post-hoc algebraic fusion (w=0.70), sluggish temperature deviations can dilute early acoustic pressure departures.</w:t>
      </w:r>
    </w:p>
    <w:p>
      <w:r>
        <w:t>2. Failure of Density-Based Non-Forecasting Detectors (LOF):</w:t>
        <w:br/>
        <w:t>While Local Outlier Factor achieves 57.9% detection, it generates 1.51 false alarms per hour on unseen holdout wells, violating operational nuisance-alarm budgets by 1.5x due to cross-well density drift. LOF measures k-NN density in raw feature space [P, T]. Because baseline operating pressure varies from 8.9 to 21.0 MPa across the 5 physical wells, normal holdout telemetry falls into low-density regions relative to calibration sets. Time-series forecasting models difference out static level shifts.</w:t>
      </w:r>
    </w:p>
    <w:p>
      <w:r>
        <w:t>3. Calibration FAR Does Not Equal Realized Holdout FAR:</w:t>
        <w:br/>
        <w:t>Calibrating on a short normal window does not guarantee that holdout FAR will remain below budget when deployed over longer periods. Realized holdout FAR must always be reported separately from calibration FAR.</w:t>
      </w:r>
    </w:p>
    <w:p>
      <w:pPr>
        <w:pStyle w:val="Heading1"/>
      </w:pPr>
      <w:r>
        <w:t>8. Operational Scope &amp; Qualified Engineering Limitations</w:t>
      </w:r>
    </w:p>
    <w:p>
      <w:r>
        <w:t>1. Observed Experimental Lead Time: Detected events showed an observed mean lead time of approximately 4 to 5 minutes under the experimental definition. This creates an actionable operational window for diagnostic assessment and control-room verification. We explicitly do not claim that this retrospective lead time proves sufficient time for safe automated intervention, closed-loop choke adjustments, or water hammer prevention.</w:t>
        <w:br/>
        <w:t>2. Future Dynamic Simulation: Assertions regarding hydraulic transient mitigation or water hammer suppression remain hypotheses that require rigorous multiphase dynamic simulation (e.g., Schlumberger OLGA) and physical flow-loop testing prior to any live SCADA deployment.</w:t>
        <w:br/>
        <w:t>3. Small Sample Uncertainty: Although 19 real-world events across 5 physical wells represent one of the largest authentic DHSV closure cohorts published, the 95% bootstrap confidence intervals (e.g., [42.1%, 84.2%] for SARIMAX) reflect inherent statistical uncertainty.</w:t>
      </w:r>
    </w:p>
    <w:p>
      <w:pPr>
        <w:pStyle w:val="Heading1"/>
      </w:pPr>
      <w:r>
        <w:t>9. Complete Experimental Chronology Summary Matrix</w:t>
      </w:r>
    </w:p>
    <w:p>
      <w:r>
        <w:t>The table below provides a comprehensive chronological record of everything attempted, the results obtained, the limitations discovered, and the resolution achieved across the entire research journey: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80" w:type="dxa"/>
              <w:right w:w="80" w:type="dxa"/>
            </w:tcMar>
          </w:tcPr>
          <w:p>
            <w:pPr>
              <w:jc w:val="center"/>
            </w:pPr>
            <w:r>
              <w:rPr>
                <w:b/>
                <w:color w:val="FFFFFF"/>
                <w:sz w:val="17"/>
              </w:rPr>
              <w:t>Phase</w:t>
            </w:r>
          </w:p>
        </w:tc>
        <w:tc>
          <w:tcPr>
            <w:tcW w:type="dxa" w:w="1560"/>
            <w:shd w:fill="0A3663"/>
            <w:tcMar>
              <w:top w:w="100" w:type="dxa"/>
              <w:bottom w:w="100" w:type="dxa"/>
              <w:left w:w="80" w:type="dxa"/>
              <w:right w:w="80" w:type="dxa"/>
            </w:tcMar>
          </w:tcPr>
          <w:p>
            <w:pPr>
              <w:jc w:val="center"/>
            </w:pPr>
            <w:r>
              <w:rPr>
                <w:b/>
                <w:color w:val="FFFFFF"/>
                <w:sz w:val="17"/>
              </w:rPr>
              <w:t>What We Tried</w:t>
            </w:r>
          </w:p>
        </w:tc>
        <w:tc>
          <w:tcPr>
            <w:tcW w:type="dxa" w:w="1560"/>
            <w:shd w:fill="0A3663"/>
            <w:tcMar>
              <w:top w:w="100" w:type="dxa"/>
              <w:bottom w:w="100" w:type="dxa"/>
              <w:left w:w="80" w:type="dxa"/>
              <w:right w:w="80" w:type="dxa"/>
            </w:tcMar>
          </w:tcPr>
          <w:p>
            <w:pPr>
              <w:jc w:val="center"/>
            </w:pPr>
            <w:r>
              <w:rPr>
                <w:b/>
                <w:color w:val="FFFFFF"/>
                <w:sz w:val="17"/>
              </w:rPr>
              <w:t>Hypothesis</w:t>
            </w:r>
          </w:p>
        </w:tc>
        <w:tc>
          <w:tcPr>
            <w:tcW w:type="dxa" w:w="1560"/>
            <w:shd w:fill="0A3663"/>
            <w:tcMar>
              <w:top w:w="100" w:type="dxa"/>
              <w:bottom w:w="100" w:type="dxa"/>
              <w:left w:w="80" w:type="dxa"/>
              <w:right w:w="80" w:type="dxa"/>
            </w:tcMar>
          </w:tcPr>
          <w:p>
            <w:pPr>
              <w:jc w:val="center"/>
            </w:pPr>
            <w:r>
              <w:rPr>
                <w:b/>
                <w:color w:val="FFFFFF"/>
                <w:sz w:val="17"/>
              </w:rPr>
              <w:t>Results Obtained</w:t>
            </w:r>
          </w:p>
        </w:tc>
        <w:tc>
          <w:tcPr>
            <w:tcW w:type="dxa" w:w="1560"/>
            <w:shd w:fill="0A3663"/>
            <w:tcMar>
              <w:top w:w="100" w:type="dxa"/>
              <w:bottom w:w="100" w:type="dxa"/>
              <w:left w:w="80" w:type="dxa"/>
              <w:right w:w="80" w:type="dxa"/>
            </w:tcMar>
          </w:tcPr>
          <w:p>
            <w:pPr>
              <w:jc w:val="center"/>
            </w:pPr>
            <w:r>
              <w:rPr>
                <w:b/>
                <w:color w:val="FFFFFF"/>
                <w:sz w:val="17"/>
              </w:rPr>
              <w:t>Flaws / Gaps Found</w:t>
            </w:r>
          </w:p>
        </w:tc>
        <w:tc>
          <w:tcPr>
            <w:tcW w:type="dxa" w:w="1560"/>
            <w:shd w:fill="0A3663"/>
            <w:tcMar>
              <w:top w:w="100" w:type="dxa"/>
              <w:bottom w:w="100" w:type="dxa"/>
              <w:left w:w="80" w:type="dxa"/>
              <w:right w:w="80" w:type="dxa"/>
            </w:tcMar>
          </w:tcPr>
          <w:p>
            <w:pPr>
              <w:jc w:val="center"/>
            </w:pPr>
            <w:r>
              <w:rPr>
                <w:b/>
                <w:color w:val="FFFFFF"/>
                <w:sz w:val="17"/>
              </w:rPr>
              <w:t>Resolution &amp; Next Step</w:t>
            </w:r>
          </w:p>
        </w:tc>
      </w:tr>
      <w:tr>
        <w:tc>
          <w:tcPr>
            <w:tcW w:type="dxa" w:w="1560"/>
            <w:shd w:fill="F9FBFD"/>
            <w:tcMar>
              <w:top w:w="80" w:type="dxa"/>
              <w:bottom w:w="80" w:type="dxa"/>
              <w:left w:w="80" w:type="dxa"/>
              <w:right w:w="80" w:type="dxa"/>
            </w:tcMar>
          </w:tcPr>
          <w:p>
            <w:pPr>
              <w:jc w:val="left"/>
            </w:pPr>
            <w:r>
              <w:rPr>
                <w:b/>
                <w:sz w:val="16"/>
              </w:rPr>
              <w:t>Phase 1</w:t>
            </w:r>
          </w:p>
        </w:tc>
        <w:tc>
          <w:tcPr>
            <w:tcW w:type="dxa" w:w="1560"/>
            <w:shd w:fill="F9FBFD"/>
            <w:tcMar>
              <w:top w:w="80" w:type="dxa"/>
              <w:bottom w:w="80" w:type="dxa"/>
              <w:left w:w="80" w:type="dxa"/>
              <w:right w:w="80" w:type="dxa"/>
            </w:tcMar>
          </w:tcPr>
          <w:p>
            <w:pPr>
              <w:jc w:val="left"/>
            </w:pPr>
            <w:r>
              <w:rPr>
                <w:sz w:val="16"/>
              </w:rPr>
              <w:t>Rolling 1-step ARIMA, SARIMAX vs Naive</w:t>
            </w:r>
          </w:p>
        </w:tc>
        <w:tc>
          <w:tcPr>
            <w:tcW w:type="dxa" w:w="1560"/>
            <w:shd w:fill="F9FBFD"/>
            <w:tcMar>
              <w:top w:w="80" w:type="dxa"/>
              <w:bottom w:w="80" w:type="dxa"/>
              <w:left w:w="80" w:type="dxa"/>
              <w:right w:w="80" w:type="dxa"/>
            </w:tcMar>
          </w:tcPr>
          <w:p>
            <w:pPr>
              <w:jc w:val="left"/>
            </w:pPr>
            <w:r>
              <w:rPr>
                <w:sz w:val="16"/>
              </w:rPr>
              <w:t>Forecasting captures pressure dynamics and cuts error vs persistence</w:t>
            </w:r>
          </w:p>
        </w:tc>
        <w:tc>
          <w:tcPr>
            <w:tcW w:type="dxa" w:w="1560"/>
            <w:shd w:fill="F9FBFD"/>
            <w:tcMar>
              <w:top w:w="80" w:type="dxa"/>
              <w:bottom w:w="80" w:type="dxa"/>
              <w:left w:w="80" w:type="dxa"/>
              <w:right w:w="80" w:type="dxa"/>
            </w:tcMar>
          </w:tcPr>
          <w:p>
            <w:pPr>
              <w:jc w:val="left"/>
            </w:pPr>
            <w:r>
              <w:rPr>
                <w:sz w:val="16"/>
              </w:rPr>
              <w:t>0.016 MPa MAE (47% lower error than Naive)</w:t>
            </w:r>
          </w:p>
        </w:tc>
        <w:tc>
          <w:tcPr>
            <w:tcW w:type="dxa" w:w="1560"/>
            <w:shd w:fill="F9FBFD"/>
            <w:tcMar>
              <w:top w:w="80" w:type="dxa"/>
              <w:bottom w:w="80" w:type="dxa"/>
              <w:left w:w="80" w:type="dxa"/>
              <w:right w:w="80" w:type="dxa"/>
            </w:tcMar>
          </w:tcPr>
          <w:p>
            <w:pPr>
              <w:jc w:val="left"/>
            </w:pPr>
            <w:r>
              <w:rPr>
                <w:sz w:val="16"/>
              </w:rPr>
              <w:t>Noisy Baseline Paradox: Naive detected 7/19 due to unconstrained noise</w:t>
            </w:r>
          </w:p>
        </w:tc>
        <w:tc>
          <w:tcPr>
            <w:tcW w:type="dxa" w:w="1560"/>
            <w:shd w:fill="F9FBFD"/>
            <w:tcMar>
              <w:top w:w="80" w:type="dxa"/>
              <w:bottom w:w="80" w:type="dxa"/>
              <w:left w:w="80" w:type="dxa"/>
              <w:right w:w="80" w:type="dxa"/>
            </w:tcMar>
          </w:tcPr>
          <w:p>
            <w:pPr>
              <w:jc w:val="left"/>
            </w:pPr>
            <w:r>
              <w:rPr>
                <w:sz w:val="16"/>
              </w:rPr>
              <w:t>Introduced FAR tracking &amp; persistence filtering</w:t>
            </w:r>
          </w:p>
        </w:tc>
      </w:tr>
      <w:tr>
        <w:tc>
          <w:tcPr>
            <w:tcW w:type="dxa" w:w="1560"/>
            <w:shd w:fill="FFFFFF"/>
            <w:tcMar>
              <w:top w:w="80" w:type="dxa"/>
              <w:bottom w:w="80" w:type="dxa"/>
              <w:left w:w="80" w:type="dxa"/>
              <w:right w:w="80" w:type="dxa"/>
            </w:tcMar>
          </w:tcPr>
          <w:p>
            <w:pPr>
              <w:jc w:val="left"/>
            </w:pPr>
            <w:r>
              <w:rPr>
                <w:b/>
                <w:sz w:val="16"/>
              </w:rPr>
              <w:t>Phase 2</w:t>
            </w:r>
          </w:p>
        </w:tc>
        <w:tc>
          <w:tcPr>
            <w:tcW w:type="dxa" w:w="1560"/>
            <w:shd w:fill="FFFFFF"/>
            <w:tcMar>
              <w:top w:w="80" w:type="dxa"/>
              <w:bottom w:w="80" w:type="dxa"/>
              <w:left w:w="80" w:type="dxa"/>
              <w:right w:w="80" w:type="dxa"/>
            </w:tcMar>
          </w:tcPr>
          <w:p>
            <w:pPr>
              <w:jc w:val="left"/>
            </w:pPr>
            <w:r>
              <w:rPr>
                <w:sz w:val="16"/>
              </w:rPr>
              <w:t>Grid search (q, p) &amp; EWMA smoothing (lambda=0.3)</w:t>
            </w:r>
          </w:p>
        </w:tc>
        <w:tc>
          <w:tcPr>
            <w:tcW w:type="dxa" w:w="1560"/>
            <w:shd w:fill="FFFFFF"/>
            <w:tcMar>
              <w:top w:w="80" w:type="dxa"/>
              <w:bottom w:w="80" w:type="dxa"/>
              <w:left w:w="80" w:type="dxa"/>
              <w:right w:w="80" w:type="dxa"/>
            </w:tcMar>
          </w:tcPr>
          <w:p>
            <w:pPr>
              <w:jc w:val="left"/>
            </w:pPr>
            <w:r>
              <w:rPr>
                <w:sz w:val="16"/>
              </w:rPr>
              <w:t>Persistence (p) and smoothing eliminate noise, boosting detection</w:t>
            </w:r>
          </w:p>
        </w:tc>
        <w:tc>
          <w:tcPr>
            <w:tcW w:type="dxa" w:w="1560"/>
            <w:shd w:fill="FFFFFF"/>
            <w:tcMar>
              <w:top w:w="80" w:type="dxa"/>
              <w:bottom w:w="80" w:type="dxa"/>
              <w:left w:w="80" w:type="dxa"/>
              <w:right w:w="80" w:type="dxa"/>
            </w:tcMar>
          </w:tcPr>
          <w:p>
            <w:pPr>
              <w:jc w:val="left"/>
            </w:pPr>
            <w:r>
              <w:rPr>
                <w:sz w:val="16"/>
              </w:rPr>
              <w:t>Detection reached 68.4% (13/19) with &gt;5 min lead time</w:t>
            </w:r>
          </w:p>
        </w:tc>
        <w:tc>
          <w:tcPr>
            <w:tcW w:type="dxa" w:w="1560"/>
            <w:shd w:fill="FFFFFF"/>
            <w:tcMar>
              <w:top w:w="80" w:type="dxa"/>
              <w:bottom w:w="80" w:type="dxa"/>
              <w:left w:w="80" w:type="dxa"/>
              <w:right w:w="80" w:type="dxa"/>
            </w:tcMar>
          </w:tcPr>
          <w:p>
            <w:pPr>
              <w:jc w:val="left"/>
            </w:pPr>
            <w:r>
              <w:rPr>
                <w:sz w:val="16"/>
              </w:rPr>
              <w:t>Alarm Storms &amp; Leakage: FAR exploded to 2.5-3.5/hr; retrospective tuning</w:t>
            </w:r>
          </w:p>
        </w:tc>
        <w:tc>
          <w:tcPr>
            <w:tcW w:type="dxa" w:w="1560"/>
            <w:shd w:fill="FFFFFF"/>
            <w:tcMar>
              <w:top w:w="80" w:type="dxa"/>
              <w:bottom w:w="80" w:type="dxa"/>
              <w:left w:w="80" w:type="dxa"/>
              <w:right w:w="80" w:type="dxa"/>
            </w:tcMar>
          </w:tcPr>
          <w:p>
            <w:pPr>
              <w:jc w:val="left"/>
            </w:pPr>
            <w:r>
              <w:rPr>
                <w:sz w:val="16"/>
              </w:rPr>
              <w:t>Enforced operational FAR budget (&lt;=1.0/hr)</w:t>
            </w:r>
          </w:p>
        </w:tc>
      </w:tr>
      <w:tr>
        <w:tc>
          <w:tcPr>
            <w:tcW w:type="dxa" w:w="1560"/>
            <w:shd w:fill="F9FBFD"/>
            <w:tcMar>
              <w:top w:w="80" w:type="dxa"/>
              <w:bottom w:w="80" w:type="dxa"/>
              <w:left w:w="80" w:type="dxa"/>
              <w:right w:w="80" w:type="dxa"/>
            </w:tcMar>
          </w:tcPr>
          <w:p>
            <w:pPr>
              <w:jc w:val="left"/>
            </w:pPr>
            <w:r>
              <w:rPr>
                <w:b/>
                <w:sz w:val="16"/>
              </w:rPr>
              <w:t>Phase 3</w:t>
            </w:r>
          </w:p>
        </w:tc>
        <w:tc>
          <w:tcPr>
            <w:tcW w:type="dxa" w:w="1560"/>
            <w:shd w:fill="F9FBFD"/>
            <w:tcMar>
              <w:top w:w="80" w:type="dxa"/>
              <w:bottom w:w="80" w:type="dxa"/>
              <w:left w:w="80" w:type="dxa"/>
              <w:right w:w="80" w:type="dxa"/>
            </w:tcMar>
          </w:tcPr>
          <w:p>
            <w:pPr>
              <w:jc w:val="left"/>
            </w:pPr>
            <w:r>
              <w:rPr>
                <w:sz w:val="16"/>
              </w:rPr>
              <w:t>OILGUARD-AC multisensor scoring &amp; LOF benchmark</w:t>
            </w:r>
          </w:p>
        </w:tc>
        <w:tc>
          <w:tcPr>
            <w:tcW w:type="dxa" w:w="1560"/>
            <w:shd w:fill="F9FBFD"/>
            <w:tcMar>
              <w:top w:w="80" w:type="dxa"/>
              <w:bottom w:w="80" w:type="dxa"/>
              <w:left w:w="80" w:type="dxa"/>
              <w:right w:w="80" w:type="dxa"/>
            </w:tcMar>
          </w:tcPr>
          <w:p>
            <w:pPr>
              <w:jc w:val="left"/>
            </w:pPr>
            <w:r>
              <w:rPr>
                <w:sz w:val="16"/>
              </w:rPr>
              <w:t>Combining P residuals with T departures cuts single-sensor false alarms</w:t>
            </w:r>
          </w:p>
        </w:tc>
        <w:tc>
          <w:tcPr>
            <w:tcW w:type="dxa" w:w="1560"/>
            <w:shd w:fill="F9FBFD"/>
            <w:tcMar>
              <w:top w:w="80" w:type="dxa"/>
              <w:bottom w:w="80" w:type="dxa"/>
              <w:left w:w="80" w:type="dxa"/>
              <w:right w:w="80" w:type="dxa"/>
            </w:tcMar>
          </w:tcPr>
          <w:p>
            <w:pPr>
              <w:jc w:val="left"/>
            </w:pPr>
            <w:r>
              <w:rPr>
                <w:sz w:val="16"/>
              </w:rPr>
              <w:t>OILGUARD-AC detected 9-11 events; LOF reported 14/19</w:t>
            </w:r>
          </w:p>
        </w:tc>
        <w:tc>
          <w:tcPr>
            <w:tcW w:type="dxa" w:w="1560"/>
            <w:shd w:fill="F9FBFD"/>
            <w:tcMar>
              <w:top w:w="80" w:type="dxa"/>
              <w:bottom w:w="80" w:type="dxa"/>
              <w:left w:w="80" w:type="dxa"/>
              <w:right w:w="80" w:type="dxa"/>
            </w:tcMar>
          </w:tcPr>
          <w:p>
            <w:pPr>
              <w:jc w:val="left"/>
            </w:pPr>
            <w:r>
              <w:rPr>
                <w:sz w:val="16"/>
              </w:rPr>
              <w:t>Conflicting Metrics: Numbers varied across drafts; LOF FAR unbudgeted</w:t>
            </w:r>
          </w:p>
        </w:tc>
        <w:tc>
          <w:tcPr>
            <w:tcW w:type="dxa" w:w="1560"/>
            <w:shd w:fill="F9FBFD"/>
            <w:tcMar>
              <w:top w:w="80" w:type="dxa"/>
              <w:bottom w:w="80" w:type="dxa"/>
              <w:left w:w="80" w:type="dxa"/>
              <w:right w:w="80" w:type="dxa"/>
            </w:tcMar>
          </w:tcPr>
          <w:p>
            <w:pPr>
              <w:jc w:val="left"/>
            </w:pPr>
            <w:r>
              <w:rPr>
                <w:sz w:val="16"/>
              </w:rPr>
              <w:t>Paused additions to conduct forensic audit</w:t>
            </w:r>
          </w:p>
        </w:tc>
      </w:tr>
      <w:tr>
        <w:tc>
          <w:tcPr>
            <w:tcW w:type="dxa" w:w="1560"/>
            <w:shd w:fill="FFFFFF"/>
            <w:tcMar>
              <w:top w:w="80" w:type="dxa"/>
              <w:bottom w:w="80" w:type="dxa"/>
              <w:left w:w="80" w:type="dxa"/>
              <w:right w:w="80" w:type="dxa"/>
            </w:tcMar>
          </w:tcPr>
          <w:p>
            <w:pPr>
              <w:jc w:val="left"/>
            </w:pPr>
            <w:r>
              <w:rPr>
                <w:b/>
                <w:sz w:val="16"/>
              </w:rPr>
              <w:t>Phase 4</w:t>
            </w:r>
          </w:p>
        </w:tc>
        <w:tc>
          <w:tcPr>
            <w:tcW w:type="dxa" w:w="1560"/>
            <w:shd w:fill="FFFFFF"/>
            <w:tcMar>
              <w:top w:w="80" w:type="dxa"/>
              <w:bottom w:w="80" w:type="dxa"/>
              <w:left w:w="80" w:type="dxa"/>
              <w:right w:w="80" w:type="dxa"/>
            </w:tcMar>
          </w:tcPr>
          <w:p>
            <w:pPr>
              <w:jc w:val="left"/>
            </w:pPr>
            <w:r>
              <w:rPr>
                <w:sz w:val="16"/>
              </w:rPr>
              <w:t>Forensic audit of cohort, splits, persistence, wells</w:t>
            </w:r>
          </w:p>
        </w:tc>
        <w:tc>
          <w:tcPr>
            <w:tcW w:type="dxa" w:w="1560"/>
            <w:shd w:fill="FFFFFF"/>
            <w:tcMar>
              <w:top w:w="80" w:type="dxa"/>
              <w:bottom w:w="80" w:type="dxa"/>
              <w:left w:w="80" w:type="dxa"/>
              <w:right w:w="80" w:type="dxa"/>
            </w:tcMar>
          </w:tcPr>
          <w:p>
            <w:pPr>
              <w:jc w:val="left"/>
            </w:pPr>
            <w:r>
              <w:rPr>
                <w:sz w:val="16"/>
              </w:rPr>
              <w:t>Forensic diagnosis of data and code reconciles all discrepancies</w:t>
            </w:r>
          </w:p>
        </w:tc>
        <w:tc>
          <w:tcPr>
            <w:tcW w:type="dxa" w:w="1560"/>
            <w:shd w:fill="FFFFFF"/>
            <w:tcMar>
              <w:top w:w="80" w:type="dxa"/>
              <w:bottom w:w="80" w:type="dxa"/>
              <w:left w:w="80" w:type="dxa"/>
              <w:right w:w="80" w:type="dxa"/>
            </w:tcMar>
          </w:tcPr>
          <w:p>
            <w:pPr>
              <w:jc w:val="left"/>
            </w:pPr>
            <w:r>
              <w:rPr>
                <w:sz w:val="16"/>
              </w:rPr>
              <w:t>Resolved 19 gold events; traced p=1 vs p=2; found 5 physical wells</w:t>
            </w:r>
          </w:p>
        </w:tc>
        <w:tc>
          <w:tcPr>
            <w:tcW w:type="dxa" w:w="1560"/>
            <w:shd w:fill="FFFFFF"/>
            <w:tcMar>
              <w:top w:w="80" w:type="dxa"/>
              <w:bottom w:w="80" w:type="dxa"/>
              <w:left w:w="80" w:type="dxa"/>
              <w:right w:w="80" w:type="dxa"/>
            </w:tcMar>
          </w:tcPr>
          <w:p>
            <w:pPr>
              <w:jc w:val="left"/>
            </w:pPr>
            <w:r>
              <w:rPr>
                <w:sz w:val="16"/>
              </w:rPr>
              <w:t>Conflation of within-event split with cross-event LOEO; calibration collapse</w:t>
            </w:r>
          </w:p>
        </w:tc>
        <w:tc>
          <w:tcPr>
            <w:tcW w:type="dxa" w:w="1560"/>
            <w:shd w:fill="FFFFFF"/>
            <w:tcMar>
              <w:top w:w="80" w:type="dxa"/>
              <w:bottom w:w="80" w:type="dxa"/>
              <w:left w:w="80" w:type="dxa"/>
              <w:right w:w="80" w:type="dxa"/>
            </w:tcMar>
          </w:tcPr>
          <w:p>
            <w:pPr>
              <w:jc w:val="left"/>
            </w:pPr>
            <w:r>
              <w:rPr>
                <w:sz w:val="16"/>
              </w:rPr>
              <w:t>Built unified script with 3 distinct protocols</w:t>
            </w:r>
          </w:p>
        </w:tc>
      </w:tr>
      <w:tr>
        <w:tc>
          <w:tcPr>
            <w:tcW w:type="dxa" w:w="1560"/>
            <w:shd w:fill="F9FBFD"/>
            <w:tcMar>
              <w:top w:w="80" w:type="dxa"/>
              <w:bottom w:w="80" w:type="dxa"/>
              <w:left w:w="80" w:type="dxa"/>
              <w:right w:w="80" w:type="dxa"/>
            </w:tcMar>
          </w:tcPr>
          <w:p>
            <w:pPr>
              <w:jc w:val="left"/>
            </w:pPr>
            <w:r>
              <w:rPr>
                <w:b/>
                <w:sz w:val="16"/>
              </w:rPr>
              <w:t>Phase 5</w:t>
            </w:r>
          </w:p>
        </w:tc>
        <w:tc>
          <w:tcPr>
            <w:tcW w:type="dxa" w:w="1560"/>
            <w:shd w:fill="F9FBFD"/>
            <w:tcMar>
              <w:top w:w="80" w:type="dxa"/>
              <w:bottom w:w="80" w:type="dxa"/>
              <w:left w:w="80" w:type="dxa"/>
              <w:right w:w="80" w:type="dxa"/>
            </w:tcMar>
          </w:tcPr>
          <w:p>
            <w:pPr>
              <w:jc w:val="left"/>
            </w:pPr>
            <w:r>
              <w:rPr>
                <w:sz w:val="16"/>
              </w:rPr>
              <w:t>Reconciled 3 protocols under matched realized FAR</w:t>
            </w:r>
          </w:p>
        </w:tc>
        <w:tc>
          <w:tcPr>
            <w:tcW w:type="dxa" w:w="1560"/>
            <w:shd w:fill="F9FBFD"/>
            <w:tcMar>
              <w:top w:w="80" w:type="dxa"/>
              <w:bottom w:w="80" w:type="dxa"/>
              <w:left w:w="80" w:type="dxa"/>
              <w:right w:w="80" w:type="dxa"/>
            </w:tcMar>
          </w:tcPr>
          <w:p>
            <w:pPr>
              <w:jc w:val="left"/>
            </w:pPr>
            <w:r>
              <w:rPr>
                <w:sz w:val="16"/>
              </w:rPr>
              <w:t>Rigorous leakage-free testing establishes definitive findings</w:t>
            </w:r>
          </w:p>
        </w:tc>
        <w:tc>
          <w:tcPr>
            <w:tcW w:type="dxa" w:w="1560"/>
            <w:shd w:fill="F9FBFD"/>
            <w:tcMar>
              <w:top w:w="80" w:type="dxa"/>
              <w:bottom w:w="80" w:type="dxa"/>
              <w:left w:w="80" w:type="dxa"/>
              <w:right w:w="80" w:type="dxa"/>
            </w:tcMar>
          </w:tcPr>
          <w:p>
            <w:pPr>
              <w:jc w:val="left"/>
            </w:pPr>
            <w:r>
              <w:rPr>
                <w:sz w:val="16"/>
              </w:rPr>
              <w:t>SARIMAX &amp; AC w=0.5 tied at 63.2% (12/19) at 0.50 FAR; LOF failed (1.51 FAR)</w:t>
            </w:r>
          </w:p>
        </w:tc>
        <w:tc>
          <w:tcPr>
            <w:tcW w:type="dxa" w:w="1560"/>
            <w:shd w:fill="F9FBFD"/>
            <w:tcMar>
              <w:top w:w="80" w:type="dxa"/>
              <w:bottom w:w="80" w:type="dxa"/>
              <w:left w:w="80" w:type="dxa"/>
              <w:right w:w="80" w:type="dxa"/>
            </w:tcMar>
          </w:tcPr>
          <w:p>
            <w:pPr>
              <w:jc w:val="left"/>
            </w:pPr>
            <w:r>
              <w:rPr>
                <w:sz w:val="16"/>
              </w:rPr>
              <w:t>Heuristic fusion (w=0.7) lagged SARIMAX due to fluid thermal inertia</w:t>
            </w:r>
          </w:p>
        </w:tc>
        <w:tc>
          <w:tcPr>
            <w:tcW w:type="dxa" w:w="1560"/>
            <w:shd w:fill="F9FBFD"/>
            <w:tcMar>
              <w:top w:w="80" w:type="dxa"/>
              <w:bottom w:w="80" w:type="dxa"/>
              <w:left w:w="80" w:type="dxa"/>
              <w:right w:w="80" w:type="dxa"/>
            </w:tcMar>
          </w:tcPr>
          <w:p>
            <w:pPr>
              <w:jc w:val="left"/>
            </w:pPr>
            <w:r>
              <w:rPr>
                <w:sz w:val="16"/>
              </w:rPr>
              <w:t>Formulated physical insights &amp; qualified scope</w:t>
            </w:r>
          </w:p>
        </w:tc>
      </w:tr>
    </w:tbl>
    <w:p>
      <w:pPr>
        <w:spacing w:after="160"/>
      </w:pPr>
    </w:p>
    <w:p>
      <w:pPr>
        <w:pStyle w:val="Heading1"/>
      </w:pPr>
      <w:r>
        <w:t>10. Conclusion &amp; Reproducibility Guide</w:t>
      </w:r>
    </w:p>
    <w:p>
      <w:r>
        <w:t>Key Takeaways for Practitioners:</w:t>
        <w:br/>
        <w:t>1. Always Match Realized False Alarm Rates: A detection rate claim is meaningless without an operational nuisance-alarm constraint.</w:t>
        <w:br/>
        <w:t>2. Prefer Dynamic Conditioning Over Heuristic Blending: Feeding auxiliary physical sensors into autoregressive state equations (SARIMAX) respects physical transport dynamics far better than combining post-hoc residuals algebraically.</w:t>
        <w:br/>
        <w:t>3. Beware Coordinate-Space Density Models Across Assets: Models that compute distance in raw feature space (LOF) fail when deployed across multiple physical assets with varying operating levels.</w:t>
        <w:br/>
        <w:br/>
        <w:t>Reproducibility:</w:t>
        <w:br/>
        <w:t>• Unit &amp; Regression Tests: python -m pytest tests/ -v (17 passed)</w:t>
        <w:br/>
        <w:t>• Audited Evaluation Pipeline: python scripts/run_audited_v2_evaluation.py</w:t>
        <w:br/>
        <w:t>• Report &amp; Slide Generation: python scripts/build_report_and_slides.py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