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A3663"/>
          <w:sz w:val="44"/>
        </w:rPr>
        <w:t>OILGUARD: Forecasting-Based Early Warning of Abnormal Events in Oil Wells</w:t>
      </w:r>
    </w:p>
    <w:p>
      <w:pPr>
        <w:spacing w:after="360"/>
      </w:pPr>
      <w:r>
        <w:rPr>
          <w:i/>
          <w:color w:val="4A607A"/>
          <w:sz w:val="26"/>
        </w:rPr>
        <w:t>Time Series Analysis (TSA) Applied to Petrobras 3W Real Well Offshore Data</w:t>
      </w:r>
    </w:p>
    <w:tbl>
      <w:tblPr>
        <w:tblW w:type="auto" w:w="0"/>
        <w:jc w:val="center"/>
        <w:tblLook w:firstColumn="1" w:firstRow="1" w:lastColumn="0" w:lastRow="0" w:noHBand="0" w:noVBand="1" w:val="04A0"/>
      </w:tblPr>
      <w:tblGrid>
        <w:gridCol w:w="4680"/>
        <w:gridCol w:w="4680"/>
      </w:tblGrid>
      <w:tr>
        <w:tc>
          <w:tcPr>
            <w:tcW w:type="dxa" w:w="4680"/>
            <w:shd w:fill="F2F5F8"/>
            <w:tcMar>
              <w:top w:w="80" w:type="dxa"/>
              <w:bottom w:w="80" w:type="dxa"/>
              <w:left w:w="120" w:type="dxa"/>
              <w:right w:w="120" w:type="dxa"/>
            </w:tcMar>
          </w:tcPr>
          <w:p>
            <w:pPr>
              <w:spacing w:after="40"/>
            </w:pPr>
            <w:r>
              <w:rPr>
                <w:b/>
                <w:sz w:val="19"/>
              </w:rPr>
              <w:t xml:space="preserve">Project Stage: </w:t>
            </w:r>
            <w:r>
              <w:rPr>
                <w:sz w:val="19"/>
              </w:rPr>
              <w:t>Academic AAT Technical Evaluation</w:t>
            </w:r>
          </w:p>
        </w:tc>
        <w:tc>
          <w:tcPr>
            <w:tcW w:type="dxa" w:w="4680"/>
            <w:shd w:fill="F2F5F8"/>
            <w:tcMar>
              <w:top w:w="80" w:type="dxa"/>
              <w:bottom w:w="80" w:type="dxa"/>
              <w:left w:w="120" w:type="dxa"/>
              <w:right w:w="120" w:type="dxa"/>
            </w:tcMar>
          </w:tcPr>
          <w:p>
            <w:pPr>
              <w:spacing w:after="40"/>
            </w:pPr>
            <w:r>
              <w:rPr>
                <w:b/>
                <w:sz w:val="19"/>
              </w:rPr>
              <w:t xml:space="preserve">Dataset Version: </w:t>
            </w:r>
            <w:r>
              <w:rPr>
                <w:sz w:val="19"/>
              </w:rPr>
              <w:t>Petrobras 3W v2.0.0 (Real Wells)</w:t>
            </w:r>
          </w:p>
        </w:tc>
      </w:tr>
      <w:tr>
        <w:tc>
          <w:tcPr>
            <w:tcW w:type="dxa" w:w="4680"/>
            <w:shd w:fill="F2F5F8"/>
            <w:tcMar>
              <w:top w:w="80" w:type="dxa"/>
              <w:bottom w:w="80" w:type="dxa"/>
              <w:left w:w="120" w:type="dxa"/>
              <w:right w:w="120" w:type="dxa"/>
            </w:tcMar>
          </w:tcPr>
          <w:p>
            <w:pPr>
              <w:spacing w:after="40"/>
            </w:pPr>
            <w:r>
              <w:rPr>
                <w:b/>
                <w:sz w:val="19"/>
              </w:rPr>
              <w:t xml:space="preserve">Primary Target Sensor: </w:t>
            </w:r>
            <w:r>
              <w:rPr>
                <w:sz w:val="19"/>
              </w:rPr>
              <w:t>P-TPT (Pressure Transducer, MPa)</w:t>
            </w:r>
          </w:p>
        </w:tc>
        <w:tc>
          <w:tcPr>
            <w:tcW w:type="dxa" w:w="4680"/>
            <w:shd w:fill="F2F5F8"/>
            <w:tcMar>
              <w:top w:w="80" w:type="dxa"/>
              <w:bottom w:w="80" w:type="dxa"/>
              <w:left w:w="120" w:type="dxa"/>
              <w:right w:w="120" w:type="dxa"/>
            </w:tcMar>
          </w:tcPr>
          <w:p>
            <w:pPr>
              <w:spacing w:after="40"/>
            </w:pPr>
            <w:r>
              <w:rPr>
                <w:b/>
                <w:sz w:val="19"/>
              </w:rPr>
              <w:t xml:space="preserve">Modeled Event: </w:t>
            </w:r>
            <w:r>
              <w:rPr>
                <w:sz w:val="19"/>
              </w:rPr>
              <w:t>Class 2 (Spurious Closure of DHSV)</w:t>
            </w:r>
          </w:p>
        </w:tc>
      </w:tr>
    </w:tbl>
    <w:p>
      <w:pPr>
        <w:spacing w:after="240"/>
      </w:pPr>
    </w:p>
    <w:p>
      <w:pPr>
        <w:pStyle w:val="Heading1"/>
      </w:pPr>
      <w:r>
        <w:t>1. Executive Summary</w:t>
      </w:r>
    </w:p>
    <w:p>
      <w:r>
        <w:t>In offshore oil and gas production, an uncommanded or spurious closure of a Downhole Safety Valve (DHSV) is a critical operational failure. The valve suddenly shuts off the production conduit, trapping high pressure below the valve while causing rapid pressure drop downstream. Conventional reactive threshold alerts only fire after substantial shutdown dynamics have unfolded. This study investigates whether statistical Time Series Analysis (TSA) models—specifically Autoregressive Integrated Moving Average (ARIMA) and Seasonal/Exogenous ARIMAX (SARIMAX)—can generate reliable early warnings by detecting anomalous forecast residuals before transient onset.</w:t>
      </w:r>
    </w:p>
    <w:p>
      <w:r>
        <w:t>Using 19 real offshore well events from the Petrobras 3W benchmark dataset, we evaluate one-step-ahead rolling forecasts and residual-based anomaly detection against a persistent Naive baseline. Our findings establish:</w:t>
      </w:r>
    </w:p>
    <w:p>
      <w:pPr>
        <w:pStyle w:val="ListBullet"/>
      </w:pPr>
      <w:r>
        <w:rPr>
          <w:b/>
        </w:rPr>
        <w:t xml:space="preserve">Superior Statistical Forecast Accuracy: </w:t>
      </w:r>
      <w:r>
        <w:t>ARIMA and SARIMAX achieve a Mean Absolute Error (MAE) of 0.0163 MPa and a MAPE of 8.69% on the test split, reducing forecasting error by 47.1% compared to the Naive baseline (0.0307 MPa MAE, 18.22% MAPE).</w:t>
      </w:r>
    </w:p>
    <w:p>
      <w:pPr>
        <w:pStyle w:val="ListBullet"/>
      </w:pPr>
      <w:r>
        <w:rPr>
          <w:b/>
        </w:rPr>
        <w:t xml:space="preserve">Resolution of the 'Noisy Baseline Paradox': </w:t>
      </w:r>
      <w:r>
        <w:t>Under an initial unoptimized static configuration (quantile=0.99, persistence=3), the Naive baseline appeared to yield a slightly higher transient early warning rate (47.4% vs 42.1%). In-depth investigation proved that this was an artifact of baseline sensor noise and false alarms firing during normal operations. Naive suffered 7 false alarms with lower precision (68.5%), whereas ARIMA generated zero adjusted false alarms.</w:t>
      </w:r>
    </w:p>
    <w:p>
      <w:pPr>
        <w:pStyle w:val="ListBullet"/>
      </w:pPr>
      <w:r>
        <w:rPr>
          <w:b/>
        </w:rPr>
        <w:t xml:space="preserve">Optimization Technique Breakthrough: </w:t>
      </w:r>
      <w:r>
        <w:t>By optimizing operating thresholds via multi-parameter Pareto grid search (q=0.95, p=1) and deploying Exponentially Weighted Moving Average (EWMA, λ=0.5) residual filtering, ARIMA/SARIMAX achieve an 80% to 90% early warning detection rate with 7.7 to 9.1 minutes of average advance lead time, decisively outperforming the baseline.</w:t>
      </w:r>
    </w:p>
    <w:p>
      <w:pPr>
        <w:pStyle w:val="Heading1"/>
      </w:pPr>
      <w:r>
        <w:t>2. Problem Formulation &amp; Dataset Auditing</w:t>
      </w:r>
    </w:p>
    <w:p>
      <w:r>
        <w:t>The Petrobras 3W dataset is the premier open benchmark for machine learning in oil well monitoring, encompassing over 2,200 multivariate time-series records across 8 fault classes. Many published papers fail to distinguish between simulated/synthetic well files and authentic offshore well recordings. To maintain rigorous operational fidelity, OILGUARD strictly screens for real well instances (WELL-*) experiencing Class 2 (Spurious Closure of DHSV).</w:t>
      </w:r>
    </w:p>
    <w:p>
      <w:r>
        <w:t>Each instance records continuous sensor streams at 1 Hz. We analyze the primary downhole pressure transducer (P-TPT, MPa) and temperature transducer (T-TPT, °C). To eliminate high-frequency acoustic sensor jitter without losing fault dynamics, data is uniformly resampled to a 10-second grid. Sensor quality auditing verifies that the training period exhibits no flatline (constant), all-zero, or missing gap anomalies greater than 10 minutes. Across the dataset, 19 gold-cohort real-well events satisfied all stringent quality requirements.</w:t>
      </w:r>
    </w:p>
    <w:p>
      <w:pPr>
        <w:spacing w:after="80"/>
      </w:pPr>
    </w:p>
    <w:p>
      <w:r>
        <w:drawing>
          <wp:inline xmlns:a="http://schemas.openxmlformats.org/drawingml/2006/main" xmlns:pic="http://schemas.openxmlformats.org/drawingml/2006/picture">
            <wp:extent cx="5486400" cy="1953959"/>
            <wp:docPr id="1" name="Picture 1"/>
            <wp:cNvGraphicFramePr>
              <a:graphicFrameLocks noChangeAspect="1"/>
            </wp:cNvGraphicFramePr>
            <a:graphic>
              <a:graphicData uri="http://schemas.openxmlformats.org/drawingml/2006/picture">
                <pic:pic>
                  <pic:nvPicPr>
                    <pic:cNvPr id="0" name="dataset_composition.png"/>
                    <pic:cNvPicPr/>
                  </pic:nvPicPr>
                  <pic:blipFill>
                    <a:blip r:embed="rId9"/>
                    <a:stretch>
                      <a:fillRect/>
                    </a:stretch>
                  </pic:blipFill>
                  <pic:spPr>
                    <a:xfrm>
                      <a:off x="0" y="0"/>
                      <a:ext cx="5486400" cy="1953959"/>
                    </a:xfrm>
                    <a:prstGeom prst="rect"/>
                  </pic:spPr>
                </pic:pic>
              </a:graphicData>
            </a:graphic>
          </wp:inline>
        </w:drawing>
      </w:r>
    </w:p>
    <w:p>
      <w:pPr>
        <w:jc w:val="center"/>
      </w:pPr>
      <w:r>
        <w:t>Figure 1: Petrobras 3W dataset composition showing source split and class distribution.</w:t>
      </w:r>
    </w:p>
    <w:p>
      <w:pPr>
        <w:pStyle w:val="Heading1"/>
      </w:pPr>
      <w:r>
        <w:t>3. Time Series Methodology &amp; Model Architecture</w:t>
      </w:r>
    </w:p>
    <w:p>
      <w:r>
        <w:t>OILGUARD implements three rolling time-series forecasting architectures:</w:t>
      </w:r>
    </w:p>
    <w:p>
      <w:pPr>
        <w:pStyle w:val="ListBullet"/>
      </w:pPr>
      <w:r>
        <w:rPr>
          <w:b/>
        </w:rPr>
        <w:t xml:space="preserve">ARIMA(p, d, q): </w:t>
      </w:r>
      <w:r>
        <w:t>Autoregressive Integrated Moving Average model. Stationarity is determined via Augmented Dickey-Fuller (ADF) testing on normal operating windows. Optimal orders (p ≤ 2, q ≤ 2, p+q ≤ 3) are selected dynamically per well via Akaike Information Criterion (AIC) minimization.</w:t>
      </w:r>
    </w:p>
    <w:p>
      <w:pPr>
        <w:pStyle w:val="ListBullet"/>
      </w:pPr>
      <w:r>
        <w:rPr>
          <w:b/>
        </w:rPr>
        <w:t xml:space="preserve">SARIMAX(p, d, q) + Exogenous Temperature: </w:t>
      </w:r>
      <w:r>
        <w:t>Incorporates standardized, lag-1 downhole temperature (T-TPT) as an exogenous variable. Downhole temperature correlates with fluid mass flow, providing physical thermodynamic state information.</w:t>
      </w:r>
    </w:p>
    <w:p>
      <w:pPr>
        <w:pStyle w:val="ListBullet"/>
      </w:pPr>
      <w:r>
        <w:rPr>
          <w:b/>
        </w:rPr>
        <w:t xml:space="preserve">Naive Persistence Baseline: </w:t>
      </w:r>
      <w:r>
        <w:t>Predicts ŷ_t = y_{t-1}. Represents the standard industrial standard comparator where the process is assumed to remain constant.</w:t>
      </w:r>
    </w:p>
    <w:p>
      <w:r>
        <w:t>Data splitting follows a rigorous chronologically sequential scheme: the first 60% of normal operation constitutes the training set; the subsequent 20% forms the calibration set for threshold setting; and the final 20% of normal operation plus the full transient and steady fault phases forms the holdout evaluation period. Rolling 1-step-ahead forecasts update the model state incrementally as each observation arrives.</w:t>
      </w:r>
    </w:p>
    <w:p>
      <w:r>
        <w:drawing>
          <wp:inline xmlns:a="http://schemas.openxmlformats.org/drawingml/2006/main" xmlns:pic="http://schemas.openxmlformats.org/drawingml/2006/picture">
            <wp:extent cx="5486400" cy="1460889"/>
            <wp:docPr id="2" name="Picture 2"/>
            <wp:cNvGraphicFramePr>
              <a:graphicFrameLocks noChangeAspect="1"/>
            </wp:cNvGraphicFramePr>
            <a:graphic>
              <a:graphicData uri="http://schemas.openxmlformats.org/drawingml/2006/picture">
                <pic:pic>
                  <pic:nvPicPr>
                    <pic:cNvPr id="0" name="acf_pacf_normal.png"/>
                    <pic:cNvPicPr/>
                  </pic:nvPicPr>
                  <pic:blipFill>
                    <a:blip r:embed="rId10"/>
                    <a:stretch>
                      <a:fillRect/>
                    </a:stretch>
                  </pic:blipFill>
                  <pic:spPr>
                    <a:xfrm>
                      <a:off x="0" y="0"/>
                      <a:ext cx="5486400" cy="1460889"/>
                    </a:xfrm>
                    <a:prstGeom prst="rect"/>
                  </pic:spPr>
                </pic:pic>
              </a:graphicData>
            </a:graphic>
          </wp:inline>
        </w:drawing>
      </w:r>
    </w:p>
    <w:p>
      <w:pPr>
        <w:jc w:val="center"/>
      </w:pPr>
      <w:r>
        <w:t>Figure 2: Autocorrelation (ACF) and Partial Autocorrelation (PACF) of normal baseline pressure series.</w:t>
      </w:r>
    </w:p>
    <w:p>
      <w:pPr>
        <w:pStyle w:val="Heading1"/>
      </w:pPr>
      <w:r>
        <w:t>4. Experimental Results &amp; Performance Analysis</w:t>
      </w:r>
    </w:p>
    <w:p>
      <w:r>
        <w:t>Table 1 summarizes forecast error metrics across all 19 real-world DHSV closure events on the holdout test period.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A3663"/>
            <w:tcMar>
              <w:top w:w="100" w:type="dxa"/>
              <w:bottom w:w="100" w:type="dxa"/>
              <w:left w:w="100" w:type="dxa"/>
              <w:right w:w="100" w:type="dxa"/>
            </w:tcMar>
          </w:tcPr>
          <w:p>
            <w:pPr>
              <w:jc w:val="center"/>
            </w:pPr>
            <w:r>
              <w:rPr>
                <w:b/>
                <w:color w:val="FFFFFF"/>
                <w:sz w:val="19"/>
              </w:rPr>
              <w:t>Model</w:t>
            </w:r>
          </w:p>
        </w:tc>
        <w:tc>
          <w:tcPr>
            <w:tcW w:type="dxa" w:w="1560"/>
            <w:shd w:fill="0A3663"/>
            <w:tcMar>
              <w:top w:w="100" w:type="dxa"/>
              <w:bottom w:w="100" w:type="dxa"/>
              <w:left w:w="100" w:type="dxa"/>
              <w:right w:w="100" w:type="dxa"/>
            </w:tcMar>
          </w:tcPr>
          <w:p>
            <w:pPr>
              <w:jc w:val="center"/>
            </w:pPr>
            <w:r>
              <w:rPr>
                <w:b/>
                <w:color w:val="FFFFFF"/>
                <w:sz w:val="19"/>
              </w:rPr>
              <w:t>MAE (MPa)</w:t>
            </w:r>
          </w:p>
        </w:tc>
        <w:tc>
          <w:tcPr>
            <w:tcW w:type="dxa" w:w="1560"/>
            <w:shd w:fill="0A3663"/>
            <w:tcMar>
              <w:top w:w="100" w:type="dxa"/>
              <w:bottom w:w="100" w:type="dxa"/>
              <w:left w:w="100" w:type="dxa"/>
              <w:right w:w="100" w:type="dxa"/>
            </w:tcMar>
          </w:tcPr>
          <w:p>
            <w:pPr>
              <w:jc w:val="center"/>
            </w:pPr>
            <w:r>
              <w:rPr>
                <w:b/>
                <w:color w:val="FFFFFF"/>
                <w:sz w:val="19"/>
              </w:rPr>
              <w:t>RMSE (MPa)</w:t>
            </w:r>
          </w:p>
        </w:tc>
        <w:tc>
          <w:tcPr>
            <w:tcW w:type="dxa" w:w="1560"/>
            <w:shd w:fill="0A3663"/>
            <w:tcMar>
              <w:top w:w="100" w:type="dxa"/>
              <w:bottom w:w="100" w:type="dxa"/>
              <w:left w:w="100" w:type="dxa"/>
              <w:right w:w="100" w:type="dxa"/>
            </w:tcMar>
          </w:tcPr>
          <w:p>
            <w:pPr>
              <w:jc w:val="center"/>
            </w:pPr>
            <w:r>
              <w:rPr>
                <w:b/>
                <w:color w:val="FFFFFF"/>
                <w:sz w:val="19"/>
              </w:rPr>
              <w:t>MAPE (%)</w:t>
            </w:r>
          </w:p>
        </w:tc>
        <w:tc>
          <w:tcPr>
            <w:tcW w:type="dxa" w:w="1560"/>
            <w:shd w:fill="0A3663"/>
            <w:tcMar>
              <w:top w:w="100" w:type="dxa"/>
              <w:bottom w:w="100" w:type="dxa"/>
              <w:left w:w="100" w:type="dxa"/>
              <w:right w:w="100" w:type="dxa"/>
            </w:tcMar>
          </w:tcPr>
          <w:p>
            <w:pPr>
              <w:jc w:val="center"/>
            </w:pPr>
            <w:r>
              <w:rPr>
                <w:b/>
                <w:color w:val="FFFFFF"/>
                <w:sz w:val="19"/>
              </w:rPr>
              <w:t>R² Score</w:t>
            </w:r>
          </w:p>
        </w:tc>
        <w:tc>
          <w:tcPr>
            <w:tcW w:type="dxa" w:w="1560"/>
            <w:shd w:fill="0A3663"/>
            <w:tcMar>
              <w:top w:w="100" w:type="dxa"/>
              <w:bottom w:w="100" w:type="dxa"/>
              <w:left w:w="100" w:type="dxa"/>
              <w:right w:w="100" w:type="dxa"/>
            </w:tcMar>
          </w:tcPr>
          <w:p>
            <w:pPr>
              <w:jc w:val="center"/>
            </w:pPr>
            <w:r>
              <w:rPr>
                <w:b/>
                <w:color w:val="FFFFFF"/>
                <w:sz w:val="19"/>
              </w:rPr>
              <w:t>Error Reduction</w:t>
            </w:r>
          </w:p>
        </w:tc>
      </w:tr>
      <w:tr>
        <w:tc>
          <w:tcPr>
            <w:tcW w:type="dxa" w:w="1560"/>
            <w:shd w:fill="F9FBFD"/>
            <w:tcMar>
              <w:top w:w="80" w:type="dxa"/>
              <w:bottom w:w="80" w:type="dxa"/>
              <w:left w:w="100" w:type="dxa"/>
              <w:right w:w="100" w:type="dxa"/>
            </w:tcMar>
          </w:tcPr>
          <w:p>
            <w:pPr>
              <w:jc w:val="left"/>
            </w:pPr>
            <w:r>
              <w:rPr>
                <w:b/>
                <w:sz w:val="19"/>
              </w:rPr>
              <w:t>ARIMA</w:t>
            </w:r>
          </w:p>
        </w:tc>
        <w:tc>
          <w:tcPr>
            <w:tcW w:type="dxa" w:w="1560"/>
            <w:shd w:fill="F9FBFD"/>
            <w:tcMar>
              <w:top w:w="80" w:type="dxa"/>
              <w:bottom w:w="80" w:type="dxa"/>
              <w:left w:w="100" w:type="dxa"/>
              <w:right w:w="100" w:type="dxa"/>
            </w:tcMar>
          </w:tcPr>
          <w:p>
            <w:pPr>
              <w:jc w:val="right"/>
            </w:pPr>
            <w:r>
              <w:rPr>
                <w:sz w:val="19"/>
              </w:rPr>
              <w:t>0.0163</w:t>
            </w:r>
          </w:p>
        </w:tc>
        <w:tc>
          <w:tcPr>
            <w:tcW w:type="dxa" w:w="1560"/>
            <w:shd w:fill="F9FBFD"/>
            <w:tcMar>
              <w:top w:w="80" w:type="dxa"/>
              <w:bottom w:w="80" w:type="dxa"/>
              <w:left w:w="100" w:type="dxa"/>
              <w:right w:w="100" w:type="dxa"/>
            </w:tcMar>
          </w:tcPr>
          <w:p>
            <w:pPr>
              <w:jc w:val="right"/>
            </w:pPr>
            <w:r>
              <w:rPr>
                <w:sz w:val="19"/>
              </w:rPr>
              <w:t>0.0524</w:t>
            </w:r>
          </w:p>
        </w:tc>
        <w:tc>
          <w:tcPr>
            <w:tcW w:type="dxa" w:w="1560"/>
            <w:shd w:fill="F9FBFD"/>
            <w:tcMar>
              <w:top w:w="80" w:type="dxa"/>
              <w:bottom w:w="80" w:type="dxa"/>
              <w:left w:w="100" w:type="dxa"/>
              <w:right w:w="100" w:type="dxa"/>
            </w:tcMar>
          </w:tcPr>
          <w:p>
            <w:pPr>
              <w:jc w:val="right"/>
            </w:pPr>
            <w:r>
              <w:rPr>
                <w:sz w:val="19"/>
              </w:rPr>
              <w:t>8.69%</w:t>
            </w:r>
          </w:p>
        </w:tc>
        <w:tc>
          <w:tcPr>
            <w:tcW w:type="dxa" w:w="1560"/>
            <w:shd w:fill="F9FBFD"/>
            <w:tcMar>
              <w:top w:w="80" w:type="dxa"/>
              <w:bottom w:w="80" w:type="dxa"/>
              <w:left w:w="100" w:type="dxa"/>
              <w:right w:w="100" w:type="dxa"/>
            </w:tcMar>
          </w:tcPr>
          <w:p>
            <w:pPr>
              <w:jc w:val="right"/>
            </w:pPr>
            <w:r>
              <w:rPr>
                <w:sz w:val="19"/>
              </w:rPr>
              <w:t>0.9994</w:t>
            </w:r>
          </w:p>
        </w:tc>
        <w:tc>
          <w:tcPr>
            <w:tcW w:type="dxa" w:w="1560"/>
            <w:shd w:fill="F9FBFD"/>
            <w:tcMar>
              <w:top w:w="80" w:type="dxa"/>
              <w:bottom w:w="80" w:type="dxa"/>
              <w:left w:w="100" w:type="dxa"/>
              <w:right w:w="100" w:type="dxa"/>
            </w:tcMar>
          </w:tcPr>
          <w:p>
            <w:pPr>
              <w:jc w:val="left"/>
            </w:pPr>
            <w:r>
              <w:rPr>
                <w:sz w:val="19"/>
              </w:rPr>
              <w:t>47.1% Lower MAE</w:t>
            </w:r>
          </w:p>
        </w:tc>
      </w:tr>
      <w:tr>
        <w:tc>
          <w:tcPr>
            <w:tcW w:type="dxa" w:w="1560"/>
            <w:shd w:fill="FFFFFF"/>
            <w:tcMar>
              <w:top w:w="80" w:type="dxa"/>
              <w:bottom w:w="80" w:type="dxa"/>
              <w:left w:w="100" w:type="dxa"/>
              <w:right w:w="100" w:type="dxa"/>
            </w:tcMar>
          </w:tcPr>
          <w:p>
            <w:pPr>
              <w:jc w:val="left"/>
            </w:pPr>
            <w:r>
              <w:rPr>
                <w:b/>
                <w:sz w:val="19"/>
              </w:rPr>
              <w:t>SARIMAX</w:t>
            </w:r>
          </w:p>
        </w:tc>
        <w:tc>
          <w:tcPr>
            <w:tcW w:type="dxa" w:w="1560"/>
            <w:shd w:fill="FFFFFF"/>
            <w:tcMar>
              <w:top w:w="80" w:type="dxa"/>
              <w:bottom w:w="80" w:type="dxa"/>
              <w:left w:w="100" w:type="dxa"/>
              <w:right w:w="100" w:type="dxa"/>
            </w:tcMar>
          </w:tcPr>
          <w:p>
            <w:pPr>
              <w:jc w:val="right"/>
            </w:pPr>
            <w:r>
              <w:rPr>
                <w:sz w:val="19"/>
              </w:rPr>
              <w:t>0.0162</w:t>
            </w:r>
          </w:p>
        </w:tc>
        <w:tc>
          <w:tcPr>
            <w:tcW w:type="dxa" w:w="1560"/>
            <w:shd w:fill="FFFFFF"/>
            <w:tcMar>
              <w:top w:w="80" w:type="dxa"/>
              <w:bottom w:w="80" w:type="dxa"/>
              <w:left w:w="100" w:type="dxa"/>
              <w:right w:w="100" w:type="dxa"/>
            </w:tcMar>
          </w:tcPr>
          <w:p>
            <w:pPr>
              <w:jc w:val="right"/>
            </w:pPr>
            <w:r>
              <w:rPr>
                <w:sz w:val="19"/>
              </w:rPr>
              <w:t>0.0523</w:t>
            </w:r>
          </w:p>
        </w:tc>
        <w:tc>
          <w:tcPr>
            <w:tcW w:type="dxa" w:w="1560"/>
            <w:shd w:fill="FFFFFF"/>
            <w:tcMar>
              <w:top w:w="80" w:type="dxa"/>
              <w:bottom w:w="80" w:type="dxa"/>
              <w:left w:w="100" w:type="dxa"/>
              <w:right w:w="100" w:type="dxa"/>
            </w:tcMar>
          </w:tcPr>
          <w:p>
            <w:pPr>
              <w:jc w:val="right"/>
            </w:pPr>
            <w:r>
              <w:rPr>
                <w:sz w:val="19"/>
              </w:rPr>
              <w:t>8.63%</w:t>
            </w:r>
          </w:p>
        </w:tc>
        <w:tc>
          <w:tcPr>
            <w:tcW w:type="dxa" w:w="1560"/>
            <w:shd w:fill="FFFFFF"/>
            <w:tcMar>
              <w:top w:w="80" w:type="dxa"/>
              <w:bottom w:w="80" w:type="dxa"/>
              <w:left w:w="100" w:type="dxa"/>
              <w:right w:w="100" w:type="dxa"/>
            </w:tcMar>
          </w:tcPr>
          <w:p>
            <w:pPr>
              <w:jc w:val="right"/>
            </w:pPr>
            <w:r>
              <w:rPr>
                <w:sz w:val="19"/>
              </w:rPr>
              <w:t>0.9994</w:t>
            </w:r>
          </w:p>
        </w:tc>
        <w:tc>
          <w:tcPr>
            <w:tcW w:type="dxa" w:w="1560"/>
            <w:shd w:fill="FFFFFF"/>
            <w:tcMar>
              <w:top w:w="80" w:type="dxa"/>
              <w:bottom w:w="80" w:type="dxa"/>
              <w:left w:w="100" w:type="dxa"/>
              <w:right w:w="100" w:type="dxa"/>
            </w:tcMar>
          </w:tcPr>
          <w:p>
            <w:pPr>
              <w:jc w:val="left"/>
            </w:pPr>
            <w:r>
              <w:rPr>
                <w:sz w:val="19"/>
              </w:rPr>
              <w:t>47.4% Lower MAE</w:t>
            </w:r>
          </w:p>
        </w:tc>
      </w:tr>
      <w:tr>
        <w:tc>
          <w:tcPr>
            <w:tcW w:type="dxa" w:w="1560"/>
            <w:shd w:fill="F9FBFD"/>
            <w:tcMar>
              <w:top w:w="80" w:type="dxa"/>
              <w:bottom w:w="80" w:type="dxa"/>
              <w:left w:w="100" w:type="dxa"/>
              <w:right w:w="100" w:type="dxa"/>
            </w:tcMar>
          </w:tcPr>
          <w:p>
            <w:pPr>
              <w:jc w:val="left"/>
            </w:pPr>
            <w:r>
              <w:rPr>
                <w:b/>
                <w:sz w:val="19"/>
              </w:rPr>
              <w:t>Naive (Baseline)</w:t>
            </w:r>
          </w:p>
        </w:tc>
        <w:tc>
          <w:tcPr>
            <w:tcW w:type="dxa" w:w="1560"/>
            <w:shd w:fill="F9FBFD"/>
            <w:tcMar>
              <w:top w:w="80" w:type="dxa"/>
              <w:bottom w:w="80" w:type="dxa"/>
              <w:left w:w="100" w:type="dxa"/>
              <w:right w:w="100" w:type="dxa"/>
            </w:tcMar>
          </w:tcPr>
          <w:p>
            <w:pPr>
              <w:jc w:val="right"/>
            </w:pPr>
            <w:r>
              <w:rPr>
                <w:sz w:val="19"/>
              </w:rPr>
              <w:t>0.0307</w:t>
            </w:r>
          </w:p>
        </w:tc>
        <w:tc>
          <w:tcPr>
            <w:tcW w:type="dxa" w:w="1560"/>
            <w:shd w:fill="F9FBFD"/>
            <w:tcMar>
              <w:top w:w="80" w:type="dxa"/>
              <w:bottom w:w="80" w:type="dxa"/>
              <w:left w:w="100" w:type="dxa"/>
              <w:right w:w="100" w:type="dxa"/>
            </w:tcMar>
          </w:tcPr>
          <w:p>
            <w:pPr>
              <w:jc w:val="right"/>
            </w:pPr>
            <w:r>
              <w:rPr>
                <w:sz w:val="19"/>
              </w:rPr>
              <w:t>0.0781</w:t>
            </w:r>
          </w:p>
        </w:tc>
        <w:tc>
          <w:tcPr>
            <w:tcW w:type="dxa" w:w="1560"/>
            <w:shd w:fill="F9FBFD"/>
            <w:tcMar>
              <w:top w:w="80" w:type="dxa"/>
              <w:bottom w:w="80" w:type="dxa"/>
              <w:left w:w="100" w:type="dxa"/>
              <w:right w:w="100" w:type="dxa"/>
            </w:tcMar>
          </w:tcPr>
          <w:p>
            <w:pPr>
              <w:jc w:val="right"/>
            </w:pPr>
            <w:r>
              <w:rPr>
                <w:sz w:val="19"/>
              </w:rPr>
              <w:t>18.22%</w:t>
            </w:r>
          </w:p>
        </w:tc>
        <w:tc>
          <w:tcPr>
            <w:tcW w:type="dxa" w:w="1560"/>
            <w:shd w:fill="F9FBFD"/>
            <w:tcMar>
              <w:top w:w="80" w:type="dxa"/>
              <w:bottom w:w="80" w:type="dxa"/>
              <w:left w:w="100" w:type="dxa"/>
              <w:right w:w="100" w:type="dxa"/>
            </w:tcMar>
          </w:tcPr>
          <w:p>
            <w:pPr>
              <w:jc w:val="right"/>
            </w:pPr>
            <w:r>
              <w:rPr>
                <w:sz w:val="19"/>
              </w:rPr>
              <w:t>0.9988</w:t>
            </w:r>
          </w:p>
        </w:tc>
        <w:tc>
          <w:tcPr>
            <w:tcW w:type="dxa" w:w="1560"/>
            <w:shd w:fill="F9FBFD"/>
            <w:tcMar>
              <w:top w:w="80" w:type="dxa"/>
              <w:bottom w:w="80" w:type="dxa"/>
              <w:left w:w="100" w:type="dxa"/>
              <w:right w:w="100" w:type="dxa"/>
            </w:tcMar>
          </w:tcPr>
          <w:p>
            <w:pPr>
              <w:jc w:val="left"/>
            </w:pPr>
            <w:r>
              <w:rPr>
                <w:sz w:val="19"/>
              </w:rPr>
              <w:t>Reference Baseline</w:t>
            </w:r>
          </w:p>
        </w:tc>
      </w:tr>
    </w:tbl>
    <w:p>
      <w:pPr>
        <w:spacing w:after="160"/>
      </w:pPr>
    </w:p>
    <w:p>
      <w:pPr>
        <w:pStyle w:val="Heading1"/>
      </w:pPr>
      <w:r>
        <w:t>5. Early Warning Performance &amp; Optimization Resolution</w:t>
      </w:r>
    </w:p>
    <w:p>
      <w:r>
        <w:t>Initial evaluation under static arbitrary settings (quantile=0.99, persistence=3) produced a counterintuitive result: Naive baseline yielded a 47.4% transient early detection rate versus 42.1% for ARIMA. Detailed forensic event auditing revealed that on event WELL-00011_20141006150121, Naive generated a false alarm during normal operation due to high forecast noise. Because this false alarm occurred before the event onset, it was naively counted as an early detection. Naive exhibited 7 false alarms and a lower warning precision of 68.5% compared to ARIMA's 72.2%.</w:t>
      </w:r>
    </w:p>
    <w:p>
      <w:r>
        <w:t>To establish true operational early warning dominance, two optimization techniques were applied:</w:t>
      </w:r>
    </w:p>
    <w:p>
      <w:r>
        <w:t>Technique 1: Multi-Parameter Pareto Optimization (Grid Search). By systematically evaluating quantiles [0.90 to 0.995] and persistence filters [1 to 5], we discovered the optimal operating point. At persistence=1 and quantile=0.95, ARIMA and SARIMAX achieve an 85.0% early warning detection rate with 7.71 to 7.97 minutes of lead time, surpassing Naive's 70.0% by +15.0 percentage points.</w:t>
      </w:r>
    </w:p>
    <w:p>
      <w:r>
        <w:t>Technique 2: EWMA Filtered Residual Anomaly Detection. Rather than thresholding noisy instantaneous residuals, an Exponentially Weighted Moving Average (EWMA, λ=0.5) smoother was implemented. EWMA integrates systematic residual drift while ignoring random high-frequency impulses. At quantile=0.975, EWMA achieves an 80.0% early warning rate for ARIMA/SARIMAX with 7.73 minutes of lead time, compared to only 60.0% for the baseline.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A3663"/>
            <w:tcMar>
              <w:top w:w="100" w:type="dxa"/>
              <w:bottom w:w="100" w:type="dxa"/>
              <w:left w:w="100" w:type="dxa"/>
              <w:right w:w="100" w:type="dxa"/>
            </w:tcMar>
          </w:tcPr>
          <w:p>
            <w:pPr>
              <w:jc w:val="center"/>
            </w:pPr>
            <w:r>
              <w:rPr>
                <w:b/>
                <w:color w:val="FFFFFF"/>
                <w:sz w:val="19"/>
              </w:rPr>
              <w:t>Configuration / Model</w:t>
            </w:r>
          </w:p>
        </w:tc>
        <w:tc>
          <w:tcPr>
            <w:tcW w:type="dxa" w:w="1872"/>
            <w:shd w:fill="0A3663"/>
            <w:tcMar>
              <w:top w:w="100" w:type="dxa"/>
              <w:bottom w:w="100" w:type="dxa"/>
              <w:left w:w="100" w:type="dxa"/>
              <w:right w:w="100" w:type="dxa"/>
            </w:tcMar>
          </w:tcPr>
          <w:p>
            <w:pPr>
              <w:jc w:val="center"/>
            </w:pPr>
            <w:r>
              <w:rPr>
                <w:b/>
                <w:color w:val="FFFFFF"/>
                <w:sz w:val="19"/>
              </w:rPr>
              <w:t>Detection Rate (%)</w:t>
            </w:r>
          </w:p>
        </w:tc>
        <w:tc>
          <w:tcPr>
            <w:tcW w:type="dxa" w:w="1872"/>
            <w:shd w:fill="0A3663"/>
            <w:tcMar>
              <w:top w:w="100" w:type="dxa"/>
              <w:bottom w:w="100" w:type="dxa"/>
              <w:left w:w="100" w:type="dxa"/>
              <w:right w:w="100" w:type="dxa"/>
            </w:tcMar>
          </w:tcPr>
          <w:p>
            <w:pPr>
              <w:jc w:val="center"/>
            </w:pPr>
            <w:r>
              <w:rPr>
                <w:b/>
                <w:color w:val="FFFFFF"/>
                <w:sz w:val="19"/>
              </w:rPr>
              <w:t>Mean Lead Time</w:t>
            </w:r>
          </w:p>
        </w:tc>
        <w:tc>
          <w:tcPr>
            <w:tcW w:type="dxa" w:w="1872"/>
            <w:shd w:fill="0A3663"/>
            <w:tcMar>
              <w:top w:w="100" w:type="dxa"/>
              <w:bottom w:w="100" w:type="dxa"/>
              <w:left w:w="100" w:type="dxa"/>
              <w:right w:w="100" w:type="dxa"/>
            </w:tcMar>
          </w:tcPr>
          <w:p>
            <w:pPr>
              <w:jc w:val="center"/>
            </w:pPr>
            <w:r>
              <w:rPr>
                <w:b/>
                <w:color w:val="FFFFFF"/>
                <w:sz w:val="19"/>
              </w:rPr>
              <w:t>False Alarm Rate</w:t>
            </w:r>
          </w:p>
        </w:tc>
        <w:tc>
          <w:tcPr>
            <w:tcW w:type="dxa" w:w="1872"/>
            <w:shd w:fill="0A3663"/>
            <w:tcMar>
              <w:top w:w="100" w:type="dxa"/>
              <w:bottom w:w="100" w:type="dxa"/>
              <w:left w:w="100" w:type="dxa"/>
              <w:right w:w="100" w:type="dxa"/>
            </w:tcMar>
          </w:tcPr>
          <w:p>
            <w:pPr>
              <w:jc w:val="center"/>
            </w:pPr>
            <w:r>
              <w:rPr>
                <w:b/>
                <w:color w:val="FFFFFF"/>
                <w:sz w:val="19"/>
              </w:rPr>
              <w:t>Baseline Margin</w:t>
            </w:r>
          </w:p>
        </w:tc>
      </w:tr>
      <w:tr>
        <w:tc>
          <w:tcPr>
            <w:tcW w:type="dxa" w:w="1872"/>
            <w:shd w:fill="F9FBFD"/>
            <w:tcMar>
              <w:top w:w="80" w:type="dxa"/>
              <w:bottom w:w="80" w:type="dxa"/>
              <w:left w:w="100" w:type="dxa"/>
              <w:right w:w="100" w:type="dxa"/>
            </w:tcMar>
          </w:tcPr>
          <w:p>
            <w:pPr>
              <w:jc w:val="left"/>
            </w:pPr>
            <w:r>
              <w:rPr>
                <w:b/>
                <w:sz w:val="19"/>
              </w:rPr>
              <w:t>ARIMA Optimized (q=0.95, p=1)</w:t>
            </w:r>
          </w:p>
        </w:tc>
        <w:tc>
          <w:tcPr>
            <w:tcW w:type="dxa" w:w="1872"/>
            <w:shd w:fill="F9FBFD"/>
            <w:tcMar>
              <w:top w:w="80" w:type="dxa"/>
              <w:bottom w:w="80" w:type="dxa"/>
              <w:left w:w="100" w:type="dxa"/>
              <w:right w:w="100" w:type="dxa"/>
            </w:tcMar>
          </w:tcPr>
          <w:p>
            <w:pPr>
              <w:jc w:val="right"/>
            </w:pPr>
            <w:r>
              <w:rPr>
                <w:sz w:val="19"/>
              </w:rPr>
              <w:t>85.0%</w:t>
            </w:r>
          </w:p>
        </w:tc>
        <w:tc>
          <w:tcPr>
            <w:tcW w:type="dxa" w:w="1872"/>
            <w:shd w:fill="F9FBFD"/>
            <w:tcMar>
              <w:top w:w="80" w:type="dxa"/>
              <w:bottom w:w="80" w:type="dxa"/>
              <w:left w:w="100" w:type="dxa"/>
              <w:right w:w="100" w:type="dxa"/>
            </w:tcMar>
          </w:tcPr>
          <w:p>
            <w:pPr>
              <w:jc w:val="right"/>
            </w:pPr>
            <w:r>
              <w:rPr>
                <w:sz w:val="19"/>
              </w:rPr>
              <w:t>7.71 min</w:t>
            </w:r>
          </w:p>
        </w:tc>
        <w:tc>
          <w:tcPr>
            <w:tcW w:type="dxa" w:w="1872"/>
            <w:shd w:fill="F9FBFD"/>
            <w:tcMar>
              <w:top w:w="80" w:type="dxa"/>
              <w:bottom w:w="80" w:type="dxa"/>
              <w:left w:w="100" w:type="dxa"/>
              <w:right w:w="100" w:type="dxa"/>
            </w:tcMar>
          </w:tcPr>
          <w:p>
            <w:pPr>
              <w:jc w:val="right"/>
            </w:pPr>
            <w:r>
              <w:rPr>
                <w:sz w:val="19"/>
              </w:rPr>
              <w:t>0.69 / hr</w:t>
            </w:r>
          </w:p>
        </w:tc>
        <w:tc>
          <w:tcPr>
            <w:tcW w:type="dxa" w:w="1872"/>
            <w:shd w:fill="F9FBFD"/>
            <w:tcMar>
              <w:top w:w="80" w:type="dxa"/>
              <w:bottom w:w="80" w:type="dxa"/>
              <w:left w:w="100" w:type="dxa"/>
              <w:right w:w="100" w:type="dxa"/>
            </w:tcMar>
          </w:tcPr>
          <w:p>
            <w:pPr>
              <w:jc w:val="left"/>
            </w:pPr>
            <w:r>
              <w:rPr>
                <w:sz w:val="19"/>
              </w:rPr>
              <w:t>+15.0% vs Naive</w:t>
            </w:r>
          </w:p>
        </w:tc>
      </w:tr>
      <w:tr>
        <w:tc>
          <w:tcPr>
            <w:tcW w:type="dxa" w:w="1872"/>
            <w:shd w:fill="FFFFFF"/>
            <w:tcMar>
              <w:top w:w="80" w:type="dxa"/>
              <w:bottom w:w="80" w:type="dxa"/>
              <w:left w:w="100" w:type="dxa"/>
              <w:right w:w="100" w:type="dxa"/>
            </w:tcMar>
          </w:tcPr>
          <w:p>
            <w:pPr>
              <w:jc w:val="left"/>
            </w:pPr>
            <w:r>
              <w:rPr>
                <w:b/>
                <w:sz w:val="19"/>
              </w:rPr>
              <w:t>SARIMAX Optimized (q=0.95, p=1)</w:t>
            </w:r>
          </w:p>
        </w:tc>
        <w:tc>
          <w:tcPr>
            <w:tcW w:type="dxa" w:w="1872"/>
            <w:shd w:fill="FFFFFF"/>
            <w:tcMar>
              <w:top w:w="80" w:type="dxa"/>
              <w:bottom w:w="80" w:type="dxa"/>
              <w:left w:w="100" w:type="dxa"/>
              <w:right w:w="100" w:type="dxa"/>
            </w:tcMar>
          </w:tcPr>
          <w:p>
            <w:pPr>
              <w:jc w:val="right"/>
            </w:pPr>
            <w:r>
              <w:rPr>
                <w:sz w:val="19"/>
              </w:rPr>
              <w:t>85.0%</w:t>
            </w:r>
          </w:p>
        </w:tc>
        <w:tc>
          <w:tcPr>
            <w:tcW w:type="dxa" w:w="1872"/>
            <w:shd w:fill="FFFFFF"/>
            <w:tcMar>
              <w:top w:w="80" w:type="dxa"/>
              <w:bottom w:w="80" w:type="dxa"/>
              <w:left w:w="100" w:type="dxa"/>
              <w:right w:w="100" w:type="dxa"/>
            </w:tcMar>
          </w:tcPr>
          <w:p>
            <w:pPr>
              <w:jc w:val="right"/>
            </w:pPr>
            <w:r>
              <w:rPr>
                <w:sz w:val="19"/>
              </w:rPr>
              <w:t>7.97 min</w:t>
            </w:r>
          </w:p>
        </w:tc>
        <w:tc>
          <w:tcPr>
            <w:tcW w:type="dxa" w:w="1872"/>
            <w:shd w:fill="FFFFFF"/>
            <w:tcMar>
              <w:top w:w="80" w:type="dxa"/>
              <w:bottom w:w="80" w:type="dxa"/>
              <w:left w:w="100" w:type="dxa"/>
              <w:right w:w="100" w:type="dxa"/>
            </w:tcMar>
          </w:tcPr>
          <w:p>
            <w:pPr>
              <w:jc w:val="right"/>
            </w:pPr>
            <w:r>
              <w:rPr>
                <w:sz w:val="19"/>
              </w:rPr>
              <w:t>0.96 / hr</w:t>
            </w:r>
          </w:p>
        </w:tc>
        <w:tc>
          <w:tcPr>
            <w:tcW w:type="dxa" w:w="1872"/>
            <w:shd w:fill="FFFFFF"/>
            <w:tcMar>
              <w:top w:w="80" w:type="dxa"/>
              <w:bottom w:w="80" w:type="dxa"/>
              <w:left w:w="100" w:type="dxa"/>
              <w:right w:w="100" w:type="dxa"/>
            </w:tcMar>
          </w:tcPr>
          <w:p>
            <w:pPr>
              <w:jc w:val="left"/>
            </w:pPr>
            <w:r>
              <w:rPr>
                <w:sz w:val="19"/>
              </w:rPr>
              <w:t>+15.0% vs Naive (+0.85m lead)</w:t>
            </w:r>
          </w:p>
        </w:tc>
      </w:tr>
      <w:tr>
        <w:tc>
          <w:tcPr>
            <w:tcW w:type="dxa" w:w="1872"/>
            <w:shd w:fill="F9FBFD"/>
            <w:tcMar>
              <w:top w:w="80" w:type="dxa"/>
              <w:bottom w:w="80" w:type="dxa"/>
              <w:left w:w="100" w:type="dxa"/>
              <w:right w:w="100" w:type="dxa"/>
            </w:tcMar>
          </w:tcPr>
          <w:p>
            <w:pPr>
              <w:jc w:val="left"/>
            </w:pPr>
            <w:r>
              <w:rPr>
                <w:b/>
                <w:sz w:val="19"/>
              </w:rPr>
              <w:t>ARIMA EWMA Filtered (λ=0.5, q=0.975)</w:t>
            </w:r>
          </w:p>
        </w:tc>
        <w:tc>
          <w:tcPr>
            <w:tcW w:type="dxa" w:w="1872"/>
            <w:shd w:fill="F9FBFD"/>
            <w:tcMar>
              <w:top w:w="80" w:type="dxa"/>
              <w:bottom w:w="80" w:type="dxa"/>
              <w:left w:w="100" w:type="dxa"/>
              <w:right w:w="100" w:type="dxa"/>
            </w:tcMar>
          </w:tcPr>
          <w:p>
            <w:pPr>
              <w:jc w:val="right"/>
            </w:pPr>
            <w:r>
              <w:rPr>
                <w:sz w:val="19"/>
              </w:rPr>
              <w:t>80.0%</w:t>
            </w:r>
          </w:p>
        </w:tc>
        <w:tc>
          <w:tcPr>
            <w:tcW w:type="dxa" w:w="1872"/>
            <w:shd w:fill="F9FBFD"/>
            <w:tcMar>
              <w:top w:w="80" w:type="dxa"/>
              <w:bottom w:w="80" w:type="dxa"/>
              <w:left w:w="100" w:type="dxa"/>
              <w:right w:w="100" w:type="dxa"/>
            </w:tcMar>
          </w:tcPr>
          <w:p>
            <w:pPr>
              <w:jc w:val="right"/>
            </w:pPr>
            <w:r>
              <w:rPr>
                <w:sz w:val="19"/>
              </w:rPr>
              <w:t>7.73 min</w:t>
            </w:r>
          </w:p>
        </w:tc>
        <w:tc>
          <w:tcPr>
            <w:tcW w:type="dxa" w:w="1872"/>
            <w:shd w:fill="F9FBFD"/>
            <w:tcMar>
              <w:top w:w="80" w:type="dxa"/>
              <w:bottom w:w="80" w:type="dxa"/>
              <w:left w:w="100" w:type="dxa"/>
              <w:right w:w="100" w:type="dxa"/>
            </w:tcMar>
          </w:tcPr>
          <w:p>
            <w:pPr>
              <w:jc w:val="right"/>
            </w:pPr>
            <w:r>
              <w:rPr>
                <w:sz w:val="19"/>
              </w:rPr>
              <w:t>1.19 / hr</w:t>
            </w:r>
          </w:p>
        </w:tc>
        <w:tc>
          <w:tcPr>
            <w:tcW w:type="dxa" w:w="1872"/>
            <w:shd w:fill="F9FBFD"/>
            <w:tcMar>
              <w:top w:w="80" w:type="dxa"/>
              <w:bottom w:w="80" w:type="dxa"/>
              <w:left w:w="100" w:type="dxa"/>
              <w:right w:w="100" w:type="dxa"/>
            </w:tcMar>
          </w:tcPr>
          <w:p>
            <w:pPr>
              <w:jc w:val="left"/>
            </w:pPr>
            <w:r>
              <w:rPr>
                <w:sz w:val="19"/>
              </w:rPr>
              <w:t>+20.0% vs Naive (+2.04m lead)</w:t>
            </w:r>
          </w:p>
        </w:tc>
      </w:tr>
    </w:tbl>
    <w:p>
      <w:pPr>
        <w:spacing w:after="160"/>
      </w:pPr>
    </w:p>
    <w:p>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warning_optimization_pareto.png"/>
                    <pic:cNvPicPr/>
                  </pic:nvPicPr>
                  <pic:blipFill>
                    <a:blip r:embed="rId11"/>
                    <a:stretch>
                      <a:fillRect/>
                    </a:stretch>
                  </pic:blipFill>
                  <pic:spPr>
                    <a:xfrm>
                      <a:off x="0" y="0"/>
                      <a:ext cx="5486400" cy="3291840"/>
                    </a:xfrm>
                    <a:prstGeom prst="rect"/>
                  </pic:spPr>
                </pic:pic>
              </a:graphicData>
            </a:graphic>
          </wp:inline>
        </w:drawing>
      </w:r>
    </w:p>
    <w:p>
      <w:pPr>
        <w:jc w:val="center"/>
      </w:pPr>
      <w:r>
        <w:t>Figure 3: Pareto Frontier comparing Early Warning Detection Rate against False Alarm Rate across models.</w:t>
      </w:r>
    </w:p>
    <w:p>
      <w:pPr>
        <w:pStyle w:val="Heading1"/>
      </w:pPr>
      <w:r>
        <w:t>6. Industrial Implications &amp; Conclusion</w:t>
      </w:r>
    </w:p>
    <w:p>
      <w:r>
        <w:t>This research proves that forecasting-based time series analysis provides actionable, statistically verified early warning of spurious DHSV closures in offshore wells. With an average lead time of approximately 8 minutes, well operators and automated supervisory systems can initiate controlled production choke adjustments or automated diagnostic cycles before severe pressure hammer events damage subsea valves or surface separators.</w:t>
      </w:r>
    </w:p>
    <w:p>
      <w:r>
        <w:t>We recommend deploying ARIMA/SARIMAX forecasting alongside EWMA residual filtering (λ=0.5) in offshore telemetry pipelines. Future research should explore multivariate state-space models incorporating downstream choke pressure (P-PDG) and manifold temperatures.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i/>
      <w:color w:val="222222"/>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A36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