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3663"/>
          <w:sz w:val="42"/>
        </w:rPr>
        <w:t>OILGUARD: Forecasting-Based Early Warning of Abnormal Events in Oil Wells</w:t>
      </w:r>
    </w:p>
    <w:p>
      <w:pPr>
        <w:spacing w:after="320"/>
      </w:pPr>
      <w:r>
        <w:rPr>
          <w:i/>
          <w:color w:val="4A607A"/>
          <w:sz w:val="24"/>
        </w:rPr>
        <w:t>Audited Technical Report: Time Series Analysis on 19 Real Offshore Well Events (Petrobras 3W)</w:t>
      </w:r>
    </w:p>
    <w:tbl>
      <w:tblPr>
        <w:tblW w:type="auto" w:w="0"/>
        <w:jc w:val="center"/>
        <w:tblLook w:firstColumn="1" w:firstRow="1" w:lastColumn="0" w:lastRow="0" w:noHBand="0" w:noVBand="1" w:val="04A0"/>
      </w:tblPr>
      <w:tblGrid>
        <w:gridCol w:w="4680"/>
        <w:gridCol w:w="4680"/>
      </w:tblGrid>
      <w:tr>
        <w:tc>
          <w:tcPr>
            <w:tcW w:type="dxa" w:w="4680"/>
            <w:shd w:fill="F2F5F8"/>
            <w:tcMar>
              <w:top w:w="80" w:type="dxa"/>
              <w:bottom w:w="80" w:type="dxa"/>
              <w:left w:w="120" w:type="dxa"/>
              <w:right w:w="120" w:type="dxa"/>
            </w:tcMar>
          </w:tcPr>
          <w:p>
            <w:pPr>
              <w:spacing w:after="40"/>
            </w:pPr>
            <w:r>
              <w:rPr>
                <w:b/>
                <w:sz w:val="19"/>
              </w:rPr>
              <w:t xml:space="preserve">Evaluation Cohort: </w:t>
            </w:r>
            <w:r>
              <w:rPr>
                <w:sz w:val="19"/>
              </w:rPr>
              <w:t>19 Gold-Cohort Real Offshore Wells</w:t>
            </w:r>
          </w:p>
        </w:tc>
        <w:tc>
          <w:tcPr>
            <w:tcW w:type="dxa" w:w="4680"/>
            <w:shd w:fill="F2F5F8"/>
            <w:tcMar>
              <w:top w:w="80" w:type="dxa"/>
              <w:bottom w:w="80" w:type="dxa"/>
              <w:left w:w="120" w:type="dxa"/>
              <w:right w:w="120" w:type="dxa"/>
            </w:tcMar>
          </w:tcPr>
          <w:p>
            <w:pPr>
              <w:spacing w:after="40"/>
            </w:pPr>
            <w:r>
              <w:rPr>
                <w:b/>
                <w:sz w:val="19"/>
              </w:rPr>
              <w:t xml:space="preserve">Dataset: </w:t>
            </w:r>
            <w:r>
              <w:rPr>
                <w:sz w:val="19"/>
              </w:rPr>
              <w:t>Petrobras 3W Benchmark v2.0.0</w:t>
            </w:r>
          </w:p>
        </w:tc>
      </w:tr>
      <w:tr>
        <w:tc>
          <w:tcPr>
            <w:tcW w:type="dxa" w:w="4680"/>
            <w:shd w:fill="F2F5F8"/>
            <w:tcMar>
              <w:top w:w="80" w:type="dxa"/>
              <w:bottom w:w="80" w:type="dxa"/>
              <w:left w:w="120" w:type="dxa"/>
              <w:right w:w="120" w:type="dxa"/>
            </w:tcMar>
          </w:tcPr>
          <w:p>
            <w:pPr>
              <w:spacing w:after="40"/>
            </w:pPr>
            <w:r>
              <w:rPr>
                <w:b/>
                <w:sz w:val="19"/>
              </w:rPr>
              <w:t xml:space="preserve">Target Sensor: </w:t>
            </w:r>
            <w:r>
              <w:rPr>
                <w:sz w:val="19"/>
              </w:rPr>
              <w:t>P-TPT (Downhole Pressure, MPa)</w:t>
            </w:r>
          </w:p>
        </w:tc>
        <w:tc>
          <w:tcPr>
            <w:tcW w:type="dxa" w:w="4680"/>
            <w:shd w:fill="F2F5F8"/>
            <w:tcMar>
              <w:top w:w="80" w:type="dxa"/>
              <w:bottom w:w="80" w:type="dxa"/>
              <w:left w:w="120" w:type="dxa"/>
              <w:right w:w="120" w:type="dxa"/>
            </w:tcMar>
          </w:tcPr>
          <w:p>
            <w:pPr>
              <w:spacing w:after="40"/>
            </w:pPr>
            <w:r>
              <w:rPr>
                <w:b/>
                <w:sz w:val="19"/>
              </w:rPr>
              <w:t xml:space="preserve">Modeled Event: </w:t>
            </w:r>
            <w:r>
              <w:rPr>
                <w:sz w:val="19"/>
              </w:rPr>
              <w:t>Class 2 (Spurious Closure of DHSV)</w:t>
            </w:r>
          </w:p>
        </w:tc>
      </w:tr>
    </w:tbl>
    <w:p>
      <w:pPr>
        <w:spacing w:after="240"/>
      </w:pPr>
    </w:p>
    <w:p>
      <w:pPr>
        <w:pStyle w:val="Heading1"/>
      </w:pPr>
      <w:r>
        <w:t>1. Executive Summary</w:t>
      </w:r>
    </w:p>
    <w:p>
      <w:r>
        <w:t>In offshore oil and gas production, an uncommanded or spurious closure of a Downhole Safety Valve (DHSV) is a critical operational failure. The valve suddenly shuts off the production conduit, trapping extreme reservoir pressure below the valve while causing rapid pressure drop downstream. Conventional reactive threshold alerts only fire after substantial shutdown dynamics have unfolded. This study investigates whether statistical Time Series Analysis (TSA) models—specifically Autoregressive Integrated Moving Average (ARIMA) and Seasonal/Exogenous ARIMAX (SARIMAX)—can generate reliable early warnings by detecting anomalous forecast residuals before transient onset.</w:t>
      </w:r>
    </w:p>
    <w:p>
      <w:r>
        <w:t>Across an audited gold cohort of 19 authentic real-world offshore well events from the Petrobras 3W benchmark dataset, this investigation evaluated one-step-ahead rolling forecasts and residual-based anomaly detection against a persistent Naive baseline. All reported metrics have been audited to strictly enforce pre-event window boundaries and prevent optimization leakage:</w:t>
      </w:r>
    </w:p>
    <w:p>
      <w:pPr>
        <w:pStyle w:val="ListBullet"/>
      </w:pPr>
      <w:r>
        <w:rPr>
          <w:b/>
        </w:rPr>
        <w:t xml:space="preserve">Statistical Forecast Accuracy Dominance: </w:t>
      </w:r>
      <w:r>
        <w:t>ARIMA and SARIMAX achieve a Mean Absolute Error (MAE) of 0.0163 MPa and a MAPE of 8.69% on the test split, reducing forecasting error by 47.1% compared to the Naive baseline (0.0307 MPa MAE, 18.22% MAPE).</w:t>
      </w:r>
    </w:p>
    <w:p>
      <w:pPr>
        <w:pStyle w:val="ListBullet"/>
      </w:pPr>
      <w:r>
        <w:rPr>
          <w:b/>
        </w:rPr>
        <w:t xml:space="preserve">Audited Early Warning Rules: </w:t>
      </w:r>
      <w:r>
        <w:t>Early warnings are strictly defined as onsets occurring within the 10-minute pre-event window prior to transient onset. Ordinary normal-operation false alarms are reported separately and are not credited as early warnings. Under standard default calibration (q=0.99, p=3), ARIMA and SARIMAX achieve 26.3% early detection (5/19) with zero false alarms.</w:t>
      </w:r>
    </w:p>
    <w:p>
      <w:pPr>
        <w:pStyle w:val="ListBullet"/>
      </w:pPr>
      <w:r>
        <w:rPr>
          <w:b/>
        </w:rPr>
        <w:t xml:space="preserve">Unbiased Cross-Validation (LOEO-CV): </w:t>
      </w:r>
      <w:r>
        <w:t>To eliminate hyperparameter leakage, Leave-One-Event-Out Cross-Validation (LOEO-CV) was executed across the 19 events. ARIMA achieved a 42.1% early detection rate (8/19) with 5.10 minutes of average advance lead time, outperforming the baseline (36.8%, 1.69 minutes) and tripling advance reaction time.</w:t>
      </w:r>
    </w:p>
    <w:p>
      <w:pPr>
        <w:pStyle w:val="Heading1"/>
      </w:pPr>
      <w:r>
        <w:t>2. Problem Formulation &amp; Cohort Auditing</w:t>
      </w:r>
    </w:p>
    <w:p>
      <w:r>
        <w:t>The Petrobras 3W dataset contains 2,228 instances (1.87 GB) across synthetic simulations and authentic well recordings. To ensure authentic fluid dynamics, OILGUARD audited 22 candidate files for Class 2 events. Exactly 19 real offshore well events met all quality criteria (non-flatline, non-zero variance, missing data &lt; 20%, maximum gap &lt; 10 min). Three candidates were excluded, including WELL-00002_20131104004101 due to a constant (zero-variance) pressure sensor signal during normal operation.</w:t>
      </w:r>
    </w:p>
    <w:p>
      <w:r>
        <w:t>Data was resampled to a uniform 10-second grid with forward-fill limits of 6 raw samples. Partitioning follows a strict chronological split: the first 60% of normal operation forms the training set; the next 20% forms the calibration set for threshold setting; and the final 20% of normal operation plus the full transient and steady fault phases constitutes the holdout test evaluation period.</w:t>
      </w:r>
    </w:p>
    <w:p>
      <w:pPr>
        <w:spacing w:after="80"/>
      </w:pPr>
    </w:p>
    <w:p>
      <w:r>
        <w:drawing>
          <wp:inline xmlns:a="http://schemas.openxmlformats.org/drawingml/2006/main" xmlns:pic="http://schemas.openxmlformats.org/drawingml/2006/picture">
            <wp:extent cx="5303520" cy="1888827"/>
            <wp:docPr id="1" name="Picture 1"/>
            <wp:cNvGraphicFramePr>
              <a:graphicFrameLocks noChangeAspect="1"/>
            </wp:cNvGraphicFramePr>
            <a:graphic>
              <a:graphicData uri="http://schemas.openxmlformats.org/drawingml/2006/picture">
                <pic:pic>
                  <pic:nvPicPr>
                    <pic:cNvPr id="0" name="dataset_composition.png"/>
                    <pic:cNvPicPr/>
                  </pic:nvPicPr>
                  <pic:blipFill>
                    <a:blip r:embed="rId9"/>
                    <a:stretch>
                      <a:fillRect/>
                    </a:stretch>
                  </pic:blipFill>
                  <pic:spPr>
                    <a:xfrm>
                      <a:off x="0" y="0"/>
                      <a:ext cx="5303520" cy="1888827"/>
                    </a:xfrm>
                    <a:prstGeom prst="rect"/>
                  </pic:spPr>
                </pic:pic>
              </a:graphicData>
            </a:graphic>
          </wp:inline>
        </w:drawing>
      </w:r>
    </w:p>
    <w:p>
      <w:pPr>
        <w:jc w:val="center"/>
      </w:pPr>
      <w:r>
        <w:t>Figure 1: Petrobras 3W dataset composition showing authentic well vs. simulated distributions.</w:t>
      </w:r>
    </w:p>
    <w:p>
      <w:pPr>
        <w:pStyle w:val="Heading1"/>
      </w:pPr>
      <w:r>
        <w:t>3. Time Series Modeling Architectures</w:t>
      </w:r>
    </w:p>
    <w:p>
      <w:r>
        <w:t>Three rolling one-step-ahead forecasting models were evaluated on the 19 gold events:</w:t>
      </w:r>
    </w:p>
    <w:p>
      <w:pPr>
        <w:pStyle w:val="ListBullet"/>
      </w:pPr>
      <w:r>
        <w:rPr>
          <w:b/>
        </w:rPr>
        <w:t xml:space="preserve">ARIMA(p, d, q): </w:t>
      </w:r>
      <w:r>
        <w:t>Stationarity differencing d was determined via Augmented Dickey-Fuller (ADF) testing. Candidate autoregressive and moving-average orders (p ≤ 2, q ≤ 2, p+q ≤ 3) were selected dynamically per well via AIC minimization.</w:t>
      </w:r>
    </w:p>
    <w:p>
      <w:pPr>
        <w:pStyle w:val="ListBullet"/>
      </w:pPr>
      <w:r>
        <w:rPr>
          <w:b/>
        </w:rPr>
        <w:t xml:space="preserve">SARIMAX(p, d, q) + Exogenous Temperature: </w:t>
      </w:r>
      <w:r>
        <w:t>Augments ARIMA with standardized, lag-1 downhole temperature (T-TPT) as an exogenous variable, incorporating fluid thermal state.</w:t>
      </w:r>
    </w:p>
    <w:p>
      <w:pPr>
        <w:pStyle w:val="ListBullet"/>
      </w:pPr>
      <w:r>
        <w:rPr>
          <w:b/>
        </w:rPr>
        <w:t xml:space="preserve">Naive Persistence Baseline: </w:t>
      </w:r>
      <w:r>
        <w:t>Predicts ŷ_t = y_{t-1}, representing standard industrial state invariance.</w:t>
      </w:r>
    </w:p>
    <w:p>
      <w:pPr>
        <w:pStyle w:val="Heading1"/>
      </w:pPr>
      <w:r>
        <w:t>4. Experimental Results: Forecast Accuracy</w:t>
      </w:r>
    </w:p>
    <w:p>
      <w:r>
        <w:t>Table 1 reports rolling one-step-ahead forecast error metrics across all 19 gold events during the test evaluation split.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w:t>
            </w:r>
          </w:p>
        </w:tc>
        <w:tc>
          <w:tcPr>
            <w:tcW w:type="dxa" w:w="1560"/>
            <w:shd w:fill="0A3663"/>
            <w:tcMar>
              <w:top w:w="100" w:type="dxa"/>
              <w:bottom w:w="100" w:type="dxa"/>
              <w:left w:w="100" w:type="dxa"/>
              <w:right w:w="100" w:type="dxa"/>
            </w:tcMar>
          </w:tcPr>
          <w:p>
            <w:pPr>
              <w:jc w:val="center"/>
            </w:pPr>
            <w:r>
              <w:rPr>
                <w:b/>
                <w:color w:val="FFFFFF"/>
                <w:sz w:val="19"/>
              </w:rPr>
              <w:t>MAE (MPa)</w:t>
            </w:r>
          </w:p>
        </w:tc>
        <w:tc>
          <w:tcPr>
            <w:tcW w:type="dxa" w:w="1560"/>
            <w:shd w:fill="0A3663"/>
            <w:tcMar>
              <w:top w:w="100" w:type="dxa"/>
              <w:bottom w:w="100" w:type="dxa"/>
              <w:left w:w="100" w:type="dxa"/>
              <w:right w:w="100" w:type="dxa"/>
            </w:tcMar>
          </w:tcPr>
          <w:p>
            <w:pPr>
              <w:jc w:val="center"/>
            </w:pPr>
            <w:r>
              <w:rPr>
                <w:b/>
                <w:color w:val="FFFFFF"/>
                <w:sz w:val="19"/>
              </w:rPr>
              <w:t>RMSE (MPa)</w:t>
            </w:r>
          </w:p>
        </w:tc>
        <w:tc>
          <w:tcPr>
            <w:tcW w:type="dxa" w:w="1560"/>
            <w:shd w:fill="0A3663"/>
            <w:tcMar>
              <w:top w:w="100" w:type="dxa"/>
              <w:bottom w:w="100" w:type="dxa"/>
              <w:left w:w="100" w:type="dxa"/>
              <w:right w:w="100" w:type="dxa"/>
            </w:tcMar>
          </w:tcPr>
          <w:p>
            <w:pPr>
              <w:jc w:val="center"/>
            </w:pPr>
            <w:r>
              <w:rPr>
                <w:b/>
                <w:color w:val="FFFFFF"/>
                <w:sz w:val="19"/>
              </w:rPr>
              <w:t>MAPE (%)</w:t>
            </w:r>
          </w:p>
        </w:tc>
        <w:tc>
          <w:tcPr>
            <w:tcW w:type="dxa" w:w="1560"/>
            <w:shd w:fill="0A3663"/>
            <w:tcMar>
              <w:top w:w="100" w:type="dxa"/>
              <w:bottom w:w="100" w:type="dxa"/>
              <w:left w:w="100" w:type="dxa"/>
              <w:right w:w="100" w:type="dxa"/>
            </w:tcMar>
          </w:tcPr>
          <w:p>
            <w:pPr>
              <w:jc w:val="center"/>
            </w:pPr>
            <w:r>
              <w:rPr>
                <w:b/>
                <w:color w:val="FFFFFF"/>
                <w:sz w:val="19"/>
              </w:rPr>
              <w:t>R² Score</w:t>
            </w:r>
          </w:p>
        </w:tc>
        <w:tc>
          <w:tcPr>
            <w:tcW w:type="dxa" w:w="1560"/>
            <w:shd w:fill="0A3663"/>
            <w:tcMar>
              <w:top w:w="100" w:type="dxa"/>
              <w:bottom w:w="100" w:type="dxa"/>
              <w:left w:w="100" w:type="dxa"/>
              <w:right w:w="100" w:type="dxa"/>
            </w:tcMar>
          </w:tcPr>
          <w:p>
            <w:pPr>
              <w:jc w:val="center"/>
            </w:pPr>
            <w:r>
              <w:rPr>
                <w:b/>
                <w:color w:val="FFFFFF"/>
                <w:sz w:val="19"/>
              </w:rPr>
              <w:t>Error Reduction</w:t>
            </w:r>
          </w:p>
        </w:tc>
      </w:tr>
      <w:tr>
        <w:tc>
          <w:tcPr>
            <w:tcW w:type="dxa" w:w="1560"/>
            <w:shd w:fill="F9FBFD"/>
            <w:tcMar>
              <w:top w:w="80" w:type="dxa"/>
              <w:bottom w:w="80" w:type="dxa"/>
              <w:left w:w="100" w:type="dxa"/>
              <w:right w:w="100" w:type="dxa"/>
            </w:tcMar>
          </w:tcPr>
          <w:p>
            <w:pPr>
              <w:jc w:val="left"/>
            </w:pPr>
            <w:r>
              <w:rPr>
                <w:b/>
                <w:sz w:val="19"/>
              </w:rPr>
              <w:t>ARIMA</w:t>
            </w:r>
          </w:p>
        </w:tc>
        <w:tc>
          <w:tcPr>
            <w:tcW w:type="dxa" w:w="1560"/>
            <w:shd w:fill="F9FBFD"/>
            <w:tcMar>
              <w:top w:w="80" w:type="dxa"/>
              <w:bottom w:w="80" w:type="dxa"/>
              <w:left w:w="100" w:type="dxa"/>
              <w:right w:w="100" w:type="dxa"/>
            </w:tcMar>
          </w:tcPr>
          <w:p>
            <w:pPr>
              <w:jc w:val="right"/>
            </w:pPr>
            <w:r>
              <w:rPr>
                <w:sz w:val="19"/>
              </w:rPr>
              <w:t>0.0163</w:t>
            </w:r>
          </w:p>
        </w:tc>
        <w:tc>
          <w:tcPr>
            <w:tcW w:type="dxa" w:w="1560"/>
            <w:shd w:fill="F9FBFD"/>
            <w:tcMar>
              <w:top w:w="80" w:type="dxa"/>
              <w:bottom w:w="80" w:type="dxa"/>
              <w:left w:w="100" w:type="dxa"/>
              <w:right w:w="100" w:type="dxa"/>
            </w:tcMar>
          </w:tcPr>
          <w:p>
            <w:pPr>
              <w:jc w:val="right"/>
            </w:pPr>
            <w:r>
              <w:rPr>
                <w:sz w:val="19"/>
              </w:rPr>
              <w:t>0.0524</w:t>
            </w:r>
          </w:p>
        </w:tc>
        <w:tc>
          <w:tcPr>
            <w:tcW w:type="dxa" w:w="1560"/>
            <w:shd w:fill="F9FBFD"/>
            <w:tcMar>
              <w:top w:w="80" w:type="dxa"/>
              <w:bottom w:w="80" w:type="dxa"/>
              <w:left w:w="100" w:type="dxa"/>
              <w:right w:w="100" w:type="dxa"/>
            </w:tcMar>
          </w:tcPr>
          <w:p>
            <w:pPr>
              <w:jc w:val="right"/>
            </w:pPr>
            <w:r>
              <w:rPr>
                <w:sz w:val="19"/>
              </w:rPr>
              <w:t>8.69%</w:t>
            </w:r>
          </w:p>
        </w:tc>
        <w:tc>
          <w:tcPr>
            <w:tcW w:type="dxa" w:w="1560"/>
            <w:shd w:fill="F9FBFD"/>
            <w:tcMar>
              <w:top w:w="80" w:type="dxa"/>
              <w:bottom w:w="80" w:type="dxa"/>
              <w:left w:w="100" w:type="dxa"/>
              <w:right w:w="100" w:type="dxa"/>
            </w:tcMar>
          </w:tcPr>
          <w:p>
            <w:pPr>
              <w:jc w:val="right"/>
            </w:pPr>
            <w:r>
              <w:rPr>
                <w:sz w:val="19"/>
              </w:rPr>
              <w:t>0.9994</w:t>
            </w:r>
          </w:p>
        </w:tc>
        <w:tc>
          <w:tcPr>
            <w:tcW w:type="dxa" w:w="1560"/>
            <w:shd w:fill="F9FBFD"/>
            <w:tcMar>
              <w:top w:w="80" w:type="dxa"/>
              <w:bottom w:w="80" w:type="dxa"/>
              <w:left w:w="100" w:type="dxa"/>
              <w:right w:w="100" w:type="dxa"/>
            </w:tcMar>
          </w:tcPr>
          <w:p>
            <w:pPr>
              <w:jc w:val="left"/>
            </w:pPr>
            <w:r>
              <w:rPr>
                <w:sz w:val="19"/>
              </w:rPr>
              <w:t>47.1% Lower MAE</w:t>
            </w:r>
          </w:p>
        </w:tc>
      </w:tr>
      <w:tr>
        <w:tc>
          <w:tcPr>
            <w:tcW w:type="dxa" w:w="1560"/>
            <w:shd w:fill="FFFFFF"/>
            <w:tcMar>
              <w:top w:w="80" w:type="dxa"/>
              <w:bottom w:w="80" w:type="dxa"/>
              <w:left w:w="100" w:type="dxa"/>
              <w:right w:w="100" w:type="dxa"/>
            </w:tcMar>
          </w:tcPr>
          <w:p>
            <w:pPr>
              <w:jc w:val="left"/>
            </w:pPr>
            <w:r>
              <w:rPr>
                <w:b/>
                <w:sz w:val="19"/>
              </w:rPr>
              <w:t>SARIMAX</w:t>
            </w:r>
          </w:p>
        </w:tc>
        <w:tc>
          <w:tcPr>
            <w:tcW w:type="dxa" w:w="1560"/>
            <w:shd w:fill="FFFFFF"/>
            <w:tcMar>
              <w:top w:w="80" w:type="dxa"/>
              <w:bottom w:w="80" w:type="dxa"/>
              <w:left w:w="100" w:type="dxa"/>
              <w:right w:w="100" w:type="dxa"/>
            </w:tcMar>
          </w:tcPr>
          <w:p>
            <w:pPr>
              <w:jc w:val="right"/>
            </w:pPr>
            <w:r>
              <w:rPr>
                <w:sz w:val="19"/>
              </w:rPr>
              <w:t>0.0162</w:t>
            </w:r>
          </w:p>
        </w:tc>
        <w:tc>
          <w:tcPr>
            <w:tcW w:type="dxa" w:w="1560"/>
            <w:shd w:fill="FFFFFF"/>
            <w:tcMar>
              <w:top w:w="80" w:type="dxa"/>
              <w:bottom w:w="80" w:type="dxa"/>
              <w:left w:w="100" w:type="dxa"/>
              <w:right w:w="100" w:type="dxa"/>
            </w:tcMar>
          </w:tcPr>
          <w:p>
            <w:pPr>
              <w:jc w:val="right"/>
            </w:pPr>
            <w:r>
              <w:rPr>
                <w:sz w:val="19"/>
              </w:rPr>
              <w:t>0.0523</w:t>
            </w:r>
          </w:p>
        </w:tc>
        <w:tc>
          <w:tcPr>
            <w:tcW w:type="dxa" w:w="1560"/>
            <w:shd w:fill="FFFFFF"/>
            <w:tcMar>
              <w:top w:w="80" w:type="dxa"/>
              <w:bottom w:w="80" w:type="dxa"/>
              <w:left w:w="100" w:type="dxa"/>
              <w:right w:w="100" w:type="dxa"/>
            </w:tcMar>
          </w:tcPr>
          <w:p>
            <w:pPr>
              <w:jc w:val="right"/>
            </w:pPr>
            <w:r>
              <w:rPr>
                <w:sz w:val="19"/>
              </w:rPr>
              <w:t>8.63%</w:t>
            </w:r>
          </w:p>
        </w:tc>
        <w:tc>
          <w:tcPr>
            <w:tcW w:type="dxa" w:w="1560"/>
            <w:shd w:fill="FFFFFF"/>
            <w:tcMar>
              <w:top w:w="80" w:type="dxa"/>
              <w:bottom w:w="80" w:type="dxa"/>
              <w:left w:w="100" w:type="dxa"/>
              <w:right w:w="100" w:type="dxa"/>
            </w:tcMar>
          </w:tcPr>
          <w:p>
            <w:pPr>
              <w:jc w:val="right"/>
            </w:pPr>
            <w:r>
              <w:rPr>
                <w:sz w:val="19"/>
              </w:rPr>
              <w:t>0.9994</w:t>
            </w:r>
          </w:p>
        </w:tc>
        <w:tc>
          <w:tcPr>
            <w:tcW w:type="dxa" w:w="1560"/>
            <w:shd w:fill="FFFFFF"/>
            <w:tcMar>
              <w:top w:w="80" w:type="dxa"/>
              <w:bottom w:w="80" w:type="dxa"/>
              <w:left w:w="100" w:type="dxa"/>
              <w:right w:w="100" w:type="dxa"/>
            </w:tcMar>
          </w:tcPr>
          <w:p>
            <w:pPr>
              <w:jc w:val="left"/>
            </w:pPr>
            <w:r>
              <w:rPr>
                <w:sz w:val="19"/>
              </w:rPr>
              <w:t>47.4% Lower MAE</w:t>
            </w:r>
          </w:p>
        </w:tc>
      </w:tr>
      <w:tr>
        <w:tc>
          <w:tcPr>
            <w:tcW w:type="dxa" w:w="1560"/>
            <w:shd w:fill="F9FBFD"/>
            <w:tcMar>
              <w:top w:w="80" w:type="dxa"/>
              <w:bottom w:w="80" w:type="dxa"/>
              <w:left w:w="100" w:type="dxa"/>
              <w:right w:w="100" w:type="dxa"/>
            </w:tcMar>
          </w:tcPr>
          <w:p>
            <w:pPr>
              <w:jc w:val="left"/>
            </w:pPr>
            <w:r>
              <w:rPr>
                <w:b/>
                <w:sz w:val="19"/>
              </w:rPr>
              <w:t>Naive (Baseline)</w:t>
            </w:r>
          </w:p>
        </w:tc>
        <w:tc>
          <w:tcPr>
            <w:tcW w:type="dxa" w:w="1560"/>
            <w:shd w:fill="F9FBFD"/>
            <w:tcMar>
              <w:top w:w="80" w:type="dxa"/>
              <w:bottom w:w="80" w:type="dxa"/>
              <w:left w:w="100" w:type="dxa"/>
              <w:right w:w="100" w:type="dxa"/>
            </w:tcMar>
          </w:tcPr>
          <w:p>
            <w:pPr>
              <w:jc w:val="right"/>
            </w:pPr>
            <w:r>
              <w:rPr>
                <w:sz w:val="19"/>
              </w:rPr>
              <w:t>0.0307</w:t>
            </w:r>
          </w:p>
        </w:tc>
        <w:tc>
          <w:tcPr>
            <w:tcW w:type="dxa" w:w="1560"/>
            <w:shd w:fill="F9FBFD"/>
            <w:tcMar>
              <w:top w:w="80" w:type="dxa"/>
              <w:bottom w:w="80" w:type="dxa"/>
              <w:left w:w="100" w:type="dxa"/>
              <w:right w:w="100" w:type="dxa"/>
            </w:tcMar>
          </w:tcPr>
          <w:p>
            <w:pPr>
              <w:jc w:val="right"/>
            </w:pPr>
            <w:r>
              <w:rPr>
                <w:sz w:val="19"/>
              </w:rPr>
              <w:t>0.0781</w:t>
            </w:r>
          </w:p>
        </w:tc>
        <w:tc>
          <w:tcPr>
            <w:tcW w:type="dxa" w:w="1560"/>
            <w:shd w:fill="F9FBFD"/>
            <w:tcMar>
              <w:top w:w="80" w:type="dxa"/>
              <w:bottom w:w="80" w:type="dxa"/>
              <w:left w:w="100" w:type="dxa"/>
              <w:right w:w="100" w:type="dxa"/>
            </w:tcMar>
          </w:tcPr>
          <w:p>
            <w:pPr>
              <w:jc w:val="right"/>
            </w:pPr>
            <w:r>
              <w:rPr>
                <w:sz w:val="19"/>
              </w:rPr>
              <w:t>18.22%</w:t>
            </w:r>
          </w:p>
        </w:tc>
        <w:tc>
          <w:tcPr>
            <w:tcW w:type="dxa" w:w="1560"/>
            <w:shd w:fill="F9FBFD"/>
            <w:tcMar>
              <w:top w:w="80" w:type="dxa"/>
              <w:bottom w:w="80" w:type="dxa"/>
              <w:left w:w="100" w:type="dxa"/>
              <w:right w:w="100" w:type="dxa"/>
            </w:tcMar>
          </w:tcPr>
          <w:p>
            <w:pPr>
              <w:jc w:val="right"/>
            </w:pPr>
            <w:r>
              <w:rPr>
                <w:sz w:val="19"/>
              </w:rPr>
              <w:t>0.9988</w:t>
            </w:r>
          </w:p>
        </w:tc>
        <w:tc>
          <w:tcPr>
            <w:tcW w:type="dxa" w:w="1560"/>
            <w:shd w:fill="F9FBFD"/>
            <w:tcMar>
              <w:top w:w="80" w:type="dxa"/>
              <w:bottom w:w="80" w:type="dxa"/>
              <w:left w:w="100" w:type="dxa"/>
              <w:right w:w="100" w:type="dxa"/>
            </w:tcMar>
          </w:tcPr>
          <w:p>
            <w:pPr>
              <w:jc w:val="left"/>
            </w:pPr>
            <w:r>
              <w:rPr>
                <w:sz w:val="19"/>
              </w:rPr>
              <w:t>Reference Baseline</w:t>
            </w:r>
          </w:p>
        </w:tc>
      </w:tr>
    </w:tbl>
    <w:p>
      <w:pPr>
        <w:spacing w:after="160"/>
      </w:pPr>
    </w:p>
    <w:p>
      <w:pPr>
        <w:pStyle w:val="Heading1"/>
      </w:pPr>
      <w:r>
        <w:t>5. Early Warning Evaluation &amp; Audited Optimization</w:t>
      </w:r>
    </w:p>
    <w:p>
      <w:r>
        <w:t>Early warning evaluation enforces an explicit pre-event window [T_transient - 10 min, T_transient). Any alarm prior to this window is classified strictly as an ordinary false alarm. Table 2 summarizes the standard default calibration, unbiased cross-validation, and sensitivity analysis across the 19 gold events.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A3663"/>
            <w:tcMar>
              <w:top w:w="100" w:type="dxa"/>
              <w:bottom w:w="100" w:type="dxa"/>
              <w:left w:w="100" w:type="dxa"/>
              <w:right w:w="100" w:type="dxa"/>
            </w:tcMar>
          </w:tcPr>
          <w:p>
            <w:pPr>
              <w:jc w:val="center"/>
            </w:pPr>
            <w:r>
              <w:rPr>
                <w:b/>
                <w:color w:val="FFFFFF"/>
                <w:sz w:val="19"/>
              </w:rPr>
              <w:t>Evaluation Strategy / Model</w:t>
            </w:r>
          </w:p>
        </w:tc>
        <w:tc>
          <w:tcPr>
            <w:tcW w:type="dxa" w:w="1872"/>
            <w:shd w:fill="0A3663"/>
            <w:tcMar>
              <w:top w:w="100" w:type="dxa"/>
              <w:bottom w:w="100" w:type="dxa"/>
              <w:left w:w="100" w:type="dxa"/>
              <w:right w:w="100" w:type="dxa"/>
            </w:tcMar>
          </w:tcPr>
          <w:p>
            <w:pPr>
              <w:jc w:val="center"/>
            </w:pPr>
            <w:r>
              <w:rPr>
                <w:b/>
                <w:color w:val="FFFFFF"/>
                <w:sz w:val="19"/>
              </w:rPr>
              <w:t>Detection Rate (%)</w:t>
            </w:r>
          </w:p>
        </w:tc>
        <w:tc>
          <w:tcPr>
            <w:tcW w:type="dxa" w:w="1872"/>
            <w:shd w:fill="0A3663"/>
            <w:tcMar>
              <w:top w:w="100" w:type="dxa"/>
              <w:bottom w:w="100" w:type="dxa"/>
              <w:left w:w="100" w:type="dxa"/>
              <w:right w:w="100" w:type="dxa"/>
            </w:tcMar>
          </w:tcPr>
          <w:p>
            <w:pPr>
              <w:jc w:val="center"/>
            </w:pPr>
            <w:r>
              <w:rPr>
                <w:b/>
                <w:color w:val="FFFFFF"/>
                <w:sz w:val="19"/>
              </w:rPr>
              <w:t>Mean Lead Time</w:t>
            </w:r>
          </w:p>
        </w:tc>
        <w:tc>
          <w:tcPr>
            <w:tcW w:type="dxa" w:w="1872"/>
            <w:shd w:fill="0A3663"/>
            <w:tcMar>
              <w:top w:w="100" w:type="dxa"/>
              <w:bottom w:w="100" w:type="dxa"/>
              <w:left w:w="100" w:type="dxa"/>
              <w:right w:w="100" w:type="dxa"/>
            </w:tcMar>
          </w:tcPr>
          <w:p>
            <w:pPr>
              <w:jc w:val="center"/>
            </w:pPr>
            <w:r>
              <w:rPr>
                <w:b/>
                <w:color w:val="FFFFFF"/>
                <w:sz w:val="19"/>
              </w:rPr>
              <w:t>False Alarm Rate</w:t>
            </w:r>
          </w:p>
        </w:tc>
        <w:tc>
          <w:tcPr>
            <w:tcW w:type="dxa" w:w="1872"/>
            <w:shd w:fill="0A3663"/>
            <w:tcMar>
              <w:top w:w="100" w:type="dxa"/>
              <w:bottom w:w="100" w:type="dxa"/>
              <w:left w:w="100" w:type="dxa"/>
              <w:right w:w="100" w:type="dxa"/>
            </w:tcMar>
          </w:tcPr>
          <w:p>
            <w:pPr>
              <w:jc w:val="center"/>
            </w:pPr>
            <w:r>
              <w:rPr>
                <w:b/>
                <w:color w:val="FFFFFF"/>
                <w:sz w:val="19"/>
              </w:rPr>
              <w:t>False Alarm Count</w:t>
            </w:r>
          </w:p>
        </w:tc>
      </w:tr>
      <w:tr>
        <w:tc>
          <w:tcPr>
            <w:tcW w:type="dxa" w:w="1872"/>
            <w:shd w:fill="F9FBFD"/>
            <w:tcMar>
              <w:top w:w="80" w:type="dxa"/>
              <w:bottom w:w="80" w:type="dxa"/>
              <w:left w:w="100" w:type="dxa"/>
              <w:right w:w="100" w:type="dxa"/>
            </w:tcMar>
          </w:tcPr>
          <w:p>
            <w:pPr>
              <w:jc w:val="left"/>
            </w:pPr>
            <w:r>
              <w:rPr>
                <w:b/>
                <w:sz w:val="19"/>
              </w:rPr>
              <w:t>Standard Default ARIMA (q=0.99, p=3)</w:t>
            </w:r>
          </w:p>
        </w:tc>
        <w:tc>
          <w:tcPr>
            <w:tcW w:type="dxa" w:w="1872"/>
            <w:shd w:fill="F9FBFD"/>
            <w:tcMar>
              <w:top w:w="80" w:type="dxa"/>
              <w:bottom w:w="80" w:type="dxa"/>
              <w:left w:w="100" w:type="dxa"/>
              <w:right w:w="100" w:type="dxa"/>
            </w:tcMar>
          </w:tcPr>
          <w:p>
            <w:pPr>
              <w:jc w:val="right"/>
            </w:pPr>
            <w:r>
              <w:rPr>
                <w:sz w:val="19"/>
              </w:rPr>
              <w:t>26.3% (5/19)</w:t>
            </w:r>
          </w:p>
        </w:tc>
        <w:tc>
          <w:tcPr>
            <w:tcW w:type="dxa" w:w="1872"/>
            <w:shd w:fill="F9FBFD"/>
            <w:tcMar>
              <w:top w:w="80" w:type="dxa"/>
              <w:bottom w:w="80" w:type="dxa"/>
              <w:left w:w="100" w:type="dxa"/>
              <w:right w:w="100" w:type="dxa"/>
            </w:tcMar>
          </w:tcPr>
          <w:p>
            <w:pPr>
              <w:jc w:val="right"/>
            </w:pPr>
            <w:r>
              <w:rPr>
                <w:sz w:val="19"/>
              </w:rPr>
              <w:t>1.60 min</w:t>
            </w:r>
          </w:p>
        </w:tc>
        <w:tc>
          <w:tcPr>
            <w:tcW w:type="dxa" w:w="1872"/>
            <w:shd w:fill="F9FBFD"/>
            <w:tcMar>
              <w:top w:w="80" w:type="dxa"/>
              <w:bottom w:w="80" w:type="dxa"/>
              <w:left w:w="100" w:type="dxa"/>
              <w:right w:w="100" w:type="dxa"/>
            </w:tcMar>
          </w:tcPr>
          <w:p>
            <w:pPr>
              <w:jc w:val="right"/>
            </w:pPr>
            <w:r>
              <w:rPr>
                <w:sz w:val="19"/>
              </w:rPr>
              <w:t>0.00 / hr</w:t>
            </w:r>
          </w:p>
        </w:tc>
        <w:tc>
          <w:tcPr>
            <w:tcW w:type="dxa" w:w="1872"/>
            <w:shd w:fill="F9FBFD"/>
            <w:tcMar>
              <w:top w:w="80" w:type="dxa"/>
              <w:bottom w:w="80" w:type="dxa"/>
              <w:left w:w="100" w:type="dxa"/>
              <w:right w:w="100" w:type="dxa"/>
            </w:tcMar>
          </w:tcPr>
          <w:p>
            <w:pPr>
              <w:jc w:val="right"/>
            </w:pPr>
            <w:r>
              <w:rPr>
                <w:sz w:val="19"/>
              </w:rPr>
              <w:t>0 FA</w:t>
            </w:r>
          </w:p>
        </w:tc>
      </w:tr>
      <w:tr>
        <w:tc>
          <w:tcPr>
            <w:tcW w:type="dxa" w:w="1872"/>
            <w:shd w:fill="FFFFFF"/>
            <w:tcMar>
              <w:top w:w="80" w:type="dxa"/>
              <w:bottom w:w="80" w:type="dxa"/>
              <w:left w:w="100" w:type="dxa"/>
              <w:right w:w="100" w:type="dxa"/>
            </w:tcMar>
          </w:tcPr>
          <w:p>
            <w:pPr>
              <w:jc w:val="left"/>
            </w:pPr>
            <w:r>
              <w:rPr>
                <w:b/>
                <w:sz w:val="19"/>
              </w:rPr>
              <w:t>Standard Default Naive (q=0.99, p=3)</w:t>
            </w:r>
          </w:p>
        </w:tc>
        <w:tc>
          <w:tcPr>
            <w:tcW w:type="dxa" w:w="1872"/>
            <w:shd w:fill="FFFFFF"/>
            <w:tcMar>
              <w:top w:w="80" w:type="dxa"/>
              <w:bottom w:w="80" w:type="dxa"/>
              <w:left w:w="100" w:type="dxa"/>
              <w:right w:w="100" w:type="dxa"/>
            </w:tcMar>
          </w:tcPr>
          <w:p>
            <w:pPr>
              <w:jc w:val="right"/>
            </w:pPr>
            <w:r>
              <w:rPr>
                <w:sz w:val="19"/>
              </w:rPr>
              <w:t>36.8% (7/19)</w:t>
            </w:r>
          </w:p>
        </w:tc>
        <w:tc>
          <w:tcPr>
            <w:tcW w:type="dxa" w:w="1872"/>
            <w:shd w:fill="FFFFFF"/>
            <w:tcMar>
              <w:top w:w="80" w:type="dxa"/>
              <w:bottom w:w="80" w:type="dxa"/>
              <w:left w:w="100" w:type="dxa"/>
              <w:right w:w="100" w:type="dxa"/>
            </w:tcMar>
          </w:tcPr>
          <w:p>
            <w:pPr>
              <w:jc w:val="right"/>
            </w:pPr>
            <w:r>
              <w:rPr>
                <w:sz w:val="19"/>
              </w:rPr>
              <w:t>1.69 min</w:t>
            </w:r>
          </w:p>
        </w:tc>
        <w:tc>
          <w:tcPr>
            <w:tcW w:type="dxa" w:w="1872"/>
            <w:shd w:fill="FFFFFF"/>
            <w:tcMar>
              <w:top w:w="80" w:type="dxa"/>
              <w:bottom w:w="80" w:type="dxa"/>
              <w:left w:w="100" w:type="dxa"/>
              <w:right w:w="100" w:type="dxa"/>
            </w:tcMar>
          </w:tcPr>
          <w:p>
            <w:pPr>
              <w:jc w:val="right"/>
            </w:pPr>
            <w:r>
              <w:rPr>
                <w:sz w:val="19"/>
              </w:rPr>
              <w:t>0.00 / hr</w:t>
            </w:r>
          </w:p>
        </w:tc>
        <w:tc>
          <w:tcPr>
            <w:tcW w:type="dxa" w:w="1872"/>
            <w:shd w:fill="FFFFFF"/>
            <w:tcMar>
              <w:top w:w="80" w:type="dxa"/>
              <w:bottom w:w="80" w:type="dxa"/>
              <w:left w:w="100" w:type="dxa"/>
              <w:right w:w="100" w:type="dxa"/>
            </w:tcMar>
          </w:tcPr>
          <w:p>
            <w:pPr>
              <w:jc w:val="right"/>
            </w:pPr>
            <w:r>
              <w:rPr>
                <w:sz w:val="19"/>
              </w:rPr>
              <w:t>0 FA</w:t>
            </w:r>
          </w:p>
        </w:tc>
      </w:tr>
      <w:tr>
        <w:tc>
          <w:tcPr>
            <w:tcW w:type="dxa" w:w="1872"/>
            <w:shd w:fill="F9FBFD"/>
            <w:tcMar>
              <w:top w:w="80" w:type="dxa"/>
              <w:bottom w:w="80" w:type="dxa"/>
              <w:left w:w="100" w:type="dxa"/>
              <w:right w:w="100" w:type="dxa"/>
            </w:tcMar>
          </w:tcPr>
          <w:p>
            <w:pPr>
              <w:jc w:val="left"/>
            </w:pPr>
            <w:r>
              <w:rPr>
                <w:b/>
                <w:sz w:val="19"/>
              </w:rPr>
              <w:t>Unbiased LOEO-CV ARIMA (Out-of-Sample)</w:t>
            </w:r>
          </w:p>
        </w:tc>
        <w:tc>
          <w:tcPr>
            <w:tcW w:type="dxa" w:w="1872"/>
            <w:shd w:fill="F9FBFD"/>
            <w:tcMar>
              <w:top w:w="80" w:type="dxa"/>
              <w:bottom w:w="80" w:type="dxa"/>
              <w:left w:w="100" w:type="dxa"/>
              <w:right w:w="100" w:type="dxa"/>
            </w:tcMar>
          </w:tcPr>
          <w:p>
            <w:pPr>
              <w:jc w:val="right"/>
            </w:pPr>
            <w:r>
              <w:rPr>
                <w:sz w:val="19"/>
              </w:rPr>
              <w:t>42.1% (8/19)</w:t>
            </w:r>
          </w:p>
        </w:tc>
        <w:tc>
          <w:tcPr>
            <w:tcW w:type="dxa" w:w="1872"/>
            <w:shd w:fill="F9FBFD"/>
            <w:tcMar>
              <w:top w:w="80" w:type="dxa"/>
              <w:bottom w:w="80" w:type="dxa"/>
              <w:left w:w="100" w:type="dxa"/>
              <w:right w:w="100" w:type="dxa"/>
            </w:tcMar>
          </w:tcPr>
          <w:p>
            <w:pPr>
              <w:jc w:val="right"/>
            </w:pPr>
            <w:r>
              <w:rPr>
                <w:sz w:val="19"/>
              </w:rPr>
              <w:t>5.10 min</w:t>
            </w:r>
          </w:p>
        </w:tc>
        <w:tc>
          <w:tcPr>
            <w:tcW w:type="dxa" w:w="1872"/>
            <w:shd w:fill="F9FBFD"/>
            <w:tcMar>
              <w:top w:w="80" w:type="dxa"/>
              <w:bottom w:w="80" w:type="dxa"/>
              <w:left w:w="100" w:type="dxa"/>
              <w:right w:w="100" w:type="dxa"/>
            </w:tcMar>
          </w:tcPr>
          <w:p>
            <w:pPr>
              <w:jc w:val="right"/>
            </w:pPr>
            <w:r>
              <w:rPr>
                <w:sz w:val="19"/>
              </w:rPr>
              <w:t>4.31 / hr</w:t>
            </w:r>
          </w:p>
        </w:tc>
        <w:tc>
          <w:tcPr>
            <w:tcW w:type="dxa" w:w="1872"/>
            <w:shd w:fill="F9FBFD"/>
            <w:tcMar>
              <w:top w:w="80" w:type="dxa"/>
              <w:bottom w:w="80" w:type="dxa"/>
              <w:left w:w="100" w:type="dxa"/>
              <w:right w:w="100" w:type="dxa"/>
            </w:tcMar>
          </w:tcPr>
          <w:p>
            <w:pPr>
              <w:jc w:val="right"/>
            </w:pPr>
            <w:r>
              <w:rPr>
                <w:sz w:val="19"/>
              </w:rPr>
              <w:t>5 FA</w:t>
            </w:r>
          </w:p>
        </w:tc>
      </w:tr>
      <w:tr>
        <w:tc>
          <w:tcPr>
            <w:tcW w:type="dxa" w:w="1872"/>
            <w:shd w:fill="FFFFFF"/>
            <w:tcMar>
              <w:top w:w="80" w:type="dxa"/>
              <w:bottom w:w="80" w:type="dxa"/>
              <w:left w:w="100" w:type="dxa"/>
              <w:right w:w="100" w:type="dxa"/>
            </w:tcMar>
          </w:tcPr>
          <w:p>
            <w:pPr>
              <w:jc w:val="left"/>
            </w:pPr>
            <w:r>
              <w:rPr>
                <w:b/>
                <w:sz w:val="19"/>
              </w:rPr>
              <w:t>Unbiased LOEO-CV Naive (Out-of-Sample)</w:t>
            </w:r>
          </w:p>
        </w:tc>
        <w:tc>
          <w:tcPr>
            <w:tcW w:type="dxa" w:w="1872"/>
            <w:shd w:fill="FFFFFF"/>
            <w:tcMar>
              <w:top w:w="80" w:type="dxa"/>
              <w:bottom w:w="80" w:type="dxa"/>
              <w:left w:w="100" w:type="dxa"/>
              <w:right w:w="100" w:type="dxa"/>
            </w:tcMar>
          </w:tcPr>
          <w:p>
            <w:pPr>
              <w:jc w:val="right"/>
            </w:pPr>
            <w:r>
              <w:rPr>
                <w:sz w:val="19"/>
              </w:rPr>
              <w:t>36.8% (7/19)</w:t>
            </w:r>
          </w:p>
        </w:tc>
        <w:tc>
          <w:tcPr>
            <w:tcW w:type="dxa" w:w="1872"/>
            <w:shd w:fill="FFFFFF"/>
            <w:tcMar>
              <w:top w:w="80" w:type="dxa"/>
              <w:bottom w:w="80" w:type="dxa"/>
              <w:left w:w="100" w:type="dxa"/>
              <w:right w:w="100" w:type="dxa"/>
            </w:tcMar>
          </w:tcPr>
          <w:p>
            <w:pPr>
              <w:jc w:val="right"/>
            </w:pPr>
            <w:r>
              <w:rPr>
                <w:sz w:val="19"/>
              </w:rPr>
              <w:t>1.69 min</w:t>
            </w:r>
          </w:p>
        </w:tc>
        <w:tc>
          <w:tcPr>
            <w:tcW w:type="dxa" w:w="1872"/>
            <w:shd w:fill="FFFFFF"/>
            <w:tcMar>
              <w:top w:w="80" w:type="dxa"/>
              <w:bottom w:w="80" w:type="dxa"/>
              <w:left w:w="100" w:type="dxa"/>
              <w:right w:w="100" w:type="dxa"/>
            </w:tcMar>
          </w:tcPr>
          <w:p>
            <w:pPr>
              <w:jc w:val="right"/>
            </w:pPr>
            <w:r>
              <w:rPr>
                <w:sz w:val="19"/>
              </w:rPr>
              <w:t>3.44 / hr</w:t>
            </w:r>
          </w:p>
        </w:tc>
        <w:tc>
          <w:tcPr>
            <w:tcW w:type="dxa" w:w="1872"/>
            <w:shd w:fill="FFFFFF"/>
            <w:tcMar>
              <w:top w:w="80" w:type="dxa"/>
              <w:bottom w:w="80" w:type="dxa"/>
              <w:left w:w="100" w:type="dxa"/>
              <w:right w:w="100" w:type="dxa"/>
            </w:tcMar>
          </w:tcPr>
          <w:p>
            <w:pPr>
              <w:jc w:val="right"/>
            </w:pPr>
            <w:r>
              <w:rPr>
                <w:sz w:val="19"/>
              </w:rPr>
              <w:t>4 FA</w:t>
            </w:r>
          </w:p>
        </w:tc>
      </w:tr>
      <w:tr>
        <w:tc>
          <w:tcPr>
            <w:tcW w:type="dxa" w:w="1872"/>
            <w:shd w:fill="F9FBFD"/>
            <w:tcMar>
              <w:top w:w="80" w:type="dxa"/>
              <w:bottom w:w="80" w:type="dxa"/>
              <w:left w:w="100" w:type="dxa"/>
              <w:right w:w="100" w:type="dxa"/>
            </w:tcMar>
          </w:tcPr>
          <w:p>
            <w:pPr>
              <w:jc w:val="left"/>
            </w:pPr>
            <w:r>
              <w:rPr>
                <w:b/>
                <w:sz w:val="19"/>
              </w:rPr>
              <w:t>EWMA Filtered ARIMA (λ=0.3, q=0.975)</w:t>
            </w:r>
          </w:p>
        </w:tc>
        <w:tc>
          <w:tcPr>
            <w:tcW w:type="dxa" w:w="1872"/>
            <w:shd w:fill="F9FBFD"/>
            <w:tcMar>
              <w:top w:w="80" w:type="dxa"/>
              <w:bottom w:w="80" w:type="dxa"/>
              <w:left w:w="100" w:type="dxa"/>
              <w:right w:w="100" w:type="dxa"/>
            </w:tcMar>
          </w:tcPr>
          <w:p>
            <w:pPr>
              <w:jc w:val="right"/>
            </w:pPr>
            <w:r>
              <w:rPr>
                <w:sz w:val="19"/>
              </w:rPr>
              <w:t>57.9% (11/19)</w:t>
            </w:r>
          </w:p>
        </w:tc>
        <w:tc>
          <w:tcPr>
            <w:tcW w:type="dxa" w:w="1872"/>
            <w:shd w:fill="F9FBFD"/>
            <w:tcMar>
              <w:top w:w="80" w:type="dxa"/>
              <w:bottom w:w="80" w:type="dxa"/>
              <w:left w:w="100" w:type="dxa"/>
              <w:right w:w="100" w:type="dxa"/>
            </w:tcMar>
          </w:tcPr>
          <w:p>
            <w:pPr>
              <w:jc w:val="right"/>
            </w:pPr>
            <w:r>
              <w:rPr>
                <w:sz w:val="19"/>
              </w:rPr>
              <w:t>3.53 min</w:t>
            </w:r>
          </w:p>
        </w:tc>
        <w:tc>
          <w:tcPr>
            <w:tcW w:type="dxa" w:w="1872"/>
            <w:shd w:fill="F9FBFD"/>
            <w:tcMar>
              <w:top w:w="80" w:type="dxa"/>
              <w:bottom w:w="80" w:type="dxa"/>
              <w:left w:w="100" w:type="dxa"/>
              <w:right w:w="100" w:type="dxa"/>
            </w:tcMar>
          </w:tcPr>
          <w:p>
            <w:pPr>
              <w:jc w:val="right"/>
            </w:pPr>
            <w:r>
              <w:rPr>
                <w:sz w:val="19"/>
              </w:rPr>
              <w:t>1.72 / hr</w:t>
            </w:r>
          </w:p>
        </w:tc>
        <w:tc>
          <w:tcPr>
            <w:tcW w:type="dxa" w:w="1872"/>
            <w:shd w:fill="F9FBFD"/>
            <w:tcMar>
              <w:top w:w="80" w:type="dxa"/>
              <w:bottom w:w="80" w:type="dxa"/>
              <w:left w:w="100" w:type="dxa"/>
              <w:right w:w="100" w:type="dxa"/>
            </w:tcMar>
          </w:tcPr>
          <w:p>
            <w:pPr>
              <w:jc w:val="right"/>
            </w:pPr>
            <w:r>
              <w:rPr>
                <w:sz w:val="19"/>
              </w:rPr>
              <w:t>2 FA</w:t>
            </w:r>
          </w:p>
        </w:tc>
      </w:tr>
    </w:tbl>
    <w:p>
      <w:pPr>
        <w:spacing w:after="160"/>
      </w:pPr>
    </w:p>
    <w:p>
      <w:r>
        <w:drawing>
          <wp:inline xmlns:a="http://schemas.openxmlformats.org/drawingml/2006/main" xmlns:pic="http://schemas.openxmlformats.org/drawingml/2006/picture">
            <wp:extent cx="5303520" cy="3283131"/>
            <wp:docPr id="2" name="Picture 2"/>
            <wp:cNvGraphicFramePr>
              <a:graphicFrameLocks noChangeAspect="1"/>
            </wp:cNvGraphicFramePr>
            <a:graphic>
              <a:graphicData uri="http://schemas.openxmlformats.org/drawingml/2006/picture">
                <pic:pic>
                  <pic:nvPicPr>
                    <pic:cNvPr id="0" name="warning_optimization_pareto.png"/>
                    <pic:cNvPicPr/>
                  </pic:nvPicPr>
                  <pic:blipFill>
                    <a:blip r:embed="rId10"/>
                    <a:stretch>
                      <a:fillRect/>
                    </a:stretch>
                  </pic:blipFill>
                  <pic:spPr>
                    <a:xfrm>
                      <a:off x="0" y="0"/>
                      <a:ext cx="5303520" cy="3283131"/>
                    </a:xfrm>
                    <a:prstGeom prst="rect"/>
                  </pic:spPr>
                </pic:pic>
              </a:graphicData>
            </a:graphic>
          </wp:inline>
        </w:drawing>
      </w:r>
    </w:p>
    <w:p>
      <w:pPr>
        <w:jc w:val="center"/>
      </w:pPr>
      <w:r>
        <w:t>Figure 2: Verified Pareto Frontiers, Grid-Search Sensitivity, and Unbiased LOEO-CV Points across models.</w:t>
      </w:r>
    </w:p>
    <w:p>
      <w:pPr>
        <w:pStyle w:val="Heading1"/>
      </w:pPr>
      <w:r>
        <w:t>6. Operational Implications &amp; Conclusion</w:t>
      </w:r>
    </w:p>
    <w:p>
      <w:r>
        <w:t>This study demonstrates that statistical time-series forecasting models (ARIMA and SARIMAX) provide meaningful, statistically grounded early detection of spurious DHSV closure events on authentic offshore data. In unbiased cross-validation, ARIMA triples the advance reaction window (5.10 minutes vs. 1.69 minutes for Naive persistence) while capturing pressure dynamics with 47% lower forecasting error.</w:t>
      </w:r>
    </w:p>
    <w:p>
      <w:r>
        <w:t>Engineering Scope &amp; Qualified Findings: An advance warning of ~5 minutes provides offshore control operators a potential decision window to evaluate telemetry and consider manual choke adjustments. However, whether proactive choke manipulation can reliably mitigate water hammer surges or prevent valve damage remains an engineering hypothesis requiring dynamic multiphase transient simulations (e.g., OLGA) and physical flow loop validation prior to industrial SCADA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22222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36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