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2.png" ContentType="image/png"/>
  <Override PartName="/word/media/rId44.png" ContentType="image/png"/>
  <Override PartName="/word/media/rId41.png" ContentType="image/png"/>
  <Override PartName="/word/media/rId47.png" ContentType="image/png"/>
  <Override PartName="/word/media/rId59.png" ContentType="image/png"/>
  <Override PartName="/word/media/rId62.png" ContentType="image/png"/>
  <Override PartName="/word/media/rId36.png" ContentType="image/png"/>
  <Override PartName="/word/media/rId5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Análisis Numérico de Ecuaciones Diferenciales</w:t>
      </w:r>
    </w:p>
    <w:p>
      <w:pPr>
        <w:pStyle w:val="BodyText"/>
      </w:pPr>
      <w:r>
        <w:rPr>
          <w:bCs/>
          <w:b/>
        </w:rPr>
        <w:t xml:space="preserve">Redes Neuronales Informadas por la Física (PINNs):</w:t>
      </w:r>
    </w:p>
    <w:p>
      <w:pPr>
        <w:pStyle w:val="BodyText"/>
      </w:pPr>
      <w:r>
        <w:rPr>
          <w:iCs/>
          <w:i/>
        </w:rPr>
        <w:t xml:space="preserve">Ecuación de difusión 1D con coeficiente desconocido</w:t>
      </w:r>
    </w:p>
    <w:p>
      <w:pPr>
        <w:pStyle w:val="BodyText"/>
      </w:pPr>
      <w:r>
        <w:t xml:space="preserve">Basado en: Raissi, Perdikaris y Karniadakis (2019),</w:t>
      </w:r>
      <w:r>
        <w:br/>
      </w:r>
      <w:r>
        <w:rPr>
          <w:iCs/>
          <w:i/>
        </w:rPr>
        <w:t xml:space="preserve">J. Comput. Phys.</w:t>
      </w:r>
      <w:r>
        <w:t xml:space="preserve"> </w:t>
      </w:r>
      <w:r>
        <w:t xml:space="preserve">378:686–707</w:t>
      </w:r>
    </w:p>
    <w:bookmarkStart w:id="26" w:name="X4bc3c72991736c7014a263062d49856a967badf"/>
    <w:p>
      <w:pPr>
        <w:pStyle w:val="Heading1"/>
      </w:pPr>
      <w:r>
        <w:t xml:space="preserve">Introducción y Planteamiento del Problema</w:t>
      </w:r>
    </w:p>
    <w:p>
      <w:pPr>
        <w:pStyle w:val="FirstParagraph"/>
      </w:pPr>
      <w:r>
        <w:t xml:space="preserve">En numerosos fenómenos de transporte, la forma funcional de la EDP es conocida, pero</w:t>
      </w:r>
      <w:r>
        <w:t xml:space="preserve"> </w:t>
      </w:r>
      <w:r>
        <w:t xml:space="preserve">ciertos coeficientes constitutivos permanecen inaccesibles a medición directa. El</w:t>
      </w:r>
      <w:r>
        <w:t xml:space="preserve"> </w:t>
      </w:r>
      <w:r>
        <w:rPr>
          <w:bCs/>
          <w:b/>
        </w:rPr>
        <w:t xml:space="preserve">problema inverso de parámetros</w:t>
      </w:r>
      <w:r>
        <w:t xml:space="preserve"> </w:t>
      </w:r>
      <w:r>
        <w:t xml:space="preserve">consiste en inferirlos a partir de observaciones</w:t>
      </w:r>
      <w:r>
        <w:t xml:space="preserve"> </w:t>
      </w:r>
      <w:r>
        <w:t xml:space="preserve">dispersas y ruidosas del campo solución.</w:t>
      </w:r>
    </w:p>
    <w:p>
      <w:pPr>
        <w:pStyle w:val="BodyText"/>
      </w:pPr>
      <w:r>
        <w:t xml:space="preserve">Se estudia la</w:t>
      </w:r>
      <w:r>
        <w:t xml:space="preserve"> </w:t>
      </w:r>
      <w:r>
        <w:rPr>
          <w:bCs/>
          <w:b/>
        </w:rPr>
        <w:t xml:space="preserve">ecuación de difusión unidimensional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∈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 condición inicial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x</m:t>
            </m:r>
          </m:e>
        </m:d>
      </m:oMath>
      <w:r>
        <w:t xml:space="preserve"> </w:t>
      </w:r>
      <w:r>
        <w:t xml:space="preserve">y condiciones Dirichlet homogéneas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La solución analítica exacta es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t>x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parámetro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incógnita</w:t>
      </w:r>
      <w:r>
        <w:t xml:space="preserve">; el objetivo es recuperarlo a partir de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observaciones con 1 % de ruido gaussiano.</w:t>
      </w:r>
    </w:p>
    <w:p>
      <w:pPr>
        <w:pStyle w:val="CaptionedFigure"/>
      </w:pPr>
      <w:r>
        <w:drawing>
          <wp:inline>
            <wp:extent cx="3467100" cy="17041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a_01_condicion_inici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0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Condición inicial del problema: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x</m:t>
            </m:r>
          </m:e>
        </m:d>
      </m:oMath>
      <w:r>
        <w:t xml:space="preserve"> </w:t>
      </w:r>
      <w:r>
        <w:t xml:space="preserve">en el dominio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Esta función suave de amplitud unitaria es la referencia para todos los</w:t>
      </w:r>
      <w:r>
        <w:t xml:space="preserve"> </w:t>
      </w:r>
      <w:r>
        <w:t xml:space="preserve">experimentos presentados en este informe.</w:t>
      </w:r>
    </w:p>
    <w:p>
      <w:pPr>
        <w:pStyle w:val="CaptionedFigure"/>
      </w:pPr>
      <w:r>
        <w:drawing>
          <wp:inline>
            <wp:extent cx="3733800" cy="251934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a_02_observaciones_ruidosas_p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los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puntos de observación sintéticos en el</w:t>
      </w:r>
      <w:r>
        <w:t xml:space="preserve"> </w:t>
      </w:r>
      <w:r>
        <w:t xml:space="preserve">dominio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, coloreados por el valor 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observado. Las</w:t>
      </w:r>
      <w:r>
        <w:t xml:space="preserve"> </w:t>
      </w:r>
      <w:r>
        <w:t xml:space="preserve">observaciones se generaron evaluando la solución analítica </w:t>
      </w:r>
      <w:hyperlink w:anchor="eq:analitica">
        <w:r>
          <w:rPr>
            <w:rStyle w:val="Hyperlink"/>
          </w:rPr>
          <w:t xml:space="preserve">[eq:analitica]</w:t>
        </w:r>
      </w:hyperlink>
      <w:r>
        <w:t xml:space="preserve"> </w:t>
      </w:r>
      <w:r>
        <w:t xml:space="preserve">con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y añadiendo ruido gaussiano del 1 %.</w:t>
      </w:r>
    </w:p>
    <w:bookmarkEnd w:id="26"/>
    <w:bookmarkStart w:id="31" w:name="metodología"/>
    <w:p>
      <w:pPr>
        <w:pStyle w:val="Heading1"/>
      </w:pPr>
      <w:r>
        <w:t xml:space="preserve">Metodología</w:t>
      </w:r>
    </w:p>
    <w:bookmarkStart w:id="27" w:name="arquitectura-de-la-red"/>
    <w:p>
      <w:pPr>
        <w:pStyle w:val="Heading2"/>
      </w:pPr>
      <w:r>
        <w:t xml:space="preserve">Arquitectura de la red</w:t>
      </w:r>
    </w:p>
    <w:p>
      <w:pPr>
        <w:pStyle w:val="FirstParagraph"/>
      </w:pPr>
      <w:r>
        <w:t xml:space="preserve">Se implementó una PINN como subclase de</w:t>
      </w:r>
      <w:r>
        <w:t xml:space="preserve"> </w:t>
      </w:r>
      <w:r>
        <w:rPr>
          <w:rStyle w:val="VerbatimChar"/>
        </w:rPr>
        <w:t xml:space="preserve">tf.keras.Model</w:t>
      </w:r>
      <w:r>
        <w:t xml:space="preserve"> </w:t>
      </w:r>
      <w:r>
        <w:t xml:space="preserve">en TensorFlow 2.x:</w:t>
      </w:r>
      <w:r>
        <w:t xml:space="preserve"> </w:t>
      </w:r>
      <w:r>
        <w:t xml:space="preserve">3 capas ocultas de 40 neuronas, activación</w:t>
      </w:r>
      <w:r>
        <w:t xml:space="preserve"> </w:t>
      </w:r>
      <m:oMath>
        <m:r>
          <m:rPr>
            <m:sty m:val="p"/>
          </m:rPr>
          <m:t>tanh</m:t>
        </m:r>
      </m:oMath>
      <w:r>
        <w:t xml:space="preserve">, inicialización Glorot normal. El</w:t>
      </w:r>
      <w:r>
        <w:t xml:space="preserve"> </w:t>
      </w:r>
      <w:r>
        <w:t xml:space="preserve">coeficiente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se declara como</w:t>
      </w:r>
      <w:r>
        <w:t xml:space="preserve"> </w:t>
      </w:r>
      <w:r>
        <w:rPr>
          <w:rStyle w:val="VerbatimChar"/>
        </w:rPr>
        <w:t xml:space="preserve">tf.Variable</w:t>
      </w:r>
      <w:r>
        <w:t xml:space="preserve"> </w:t>
      </w:r>
      <w:r>
        <w:t xml:space="preserve">escalar con restricción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 inicializado 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7"/>
    <w:bookmarkStart w:id="28" w:name="función-de-pérdida"/>
    <w:p>
      <w:pPr>
        <w:pStyle w:val="Heading2"/>
      </w:pPr>
      <w:r>
        <w:t xml:space="preserve">Función de pérdida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bookmarkEnd w:id="28"/>
    <w:bookmarkStart w:id="29" w:name="diferenciación-automática"/>
    <w:p>
      <w:pPr>
        <w:pStyle w:val="Heading2"/>
      </w:pPr>
      <w:r>
        <w:t xml:space="preserve">Diferenciación automática</w:t>
      </w:r>
    </w:p>
    <w:p>
      <w:pPr>
        <w:pStyle w:val="FirstParagraph"/>
      </w:pPr>
      <w:r>
        <w:t xml:space="preserve">Se usaron tapes anidados (</w:t>
      </w:r>
      <w:r>
        <w:rPr>
          <w:rStyle w:val="VerbatimChar"/>
        </w:rPr>
        <w:t xml:space="preserve">tape1</w:t>
      </w:r>
      <w:r>
        <w:t xml:space="preserve"> </w:t>
      </w:r>
      <w:r>
        <w:t xml:space="preserve">interno y</w:t>
      </w:r>
      <w:r>
        <w:t xml:space="preserve"> </w:t>
      </w:r>
      <w:r>
        <w:rPr>
          <w:rStyle w:val="VerbatimChar"/>
        </w:rPr>
        <w:t xml:space="preserve">tape2</w:t>
      </w:r>
      <w:r>
        <w:t xml:space="preserve"> </w:t>
      </w:r>
      <w:r>
        <w:t xml:space="preserve">externo) para calcular</w:t>
      </w:r>
      <w:r>
        <w:t xml:space="preserve"> </w:t>
      </w:r>
      <w:r>
        <w:t xml:space="preserve">correctamente</w:t>
      </w:r>
      <w:r>
        <w:t xml:space="preserve"> </w:t>
      </w:r>
      <m:oMath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9"/>
    <w:bookmarkStart w:id="30" w:name="entrenamiento"/>
    <w:p>
      <w:pPr>
        <w:pStyle w:val="Heading2"/>
      </w:pPr>
      <w:r>
        <w:t xml:space="preserve">Entrenamiento</w:t>
      </w:r>
    </w:p>
    <w:p>
      <w:pPr>
        <w:pStyle w:val="FirstParagraph"/>
      </w:pPr>
      <w:r>
        <w:t xml:space="preserve">Adam,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8000 épocas.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se optimizan conjuntamente.</w:t>
      </w:r>
    </w:p>
    <w:bookmarkEnd w:id="30"/>
    <w:bookmarkEnd w:id="31"/>
    <w:bookmarkStart w:id="40" w:name="problema-directo"/>
    <w:p>
      <w:pPr>
        <w:pStyle w:val="Heading1"/>
      </w:pPr>
      <w:r>
        <w:t xml:space="preserve">Problema Directo</w:t>
      </w:r>
    </w:p>
    <w:bookmarkStart w:id="35" w:name="convergencia"/>
    <w:p>
      <w:pPr>
        <w:pStyle w:val="Heading2"/>
      </w:pPr>
      <w:r>
        <w:t xml:space="preserve">Convergencia</w:t>
      </w:r>
    </w:p>
    <w:p>
      <w:pPr>
        <w:pStyle w:val="FirstParagraph"/>
      </w:pPr>
      <w:r>
        <w:t xml:space="preserve">La Figura </w:t>
      </w:r>
      <w:hyperlink w:anchor="fig:conv_directo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muestra la evolución de las componentes de la función</w:t>
      </w:r>
      <w:r>
        <w:t xml:space="preserve"> </w:t>
      </w:r>
      <w:r>
        <w:t xml:space="preserve">de pérdida durante el entrenamiento del problema directo (con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conocido). Las</w:t>
      </w:r>
      <w:r>
        <w:t xml:space="preserve"> </w:t>
      </w:r>
      <w:r>
        <w:t xml:space="preserve">tres curvas descienden de forma consistente, lo que confirma la convergencia simultánea</w:t>
      </w:r>
      <w:r>
        <w:t xml:space="preserve"> </w:t>
      </w:r>
      <w:r>
        <w:t xml:space="preserve">del residuo PDE y de las condiciones de contorno e iniciales.</w:t>
      </w:r>
    </w:p>
    <w:p>
      <w:pPr>
        <w:pStyle w:val="CaptionedFigure"/>
      </w:pPr>
      <w:r>
        <w:drawing>
          <wp:inline>
            <wp:extent cx="4693920" cy="231725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a_03_convergencia_directo_p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1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de la función de pérdida durante el entrenamiento del problema</w:t>
      </w:r>
      <w:r>
        <w:t xml:space="preserve"> </w:t>
      </w:r>
      <w:r>
        <w:t xml:space="preserve">directo, descompuesta en pérdida total, residuo de la PDE y términos de</w:t>
      </w:r>
      <w:r>
        <w:t xml:space="preserve"> </w:t>
      </w:r>
      <w:r>
        <w:t xml:space="preserve">condición inicial y de contorno (IC+BC), representada en escala logarítmica.</w:t>
      </w:r>
    </w:p>
    <w:bookmarkEnd w:id="35"/>
    <w:bookmarkStart w:id="39" w:name="solución-reconstruida"/>
    <w:p>
      <w:pPr>
        <w:pStyle w:val="Heading2"/>
      </w:pPr>
      <w:r>
        <w:t xml:space="preserve">Solución reconstruida</w:t>
      </w:r>
    </w:p>
    <w:p>
      <w:pPr>
        <w:pStyle w:val="FirstParagraph"/>
      </w:pPr>
      <w:r>
        <w:t xml:space="preserve">La Figura </w:t>
      </w:r>
      <w:hyperlink w:anchor="fig:sol_direct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compara la solución analítica con la predicción del</w:t>
      </w:r>
      <w:r>
        <w:t xml:space="preserve"> </w:t>
      </w:r>
      <w:r>
        <w:t xml:space="preserve">PINN y muestra el mapa de error absoluto resultante. El error máximo se concentra en</w:t>
      </w:r>
      <w:r>
        <w:t xml:space="preserve"> </w:t>
      </w:r>
      <w:r>
        <w:t xml:space="preserve">la región de mayor gradiente temporal (</w:t>
      </w:r>
      <m:oMath>
        <m:r>
          <m:t>t</m:t>
        </m:r>
        <m:r>
          <m:rPr>
            <m:sty m:val="p"/>
          </m:rPr>
          <m:t>≈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0.5</m:t>
        </m:r>
      </m:oMath>
      <w:r>
        <w:t xml:space="preserve">), manteniéndose</w:t>
      </w:r>
      <w:r>
        <w:t xml:space="preserve"> </w:t>
      </w:r>
      <w:r>
        <w:t xml:space="preserve">dentro del orden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CaptionedFigure"/>
      </w:pPr>
      <w:r>
        <w:drawing>
          <wp:inline>
            <wp:extent cx="5067300" cy="133801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a_09_validacion_directo_pn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3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Validación del problema directo: solución analítica (izquierda), predicción</w:t>
      </w:r>
      <w:r>
        <w:t xml:space="preserve"> </w:t>
      </w:r>
      <w:r>
        <w:t xml:space="preserve">del PINN (centro) y mapa de error absoluto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e>
        </m:d>
      </m:oMath>
      <w:r>
        <w:t xml:space="preserve"> </w:t>
      </w:r>
      <w:r>
        <w:t xml:space="preserve">(derecha) en el dominio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39"/>
    <w:bookmarkEnd w:id="40"/>
    <w:bookmarkStart w:id="57" w:name="problema-inverso"/>
    <w:p>
      <w:pPr>
        <w:pStyle w:val="Heading1"/>
      </w:pPr>
      <w:r>
        <w:t xml:space="preserve">Problema Inverso</w:t>
      </w:r>
    </w:p>
    <w:bookmarkStart w:id="50" w:name="convergencia-del-parámetro"/>
    <w:p>
      <w:pPr>
        <w:pStyle w:val="Heading2"/>
      </w:pPr>
      <w:r>
        <w:t xml:space="preserve">Convergencia del parámetro</w:t>
      </w:r>
    </w:p>
    <w:p>
      <w:pPr>
        <w:pStyle w:val="FirstParagraph"/>
      </w:pPr>
      <w:r>
        <w:t xml:space="preserve">Las Figuras </w:t>
      </w:r>
      <w:hyperlink w:anchor="fig:conv_lambd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y </w:t>
      </w:r>
      <w:hyperlink w:anchor="fig:loss_inv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documentan la convergencia del</w:t>
      </w:r>
      <w:r>
        <w:t xml:space="preserve"> </w:t>
      </w:r>
      <w:r>
        <w:t xml:space="preserve">problema inverso. En particular, la Figura </w:t>
      </w:r>
      <w:hyperlink w:anchor="fig:conv_lambd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muestra que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parte de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y converge al valor real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en las primeras 500 épocas,</w:t>
      </w:r>
      <w:r>
        <w:t xml:space="preserve"> </w:t>
      </w:r>
      <w:r>
        <w:t xml:space="preserve">permaneciendo estable durante el resto del entrenamiento.</w:t>
      </w:r>
    </w:p>
    <w:p>
      <w:pPr>
        <w:pStyle w:val="CaptionedFigure"/>
      </w:pPr>
      <w:r>
        <w:drawing>
          <wp:inline>
            <wp:extent cx="4693920" cy="232560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a_05_evolucion_lambda_perdida_p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2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conjunta del parámetro estimado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(eje izquierdo, escala</w:t>
      </w:r>
      <w:r>
        <w:t xml:space="preserve"> </w:t>
      </w:r>
      <w:r>
        <w:t xml:space="preserve">lineal) y de la pérdida total (eje derecho, escala logarítmica) durante el</w:t>
      </w:r>
      <w:r>
        <w:t xml:space="preserve"> </w:t>
      </w:r>
      <w:r>
        <w:t xml:space="preserve">entrenamiento del problema inverso. La línea roja discontinua indica el valor</w:t>
      </w:r>
      <w:r>
        <w:t xml:space="preserve"> </w:t>
      </w:r>
      <w:r>
        <w:t xml:space="preserve">real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real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000500" cy="1980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a_04_evolucion_perdida_p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de la pérdida total durante el entrenamiento del problema inverso</w:t>
      </w:r>
      <w:r>
        <w:t xml:space="preserve"> </w:t>
      </w:r>
      <w:r>
        <w:t xml:space="preserve">en escala logarítmica. El descenso monótono general, interrumpido únicamente</w:t>
      </w:r>
      <w:r>
        <w:t xml:space="preserve"> </w:t>
      </w:r>
      <w:r>
        <w:t xml:space="preserve">por un transitorio en torno al paso 8, refleja la dinámica no convex del</w:t>
      </w:r>
      <w:r>
        <w:t xml:space="preserve"> </w:t>
      </w:r>
      <w:r>
        <w:t xml:space="preserve">paisaje de optimización.</w:t>
      </w:r>
    </w:p>
    <w:p>
      <w:pPr>
        <w:pStyle w:val="BodyText"/>
      </w:pPr>
      <w:r>
        <w:t xml:space="preserve">La Figura </w:t>
      </w:r>
      <w:hyperlink w:anchor="fig:evol_lambda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complementa la anterior mostrando exclusivamente la</w:t>
      </w:r>
      <w:r>
        <w:t xml:space="preserve"> </w:t>
      </w:r>
      <w:r>
        <w:t xml:space="preserve">trayectoria de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en escala lineal, lo que permite apreciar la precisión de la</w:t>
      </w:r>
      <w:r>
        <w:t xml:space="preserve"> </w:t>
      </w:r>
      <w:r>
        <w:t xml:space="preserve">estimación final.</w:t>
      </w:r>
    </w:p>
    <w:p>
      <w:pPr>
        <w:pStyle w:val="CaptionedFigure"/>
      </w:pPr>
      <w:r>
        <w:drawing>
          <wp:inline>
            <wp:extent cx="4000500" cy="1980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a_06_evolucion_lambda_png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Convergencia del parámetro estimado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hacia el valor real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 lo largo del entrenamiento del problema inverso. El estimador</w:t>
      </w:r>
      <w:r>
        <w:t xml:space="preserve"> </w:t>
      </w:r>
      <w:r>
        <w:t xml:space="preserve">alcanza y mantiene una proximidad inferior al 0.2 % a partir de las</w:t>
      </w:r>
      <w:r>
        <w:t xml:space="preserve"> </w:t>
      </w:r>
      <w:r>
        <w:t xml:space="preserve">primeras 1000 épocas.</w:t>
      </w:r>
    </w:p>
    <w:bookmarkEnd w:id="50"/>
    <w:bookmarkStart w:id="52" w:name="resultado-final"/>
    <w:p>
      <w:pPr>
        <w:pStyle w:val="Heading2"/>
      </w:pPr>
      <w:r>
        <w:t xml:space="preserve">Resultado final</w:t>
      </w:r>
    </w:p>
    <w:bookmarkStart w:id="51" w:name="tab:resultado"/>
    <w:p>
      <w:pPr>
        <w:pStyle w:val="TableCaption"/>
      </w:pPr>
      <w:r>
        <w:t xml:space="preserve">Resultado del problema inverso.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sultado del problema inverso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Magnitud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real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0.10000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estimado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relativo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0.17 %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sub>
                  </m:sSub>
                  <m:r>
                    <m:rPr>
                      <m:sty m:val="p"/>
                      <m:scr m:val="script"/>
                    </m:rPr>
                    <m:t>L</m:t>
                  </m:r>
                </m:e>
              </m:d>
            </m:oMath>
            <w:r>
              <w:t xml:space="preserve"> </w:t>
            </w:r>
            <w:r>
              <w:t xml:space="preserve">final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</w:tbl>
    <w:bookmarkEnd w:id="51"/>
    <w:bookmarkEnd w:id="52"/>
    <w:bookmarkStart w:id="56" w:name="reconstrucción-del-campo"/>
    <w:p>
      <w:pPr>
        <w:pStyle w:val="Heading2"/>
      </w:pPr>
      <w:r>
        <w:t xml:space="preserve">Reconstrucción del campo</w:t>
      </w:r>
    </w:p>
    <w:p>
      <w:pPr>
        <w:pStyle w:val="FirstParagraph"/>
      </w:pPr>
      <w:r>
        <w:t xml:space="preserve">La Figura </w:t>
      </w:r>
      <w:hyperlink w:anchor="fig:sol_inverso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muestra que el campo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reconstruido con el</w:t>
      </w:r>
      <w:r>
        <w:t xml:space="preserve"> </w:t>
      </w:r>
      <w:r>
        <w:t xml:space="preserve">parámetro inferido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0.10017</m:t>
        </m:r>
      </m:oMath>
      <w:r>
        <w:t xml:space="preserve"> </w:t>
      </w:r>
      <w:r>
        <w:t xml:space="preserve">es prácticamente indistinguible de la solución</w:t>
      </w:r>
      <w:r>
        <w:t xml:space="preserve"> </w:t>
      </w:r>
      <w:r>
        <w:t xml:space="preserve">analítica, con un error absoluto máximo inferior a</w:t>
      </w:r>
      <w:r>
        <w:t xml:space="preserve"> </w:t>
      </w:r>
      <m:oMath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CaptionedFigure"/>
      </w:pPr>
      <w:r>
        <w:drawing>
          <wp:inline>
            <wp:extent cx="5067300" cy="133710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a_10_validacion_inverso_p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3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Validación del problema inverso: predicción del PINN con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0.10017</m:t>
        </m:r>
      </m:oMath>
      <w:r>
        <w:t xml:space="preserve"> </w:t>
      </w:r>
      <w:r>
        <w:t xml:space="preserve">(izquierda), solución analítica correspondiente (centro) y</w:t>
      </w:r>
      <w:r>
        <w:t xml:space="preserve"> </w:t>
      </w:r>
      <w:r>
        <w:t xml:space="preserve">mapa de error absoluto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e>
        </m:d>
      </m:oMath>
      <w:r>
        <w:t xml:space="preserve"> </w:t>
      </w:r>
      <w:r>
        <w:t xml:space="preserve">(derecha)</w:t>
      </w:r>
      <w:r>
        <w:t xml:space="preserve"> </w:t>
      </w:r>
      <w:r>
        <w:t xml:space="preserve">en el dominio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56"/>
    <w:bookmarkEnd w:id="57"/>
    <w:bookmarkStart w:id="72" w:name="validación"/>
    <w:p>
      <w:pPr>
        <w:pStyle w:val="Heading1"/>
      </w:pPr>
      <w:r>
        <w:t xml:space="preserve">Validación</w:t>
      </w:r>
    </w:p>
    <w:bookmarkStart w:id="65" w:name="X49841900408107a30aad168dbc0f0ab7bb2911f"/>
    <w:p>
      <w:pPr>
        <w:pStyle w:val="Heading2"/>
      </w:pPr>
      <w:r>
        <w:t xml:space="preserve">Comparación con diferencias finitas (Crank-Nicolson)</w:t>
      </w:r>
    </w:p>
    <w:bookmarkStart w:id="58" w:name="tab:cn"/>
    <w:p>
      <w:pPr>
        <w:pStyle w:val="TableCaption"/>
      </w:pPr>
      <w:r>
        <w:t xml:space="preserve">Errores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relativos de la validación contra Crank-Nicolson.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rrores L^2 relativos de la validación contra Crank-Nicolson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Problema Directo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Problema Inverso (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r>
                <m:t>0.10017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 vs. analítica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6.711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6.737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 vs. analítica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1.470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1.565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 vs. PINN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7.453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7.250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</w:tbl>
    <w:bookmarkEnd w:id="58"/>
    <w:p>
      <w:pPr>
        <w:pStyle w:val="BodyText"/>
      </w:pPr>
      <w:r>
        <w:t xml:space="preserve">Las Figuras </w:t>
      </w:r>
      <w:hyperlink w:anchor="fig:cn_directo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y </w:t>
      </w:r>
      <w:hyperlink w:anchor="fig:cn_inverso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presentan cortes temporales</w:t>
      </w:r>
      <w:r>
        <w:t xml:space="preserve"> </w:t>
      </w:r>
      <w:r>
        <w:t xml:space="preserve">que permiten una inspección visual directa del acuerdo entre los tres métodos. En ambos</w:t>
      </w:r>
      <w:r>
        <w:t xml:space="preserve"> </w:t>
      </w:r>
      <w:r>
        <w:t xml:space="preserve">casos, las curvas de la solución analítica, Crank-Nicolson y PINN son prácticamente</w:t>
      </w:r>
      <w:r>
        <w:t xml:space="preserve"> </w:t>
      </w:r>
      <w:r>
        <w:t xml:space="preserve">superponibles en toda la ventana temporal.</w:t>
      </w:r>
    </w:p>
    <w:p>
      <w:pPr>
        <w:pStyle w:val="CaptionedFigure"/>
      </w:pPr>
      <w:r>
        <w:drawing>
          <wp:inline>
            <wp:extent cx="5067300" cy="115878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a_07_cortes_temporales_directo_pn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5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Comparación de cortes temporales en el problema directo para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 </m:t>
        </m:r>
        <m:r>
          <m:t>0.25</m:t>
        </m:r>
        <m:r>
          <m:rPr>
            <m:sty m:val="p"/>
          </m:rPr>
          <m:t>,</m:t>
        </m:r>
        <m:r>
          <m:t> </m:t>
        </m:r>
        <m:r>
          <m:t>0.5</m:t>
        </m:r>
        <m:r>
          <m:rPr>
            <m:sty m:val="p"/>
          </m:rPr>
          <m:t>,</m:t>
        </m:r>
        <m:r>
          <m:t> </m:t>
        </m:r>
        <m:r>
          <m:t>0.75</m:t>
        </m:r>
        <m:r>
          <m:rPr>
            <m:sty m:val="p"/>
          </m:rPr>
          <m:t>,</m:t>
        </m:r>
        <m:r>
          <m:t> </m:t>
        </m:r>
        <m:r>
          <m:t>1.0</m:t>
        </m:r>
        <m:r>
          <m:rPr>
            <m:sty m:val="p"/>
          </m:rPr>
          <m:t>}</m:t>
        </m:r>
      </m:oMath>
      <w:r>
        <w:t xml:space="preserve">: solución analítica (negro sólido),</w:t>
      </w:r>
      <w:r>
        <w:t xml:space="preserve"> </w:t>
      </w:r>
      <w:r>
        <w:t xml:space="preserve">Crank-Nicolson (azul discontinuo) y PINN (rojo punteado). Las tres curvas</w:t>
      </w:r>
      <w:r>
        <w:t xml:space="preserve"> </w:t>
      </w:r>
      <w:r>
        <w:t xml:space="preserve">son visualmente indistinguibles en todos los instantes considerados.</w:t>
      </w:r>
    </w:p>
    <w:p>
      <w:pPr>
        <w:pStyle w:val="CaptionedFigure"/>
      </w:pPr>
      <w:r>
        <w:drawing>
          <wp:inline>
            <wp:extent cx="5067300" cy="115878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gura_08_cortes_temporales_inverso_p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5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Comparación de cortes temporales en el problema inverso para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 </m:t>
        </m:r>
        <m:r>
          <m:t>0.25</m:t>
        </m:r>
        <m:r>
          <m:rPr>
            <m:sty m:val="p"/>
          </m:rPr>
          <m:t>,</m:t>
        </m:r>
        <m:r>
          <m:t> </m:t>
        </m:r>
        <m:r>
          <m:t>0.5</m:t>
        </m:r>
        <m:r>
          <m:rPr>
            <m:sty m:val="p"/>
          </m:rPr>
          <m:t>,</m:t>
        </m:r>
        <m:r>
          <m:t> </m:t>
        </m:r>
        <m:r>
          <m:t>0.75</m:t>
        </m:r>
        <m:r>
          <m:rPr>
            <m:sty m:val="p"/>
          </m:rPr>
          <m:t>,</m:t>
        </m:r>
        <m:r>
          <m:t> </m:t>
        </m:r>
        <m:r>
          <m:t>1.0</m:t>
        </m:r>
        <m:r>
          <m:rPr>
            <m:sty m:val="p"/>
          </m:rPr>
          <m:t>}</m:t>
        </m:r>
      </m:oMath>
      <w:r>
        <w:t xml:space="preserve">: solución analítica (negro sólido),</w:t>
      </w:r>
      <w:r>
        <w:t xml:space="preserve"> </w:t>
      </w:r>
      <w:r>
        <w:t xml:space="preserve">Crank-Nicolson (azul discontinuo) y PINN inverso con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0.10017</m:t>
        </m:r>
      </m:oMath>
      <w:r>
        <w:t xml:space="preserve"> </w:t>
      </w:r>
      <w:r>
        <w:t xml:space="preserve">(rojo punteado).</w:t>
      </w:r>
    </w:p>
    <w:bookmarkEnd w:id="65"/>
    <w:bookmarkStart w:id="70" w:name="estudio-de-sensibilidad"/>
    <w:p>
      <w:pPr>
        <w:pStyle w:val="Heading2"/>
      </w:pPr>
      <w:r>
        <w:t xml:space="preserve">Estudio de sensibilidad</w:t>
      </w:r>
    </w:p>
    <w:bookmarkStart w:id="66" w:name="tab:sensibilidad"/>
    <w:p>
      <w:pPr>
        <w:pStyle w:val="TableCaption"/>
      </w:pPr>
      <w:r>
        <w:t xml:space="preserve">Error relativo en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(%) — media sobre tres semillas (rango entre paréntesis).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rror relativo en \hat{\lambda} (%) — media sobre tres semillas (rango entre paréntesis)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Ruido 0 %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Ruido 1 %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0.18 % (0.03–0.26)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0.35 % (0.11–0.52)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0.23 % (0.17–0.29)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0.12 % (0.07–0.21)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0.21 % (0.10–0.29)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0.65 % (0.53–0.80)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0.19 % (0.14–0.28)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0.26 % (0.07–0.65)</w:t>
            </w:r>
          </w:p>
        </w:tc>
      </w:tr>
    </w:tbl>
    <w:bookmarkEnd w:id="66"/>
    <w:p>
      <w:pPr>
        <w:pStyle w:val="CaptionedFigure"/>
      </w:pPr>
      <w:r>
        <w:drawing>
          <wp:inline>
            <wp:extent cx="5067300" cy="202456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gura_11_sensibilidad_nd_ruido_png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Estudio de sensibilidad del problema inverso: error relativo en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(panel izquierdo) y error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relativo del campo reconstruido (panel</w:t>
      </w:r>
      <w:r>
        <w:t xml:space="preserve"> </w:t>
      </w:r>
      <w:r>
        <w:t xml:space="preserve">derecho) en función del número de observaciones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, para dos niveles</w:t>
      </w:r>
      <w:r>
        <w:t xml:space="preserve"> </w:t>
      </w:r>
      <w:r>
        <w:t xml:space="preserve">de ruido (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%</m:t>
        </m:r>
        <m:r>
          <m:rPr>
            <m:sty m:val="p"/>
          </m:rPr>
          <m:t>}</m:t>
        </m:r>
      </m:oMath>
      <w:r>
        <w:t xml:space="preserve">). La línea gris discontinua marca el</w:t>
      </w:r>
      <w:r>
        <w:t xml:space="preserve"> </w:t>
      </w:r>
      <w:r>
        <w:t xml:space="preserve">umbral de referencia del 1 %. En todos los escenarios evaluados, ambas</w:t>
      </w:r>
      <w:r>
        <w:t xml:space="preserve"> </w:t>
      </w:r>
      <w:r>
        <w:t xml:space="preserve">métricas se mantienen por debajo de dicho umbral.</w:t>
      </w:r>
    </w:p>
    <w:bookmarkEnd w:id="70"/>
    <w:bookmarkStart w:id="71" w:name="validación-de-plausibilidad-física"/>
    <w:p>
      <w:pPr>
        <w:pStyle w:val="Heading2"/>
      </w:pPr>
      <w:r>
        <w:t xml:space="preserve">Validación de plausibilidad física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Positividad: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←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d>
      </m:oMath>
      <w:r>
        <w:t xml:space="preserve"> </w:t>
      </w:r>
      <w:r>
        <w:t xml:space="preserve">tras cada paso.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Consistencia del campo:</w:t>
      </w:r>
      <w:r>
        <w:t xml:space="preserve"> </w:t>
      </w:r>
      <w:r>
        <w:t xml:space="preserve">reproduce el decaimiento exponencial analítico.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Diagnóstico de gradiente: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</m:sub>
            </m:sSub>
            <m:r>
              <m:rPr>
                <m:sty m:val="p"/>
                <m:scr m:val="script"/>
              </m:rPr>
              <m:t>L</m:t>
            </m:r>
          </m:e>
        </m:d>
      </m:oMath>
      <w:r>
        <w:t xml:space="preserve"> </w:t>
      </w:r>
      <w:r>
        <w:t xml:space="preserve">consistente durante todo el entrenamiento.</w:t>
      </w:r>
    </w:p>
    <w:bookmarkEnd w:id="71"/>
    <w:bookmarkEnd w:id="72"/>
    <w:bookmarkStart w:id="77" w:name="discusión-y-limitaciones"/>
    <w:p>
      <w:pPr>
        <w:pStyle w:val="Heading1"/>
      </w:pPr>
      <w:r>
        <w:t xml:space="preserve">Discusión y Limitaciones</w:t>
      </w:r>
    </w:p>
    <w:bookmarkStart w:id="73" w:name="paisaje-de-optimización-no-convexo."/>
    <w:p>
      <w:pPr>
        <w:pStyle w:val="Heading3"/>
      </w:pPr>
      <w:r>
        <w:t xml:space="preserve">Paisaje de optimización no convexo.</w:t>
      </w:r>
    </w:p>
    <w:p>
      <w:pPr>
        <w:pStyle w:val="FirstParagraph"/>
      </w:pPr>
      <w:r>
        <w:t xml:space="preserve">Se detectó un mínimo local espurio (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, ruido 0 %, error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no reproducido en corridas posteriores, lo que motiva el uso de múltiples inicializaciones.</w:t>
      </w:r>
    </w:p>
    <w:bookmarkEnd w:id="73"/>
    <w:bookmarkStart w:id="74" w:name="ausencia-de-tendencia-monótona-con-n_d."/>
    <w:p>
      <w:pPr>
        <w:pStyle w:val="Heading3"/>
      </w:pPr>
      <w:r>
        <w:t xml:space="preserve">Ausencia de tendencia monótona con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El error en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oscila entre 0.18 % y 0.23 % para ruido nulo, indicando que el</w:t>
      </w:r>
      <w:r>
        <w:t xml:space="preserve"> </w:t>
      </w:r>
      <w:r>
        <w:t xml:space="preserve">cuello de botella es el optimizador, no la cantidad de datos.</w:t>
      </w:r>
    </w:p>
    <w:bookmarkEnd w:id="74"/>
    <w:bookmarkStart w:id="75" w:name="variabilidad-con-ruido."/>
    <w:p>
      <w:pPr>
        <w:pStyle w:val="Heading3"/>
      </w:pPr>
      <w:r>
        <w:t xml:space="preserve">Variabilidad con ruido.</w:t>
      </w:r>
    </w:p>
    <w:p>
      <w:pPr>
        <w:pStyle w:val="FirstParagraph"/>
      </w:pPr>
      <w:r>
        <w:t xml:space="preserve">Con ruido del 1 %, la variabilidad inter-semilla aumenta, especialmente en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.</w:t>
      </w:r>
    </w:p>
    <w:bookmarkEnd w:id="75"/>
    <w:bookmarkStart w:id="76" w:name="extensión-a-fokker-planck."/>
    <w:p>
      <w:pPr>
        <w:pStyle w:val="Heading3"/>
      </w:pPr>
      <w:r>
        <w:t xml:space="preserve">Extensión a Fokker-Planck.</w:t>
      </w:r>
    </w:p>
    <w:p>
      <w:pPr>
        <w:pStyle w:val="FirstParagraph"/>
      </w:pPr>
      <w:r>
        <w:t xml:space="preserve">Extensión natural: inferir deriva y difusión conjuntamente siguiendo Chen et al. (2021).</w:t>
      </w:r>
    </w:p>
    <w:bookmarkEnd w:id="76"/>
    <w:bookmarkEnd w:id="77"/>
    <w:bookmarkStart w:id="78" w:name="conclusiones"/>
    <w:p>
      <w:pPr>
        <w:pStyle w:val="Heading1"/>
      </w:pPr>
      <w:r>
        <w:t xml:space="preserve">Conclusiones</w:t>
      </w:r>
    </w:p>
    <w:p>
      <w:pPr>
        <w:numPr>
          <w:ilvl w:val="0"/>
          <w:numId w:val="1002"/>
        </w:numPr>
      </w:pPr>
      <m:oMath>
        <m:r>
          <m:t>λ</m:t>
        </m:r>
      </m:oMath>
      <w:r>
        <w:t xml:space="preserve"> </w:t>
      </w:r>
      <w:r>
        <w:t xml:space="preserve">recuperado con error relativo</w:t>
      </w:r>
      <w:r>
        <w:t xml:space="preserve"> </w:t>
      </w:r>
      <w:r>
        <w:rPr>
          <w:bCs/>
          <w:b/>
        </w:rPr>
        <w:t xml:space="preserve">0.17 %</w:t>
      </w:r>
      <w:r>
        <w:t xml:space="preserve"> </w:t>
      </w:r>
      <w:r>
        <w:t xml:space="preserve">(umbral: 1 %).</w:t>
      </w:r>
    </w:p>
    <w:p>
      <w:pPr>
        <w:numPr>
          <w:ilvl w:val="0"/>
          <w:numId w:val="1002"/>
        </w:numPr>
      </w:pPr>
      <w:r>
        <w:t xml:space="preserve">Error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del campo:</w:t>
      </w:r>
      <w:r>
        <w:t xml:space="preserve"> </w:t>
      </w:r>
      <m:oMath>
        <m:r>
          <m:t>1.57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(objetivo: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02"/>
        </w:numPr>
      </w:pPr>
      <w:r>
        <w:t xml:space="preserve">PINN supera a Crank-Nicolson (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99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) en precisión.</w:t>
      </w:r>
    </w:p>
    <w:p>
      <w:pPr>
        <w:numPr>
          <w:ilvl w:val="0"/>
          <w:numId w:val="1002"/>
        </w:numPr>
      </w:pPr>
      <w:r>
        <w:t xml:space="preserve">Robusto para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y ruido hasta 1 % — 24/24 configuraciones bajo umbral.</w:t>
      </w:r>
    </w:p>
    <w:p>
      <w:pPr>
        <w:pStyle w:val="FirstParagraph"/>
      </w:pPr>
      <w:r>
        <w:t xml:space="preserve">9</w:t>
      </w:r>
      <w:r>
        <w:t xml:space="preserve"> </w:t>
      </w:r>
      <w:r>
        <w:t xml:space="preserve">Raissi, M., Perdikaris, P., &amp; Karniadakis, G. E. (2019).</w:t>
      </w:r>
      <w:r>
        <w:t xml:space="preserve"> </w:t>
      </w:r>
      <w:r>
        <w:t xml:space="preserve">Physics-informed neural networks.</w:t>
      </w:r>
      <w:r>
        <w:t xml:space="preserve"> </w:t>
      </w:r>
      <w:r>
        <w:rPr>
          <w:iCs/>
          <w:i/>
        </w:rPr>
        <w:t xml:space="preserve">J. Comput. Phys.</w:t>
      </w:r>
      <w:r>
        <w:t xml:space="preserve">, 378, 686–707.</w:t>
      </w:r>
      <w:r>
        <w:t xml:space="preserve"> </w:t>
      </w:r>
      <w:r>
        <w:t xml:space="preserve">Karniadakis, G. E. et al. (2021). Physics-informed machine learning.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, 3, 422–440.</w:t>
      </w:r>
      <w:r>
        <w:t xml:space="preserve"> </w:t>
      </w:r>
      <w:r>
        <w:t xml:space="preserve">Chen, X. et al. (2021). Solving inverse stochastic problems via</w:t>
      </w:r>
      <w:r>
        <w:t xml:space="preserve"> </w:t>
      </w:r>
      <w:r>
        <w:t xml:space="preserve">Fokker-Planck and PINNs.</w:t>
      </w:r>
      <w:r>
        <w:t xml:space="preserve"> </w:t>
      </w:r>
      <w:r>
        <w:rPr>
          <w:iCs/>
          <w:i/>
        </w:rPr>
        <w:t xml:space="preserve">SIAM J. Sci. Comput.</w:t>
      </w:r>
      <w:r>
        <w:t xml:space="preserve"> </w:t>
      </w:r>
      <w:r>
        <w:t xml:space="preserve">Krishnapriyan, A. S. et al. (2021). Failure modes in PINNs.</w:t>
      </w:r>
      <w:r>
        <w:t xml:space="preserve"> </w:t>
      </w:r>
      <w:r>
        <w:rPr>
          <w:iCs/>
          <w:i/>
        </w:rPr>
        <w:t xml:space="preserve">NeurIPS</w:t>
      </w:r>
      <w:r>
        <w:t xml:space="preserve">, 34.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36" Target="media/rId36.png" /><Relationship Type="http://schemas.openxmlformats.org/officeDocument/2006/relationships/image" Id="rId53" Target="media/rId5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2026-06-15T21:43:41Z</dcterms:created>
  <dcterms:modified xsi:type="dcterms:W3CDTF">2026-06-15T21:43:41Z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