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166"/>
            <w:shd w:fill="0B1220"/>
            <w:tcMar>
              <w:top w:w="520" w:type="dxa"/>
              <w:start w:w="420" w:type="dxa"/>
              <w:bottom w:w="520" w:type="dxa"/>
              <w:end w:w="420" w:type="dxa"/>
            </w:tcMar>
          </w:tcPr>
          <w:p>
            <w:pPr>
              <w:keepNext w:val="0"/>
              <w:spacing w:before="0" w:after="140" w:line="259" w:lineRule="auto"/>
            </w:pPr>
            <w:r>
              <w:rPr>
                <w:rFonts w:ascii="Arial" w:hAnsi="Arial"/>
                <w:b/>
                <w:color w:val="FFFFFF"/>
                <w:sz w:val="60"/>
              </w:rPr>
              <w:t>GPT-5.6 SOL HIGH</w:t>
            </w:r>
          </w:p>
          <w:p>
            <w:pPr>
              <w:keepNext w:val="0"/>
              <w:spacing w:before="0" w:after="480" w:line="259" w:lineRule="auto"/>
            </w:pPr>
            <w:r>
              <w:rPr>
                <w:rFonts w:ascii="Arial" w:hAnsi="Arial"/>
                <w:color w:val="BFDBFE"/>
                <w:sz w:val="30"/>
              </w:rPr>
              <w:t>Architecture, Compliance &amp; Efficiency Prompt Guide</w:t>
            </w:r>
          </w:p>
          <w:p>
            <w:r>
              <w:rPr>
                <w:rFonts w:ascii="Arial" w:hAnsi="Arial"/>
                <w:b/>
                <w:color w:val="7DD3FC"/>
                <w:sz w:val="20"/>
              </w:rPr>
              <w:t>PHASE 1</w:t>
            </w:r>
          </w:p>
          <w:p>
            <w:pPr>
              <w:keepNext w:val="0"/>
              <w:spacing w:before="0" w:after="500" w:line="259" w:lineRule="auto"/>
            </w:pPr>
            <w:r>
              <w:rPr>
                <w:rFonts w:ascii="Arial" w:hAnsi="Arial"/>
                <w:b/>
                <w:color w:val="FFFFFF"/>
                <w:sz w:val="34"/>
              </w:rPr>
              <w:t>SOURCE LOCK &amp; CLAIM REGISTER</w:t>
            </w:r>
          </w:p>
          <w:p>
            <w:r>
              <w:rPr>
                <w:rFonts w:ascii="Arial" w:hAnsi="Arial"/>
                <w:color w:val="D1D5DB"/>
                <w:sz w:val="21"/>
              </w:rPr>
              <w:t>Official OpenAI sources • Session capability verification • Cybersecurity evidence boundaries</w:t>
            </w:r>
          </w:p>
        </w:tc>
      </w:tr>
      <w:tr>
        <w:tc>
          <w:tcPr>
            <w:tcW w:type="dxa" w:w="10166"/>
            <w:shd w:fill="F3F7FF"/>
            <w:tcMar>
              <w:top w:w="210" w:type="dxa"/>
              <w:start w:w="350" w:type="dxa"/>
              <w:bottom w:w="210" w:type="dxa"/>
              <w:end w:w="350" w:type="dxa"/>
            </w:tcMar>
          </w:tcPr>
          <w:p>
            <w:pPr>
              <w:jc w:val="center"/>
            </w:pPr>
            <w:r>
              <w:rPr>
                <w:rFonts w:ascii="Arial" w:hAnsi="Arial"/>
                <w:b/>
                <w:color w:val="0B1220"/>
                <w:sz w:val="22"/>
              </w:rPr>
              <w:t>Locked on July 26, 2026</w:t>
            </w:r>
          </w:p>
          <w:p>
            <w:pPr>
              <w:jc w:val="center"/>
            </w:pPr>
            <w:r>
              <w:rPr>
                <w:rFonts w:ascii="Arial" w:hAnsi="Arial"/>
                <w:color w:val="4B5563"/>
                <w:sz w:val="17"/>
              </w:rPr>
              <w:t>Independent guide development record — not an official OpenAI publication</w:t>
            </w:r>
          </w:p>
        </w:tc>
      </w:tr>
    </w:tbl>
    <w:p>
      <w:pPr>
        <w:keepNext w:val="0"/>
        <w:spacing w:before="240" w:after="0" w:line="259" w:lineRule="auto"/>
      </w:pPr>
      <w:r>
        <w:rPr>
          <w:rFonts w:ascii="Arial" w:hAnsi="Arial"/>
          <w:b/>
          <w:color w:val="2563EB"/>
          <w:sz w:val="18"/>
        </w:rPr>
        <w:t>Purpose</w:t>
      </w:r>
    </w:p>
    <w:p>
      <w:pPr>
        <w:keepNext w:val="0"/>
        <w:spacing w:before="0" w:after="0" w:line="274" w:lineRule="auto"/>
      </w:pPr>
      <w:r>
        <w:rPr>
          <w:rFonts w:ascii="Arial" w:hAnsi="Arial"/>
          <w:color w:val="374151"/>
          <w:sz w:val="22"/>
        </w:rPr>
        <w:t>Establish a defensible source base before any prompt library, architecture recommendation, capability matrix, or cybersecurity instruction is authored.</w:t>
      </w:r>
    </w:p>
    <w:p>
      <w:r>
        <w:br w:type="page"/>
      </w:r>
    </w:p>
    <w:p>
      <w:pPr>
        <w:keepNext/>
        <w:spacing w:before="160" w:after="100" w:line="259" w:lineRule="auto"/>
      </w:pPr>
      <w:r>
        <w:rPr>
          <w:rFonts w:ascii="Arial" w:hAnsi="Arial"/>
          <w:b/>
          <w:color w:val="2563EB"/>
          <w:sz w:val="20"/>
        </w:rPr>
        <w:t xml:space="preserve">01  </w:t>
      </w:r>
      <w:r>
        <w:rPr>
          <w:rFonts w:ascii="Arial" w:hAnsi="Arial"/>
          <w:b/>
          <w:color w:val="0B1220"/>
          <w:sz w:val="38"/>
        </w:rPr>
        <w:t>Executive source lock</w:t>
      </w:r>
    </w:p>
    <w:p>
      <w:pPr>
        <w:keepNext w:val="0"/>
        <w:spacing w:before="0" w:after="200" w:line="259" w:lineRule="auto"/>
      </w:pPr>
      <w:r>
        <w:rPr>
          <w:rFonts w:ascii="Arial" w:hAnsi="Arial"/>
          <w:color w:val="4B5563"/>
          <w:sz w:val="21"/>
        </w:rPr>
        <w:t>What is approved, what is conditional, and what cannot be claimed.</w:t>
      </w:r>
    </w:p>
    <w:tbl>
      <w:tblPr>
        <w:tblW w:type="auto" w:w="0"/>
        <w:jc w:val="center"/>
        <w:tblLayout w:type="fixed"/>
        <w:tblLook w:firstColumn="1" w:firstRow="1" w:lastColumn="0" w:lastRow="0" w:noHBand="0" w:noVBand="1" w:val="04A0"/>
      </w:tblPr>
      <w:tblGrid>
        <w:gridCol w:w="230"/>
        <w:gridCol w:w="9432"/>
      </w:tblGrid>
      <w:tr>
        <w:tc>
          <w:tcPr>
            <w:tcW w:type="dxa" w:w="5083"/>
            <w:shd w:fill="15803D"/>
            <w:tcMar>
              <w:top w:w="0" w:type="dxa"/>
              <w:start w:w="0" w:type="dxa"/>
              <w:bottom w:w="0" w:type="dxa"/>
              <w:end w:w="0" w:type="dxa"/>
            </w:tcMar>
          </w:tcPr>
          <w:p/>
        </w:tc>
        <w:tc>
          <w:tcPr>
            <w:tcW w:type="dxa" w:w="5083"/>
            <w:shd w:fill="ECFDF3"/>
            <w:tcMar>
              <w:top w:w="150" w:type="dxa"/>
              <w:start w:w="190" w:type="dxa"/>
              <w:bottom w:w="150" w:type="dxa"/>
              <w:end w:w="190" w:type="dxa"/>
            </w:tcMar>
          </w:tcPr>
          <w:p>
            <w:pPr>
              <w:keepNext w:val="0"/>
              <w:spacing w:before="0" w:after="60" w:line="259" w:lineRule="auto"/>
            </w:pPr>
            <w:r>
              <w:rPr>
                <w:rFonts w:ascii="Arial" w:hAnsi="Arial"/>
                <w:b/>
                <w:color w:val="15803D"/>
                <w:sz w:val="18"/>
              </w:rPr>
              <w:t>PHASE 1 STATUS: LOCKED</w:t>
            </w:r>
          </w:p>
          <w:p>
            <w:pPr>
              <w:keepNext w:val="0"/>
              <w:spacing w:before="0" w:after="0" w:line="276" w:lineRule="auto"/>
            </w:pPr>
            <w:r>
              <w:rPr>
                <w:rFonts w:ascii="Arial" w:hAnsi="Arial"/>
                <w:color w:val="111827"/>
                <w:sz w:val="20"/>
              </w:rPr>
              <w:t>The primary OpenAI source base is sufficient to begin prompt architecture. Product facts, API controls, Skills, plugins, apps, cyber safeguards, and governing usage boundaries are now separated and traceable.</w:t>
            </w:r>
          </w:p>
        </w:tc>
      </w:tr>
    </w:tbl>
    <w:p>
      <w:pPr>
        <w:spacing w:after="0"/>
      </w:pPr>
    </w:p>
    <w:p>
      <w:pPr>
        <w:keepNext/>
        <w:spacing w:before="120" w:after="80" w:line="259" w:lineRule="auto"/>
      </w:pPr>
      <w:r>
        <w:rPr>
          <w:rFonts w:ascii="Arial" w:hAnsi="Arial"/>
          <w:b/>
          <w:color w:val="0B1220"/>
          <w:sz w:val="25"/>
        </w:rPr>
        <w:t>Approved operating decisions</w:t>
      </w:r>
    </w:p>
    <w:p>
      <w:pPr>
        <w:pStyle w:val="ListBullet"/>
        <w:keepNext w:val="0"/>
        <w:spacing w:before="0" w:after="60" w:line="264" w:lineRule="auto"/>
      </w:pPr>
      <w:r>
        <w:rPr>
          <w:rFonts w:ascii="Arial" w:hAnsi="Arial"/>
          <w:color w:val="374151"/>
          <w:sz w:val="20"/>
        </w:rPr>
        <w:t>Use the official styling “GPT-5.6 Sol,” not “GPT-5.6 SOL,” in technical prose.</w:t>
      </w:r>
    </w:p>
    <w:p>
      <w:pPr>
        <w:pStyle w:val="ListBullet"/>
        <w:keepNext w:val="0"/>
        <w:spacing w:before="0" w:after="60" w:line="264" w:lineRule="auto"/>
      </w:pPr>
      <w:r>
        <w:rPr>
          <w:rFonts w:ascii="Arial" w:hAnsi="Arial"/>
          <w:color w:val="374151"/>
          <w:sz w:val="20"/>
        </w:rPr>
        <w:t>The cover may use “GPT-5.6 Sol High” as a practical field-guide label, but the technical legend must explain that High is a reasoning selection, not a different base model.</w:t>
      </w:r>
    </w:p>
    <w:p>
      <w:pPr>
        <w:pStyle w:val="ListBullet"/>
        <w:keepNext w:val="0"/>
        <w:spacing w:before="0" w:after="60" w:line="264" w:lineRule="auto"/>
      </w:pPr>
      <w:r>
        <w:rPr>
          <w:rFonts w:ascii="Arial" w:hAnsi="Arial"/>
          <w:color w:val="374151"/>
          <w:sz w:val="20"/>
        </w:rPr>
        <w:t>Separate ChatGPT, ChatGPT Work, Codex, and API controls. Similar labels do not always expose identical settings or tools.</w:t>
      </w:r>
    </w:p>
    <w:p>
      <w:pPr>
        <w:pStyle w:val="ListBullet"/>
        <w:keepNext w:val="0"/>
        <w:spacing w:before="0" w:after="60" w:line="264" w:lineRule="auto"/>
      </w:pPr>
      <w:r>
        <w:rPr>
          <w:rFonts w:ascii="Arial" w:hAnsi="Arial"/>
          <w:color w:val="374151"/>
          <w:sz w:val="20"/>
        </w:rPr>
        <w:t>Treat Skills, plugins, apps, and session tools as separate architectural layers. Availability, installation, authentication, and authorization are independent.</w:t>
      </w:r>
    </w:p>
    <w:p>
      <w:pPr>
        <w:pStyle w:val="ListBullet"/>
        <w:keepNext w:val="0"/>
        <w:spacing w:before="0" w:after="60" w:line="264" w:lineRule="auto"/>
      </w:pPr>
      <w:r>
        <w:rPr>
          <w:rFonts w:ascii="Arial" w:hAnsi="Arial"/>
          <w:color w:val="374151"/>
          <w:sz w:val="20"/>
        </w:rPr>
        <w:t>Base prompt guidance on outcome, context, constraints, approval boundaries, evidence, success criteria, and output format — not decorative role-play or repeated instructions.</w:t>
      </w:r>
    </w:p>
    <w:p>
      <w:pPr>
        <w:pStyle w:val="ListBullet"/>
        <w:keepNext w:val="0"/>
        <w:spacing w:before="0" w:after="60" w:line="264" w:lineRule="auto"/>
      </w:pPr>
      <w:r>
        <w:rPr>
          <w:rFonts w:ascii="Arial" w:hAnsi="Arial"/>
          <w:color w:val="374151"/>
          <w:sz w:val="20"/>
        </w:rPr>
        <w:t>Make the cyber section defensive and authorization-centered. Trusted Access can reduce friction for verified defenders but does not remove safeguards, policy obligations, or scope limits.</w:t>
      </w:r>
    </w:p>
    <w:p>
      <w:pPr>
        <w:keepNext/>
        <w:spacing w:before="120" w:after="80" w:line="259" w:lineRule="auto"/>
      </w:pPr>
      <w:r>
        <w:rPr>
          <w:rFonts w:ascii="Arial" w:hAnsi="Arial"/>
          <w:b/>
          <w:color w:val="0B1220"/>
          <w:sz w:val="25"/>
        </w:rPr>
        <w:t>Evidence classification used throughout the guide</w:t>
      </w:r>
    </w:p>
    <w:tbl>
      <w:tblPr>
        <w:tblW w:type="auto" w:w="0"/>
        <w:jc w:val="center"/>
        <w:tblLayout w:type="fixed"/>
        <w:tblLook w:firstColumn="1" w:firstRow="1" w:lastColumn="0" w:lastRow="0" w:noHBand="0" w:noVBand="1" w:val="04A0"/>
      </w:tblPr>
      <w:tblGrid>
        <w:gridCol w:w="1656"/>
        <w:gridCol w:w="3816"/>
        <w:gridCol w:w="4176"/>
      </w:tblGrid>
      <w:tr>
        <w:trPr>
          <w:tblHeader w:val="true"/>
        </w:trPr>
        <w:tc>
          <w:tcPr>
            <w:tcW w:type="dxa" w:w="3389"/>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Status</w:t>
            </w:r>
          </w:p>
        </w:tc>
        <w:tc>
          <w:tcPr>
            <w:tcW w:type="dxa" w:w="3389"/>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Meaning</w:t>
            </w:r>
          </w:p>
        </w:tc>
        <w:tc>
          <w:tcPr>
            <w:tcW w:type="dxa" w:w="3389"/>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Publication rule</w:t>
            </w:r>
          </w:p>
        </w:tc>
      </w:tr>
      <w:tr>
        <w:tc>
          <w:tcPr>
            <w:tcW w:type="dxa" w:w="16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7"/>
              </w:rPr>
              <w:t>LOCKED</w:t>
            </w:r>
          </w:p>
        </w:tc>
        <w:tc>
          <w:tcPr>
            <w:tcW w:type="dxa" w:w="381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Current official OpenAI documentation directly supports the claim.</w:t>
            </w:r>
          </w:p>
        </w:tc>
        <w:tc>
          <w:tcPr>
            <w:tcW w:type="dxa" w:w="417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May be stated as fact with a dated source.</w:t>
            </w:r>
          </w:p>
        </w:tc>
      </w:tr>
      <w:tr>
        <w:tc>
          <w:tcPr>
            <w:tcW w:type="dxa" w:w="16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B45309"/>
                <w:sz w:val="17"/>
              </w:rPr>
              <w:t>CONDITIONAL</w:t>
            </w:r>
          </w:p>
        </w:tc>
        <w:tc>
          <w:tcPr>
            <w:tcW w:type="dxa" w:w="381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True only for a plan, product surface, workspace configuration, access program, or permission state.</w:t>
            </w:r>
          </w:p>
        </w:tc>
        <w:tc>
          <w:tcPr>
            <w:tcW w:type="dxa" w:w="417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State the condition next to the claim.</w:t>
            </w:r>
          </w:p>
        </w:tc>
      </w:tr>
      <w:tr>
        <w:tc>
          <w:tcPr>
            <w:tcW w:type="dxa" w:w="16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7"/>
              </w:rPr>
              <w:t>SESSION VERIFIED</w:t>
            </w:r>
          </w:p>
        </w:tc>
        <w:tc>
          <w:tcPr>
            <w:tcW w:type="dxa" w:w="381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The capability interface was confirmed in the present ChatGPT session.</w:t>
            </w:r>
          </w:p>
        </w:tc>
        <w:tc>
          <w:tcPr>
            <w:tcW w:type="dxa" w:w="417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Do not generalize it to every user or workspace.</w:t>
            </w:r>
          </w:p>
        </w:tc>
      </w:tr>
      <w:tr>
        <w:tc>
          <w:tcPr>
            <w:tcW w:type="dxa" w:w="16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7"/>
              </w:rPr>
              <w:t>REFRAME</w:t>
            </w:r>
          </w:p>
        </w:tc>
        <w:tc>
          <w:tcPr>
            <w:tcW w:type="dxa" w:w="381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The user goal is valid, but the proposed wording overstates or confuses the architecture.</w:t>
            </w:r>
          </w:p>
        </w:tc>
        <w:tc>
          <w:tcPr>
            <w:tcW w:type="dxa" w:w="417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Rewrite the claim before publication.</w:t>
            </w:r>
          </w:p>
        </w:tc>
      </w:tr>
      <w:tr>
        <w:tc>
          <w:tcPr>
            <w:tcW w:type="dxa" w:w="16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B91C1C"/>
                <w:sz w:val="17"/>
              </w:rPr>
              <w:t>EXCLUDED</w:t>
            </w:r>
          </w:p>
        </w:tc>
        <w:tc>
          <w:tcPr>
            <w:tcW w:type="dxa" w:w="381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Unsupported, false, obsolete, or unverifiable.</w:t>
            </w:r>
          </w:p>
        </w:tc>
        <w:tc>
          <w:tcPr>
            <w:tcW w:type="dxa" w:w="417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7"/>
              </w:rPr>
              <w:t>Do not publish as a fact.</w:t>
            </w:r>
          </w:p>
        </w:tc>
      </w:tr>
    </w:tbl>
    <w:p>
      <w:pPr>
        <w:spacing w:after="20"/>
      </w:pPr>
    </w:p>
    <w:p>
      <w:pPr>
        <w:keepNext/>
        <w:spacing w:before="160" w:after="100" w:line="259" w:lineRule="auto"/>
      </w:pPr>
      <w:r>
        <w:rPr>
          <w:rFonts w:ascii="Arial" w:hAnsi="Arial"/>
          <w:b/>
          <w:color w:val="2563EB"/>
          <w:sz w:val="20"/>
        </w:rPr>
        <w:t xml:space="preserve">02  </w:t>
      </w:r>
      <w:r>
        <w:rPr>
          <w:rFonts w:ascii="Arial" w:hAnsi="Arial"/>
          <w:b/>
          <w:color w:val="0B1220"/>
          <w:sz w:val="38"/>
        </w:rPr>
        <w:t>Naming and product-surface controls</w:t>
      </w:r>
    </w:p>
    <w:p>
      <w:pPr>
        <w:keepNext w:val="0"/>
        <w:spacing w:before="0" w:after="200" w:line="259" w:lineRule="auto"/>
      </w:pPr>
      <w:r>
        <w:rPr>
          <w:rFonts w:ascii="Arial" w:hAnsi="Arial"/>
          <w:color w:val="4B5563"/>
          <w:sz w:val="21"/>
        </w:rPr>
        <w:t>The guide will prevent model, reasoning, product, and workspace layers from being conflated.</w:t>
      </w:r>
    </w:p>
    <w:tbl>
      <w:tblPr>
        <w:tblW w:type="auto" w:w="0"/>
        <w:jc w:val="center"/>
        <w:tblLayout w:type="fixed"/>
        <w:tblLook w:firstColumn="1" w:firstRow="1" w:lastColumn="0" w:lastRow="0" w:noHBand="0" w:noVBand="1" w:val="04A0"/>
      </w:tblPr>
      <w:tblGrid>
        <w:gridCol w:w="1512"/>
        <w:gridCol w:w="4392"/>
        <w:gridCol w:w="2232"/>
        <w:gridCol w:w="1512"/>
      </w:tblGrid>
      <w:tr>
        <w:trPr>
          <w:tblHeader w:val="true"/>
        </w:trPr>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Term</w:t>
            </w:r>
          </w:p>
        </w:tc>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Locked definition</w:t>
            </w:r>
          </w:p>
        </w:tc>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Layer</w:t>
            </w:r>
          </w:p>
        </w:tc>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Evidence</w:t>
            </w:r>
          </w:p>
        </w:tc>
      </w:tr>
      <w:tr>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GPT-5.6 Sol</w:t>
            </w:r>
          </w:p>
        </w:tc>
        <w:tc>
          <w:tcPr>
            <w:tcW w:type="dxa" w:w="439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Flagship member of the GPT-5.6 family.</w:t>
            </w:r>
          </w:p>
        </w:tc>
        <w:tc>
          <w:tcPr>
            <w:tcW w:type="dxa" w:w="223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Model family / API model</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[S01][S02][S03]</w:t>
            </w:r>
          </w:p>
        </w:tc>
      </w:tr>
      <w:tr>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High</w:t>
            </w:r>
          </w:p>
        </w:tc>
        <w:tc>
          <w:tcPr>
            <w:tcW w:type="dxa" w:w="439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Extended reasoning selection in standard ChatGPT conversations; in the API, `reasoning.effort: high`.</w:t>
            </w:r>
          </w:p>
        </w:tc>
        <w:tc>
          <w:tcPr>
            <w:tcW w:type="dxa" w:w="223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Reasoning level</w:t>
            </w:r>
          </w:p>
        </w:tc>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[S01][S04]</w:t>
            </w:r>
          </w:p>
        </w:tc>
      </w:tr>
      <w:tr>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Extra High</w:t>
            </w:r>
          </w:p>
        </w:tc>
        <w:tc>
          <w:tcPr>
            <w:tcW w:type="dxa" w:w="439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Highest GPT-5.6 Sol reasoning option described for eligible standard ChatGPT plans.</w:t>
            </w:r>
          </w:p>
        </w:tc>
        <w:tc>
          <w:tcPr>
            <w:tcW w:type="dxa" w:w="223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ChatGPT UI option</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[S04]</w:t>
            </w:r>
          </w:p>
        </w:tc>
      </w:tr>
      <w:tr>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max</w:t>
            </w:r>
          </w:p>
        </w:tc>
        <w:tc>
          <w:tcPr>
            <w:tcW w:type="dxa" w:w="439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API reasoning effort for the hardest quality-first workloads; also exposed on some Work/Codex surfaces.</w:t>
            </w:r>
          </w:p>
        </w:tc>
        <w:tc>
          <w:tcPr>
            <w:tcW w:type="dxa" w:w="223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API / selected product surfaces</w:t>
            </w:r>
          </w:p>
        </w:tc>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[S01][S02][S05]</w:t>
            </w:r>
          </w:p>
        </w:tc>
      </w:tr>
      <w:tr>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Pro</w:t>
            </w:r>
          </w:p>
        </w:tc>
        <w:tc>
          <w:tcPr>
            <w:tcW w:type="dxa" w:w="439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Highest-capability ChatGPT option for difficult work; in the API, Pro is an execution mode using the selected GPT-5.6 model and effort.</w:t>
            </w:r>
          </w:p>
        </w:tc>
        <w:tc>
          <w:tcPr>
            <w:tcW w:type="dxa" w:w="223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ChatGPT option / API mode</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[S01][S04]</w:t>
            </w:r>
          </w:p>
        </w:tc>
      </w:tr>
      <w:tr>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ultra</w:t>
            </w:r>
          </w:p>
        </w:tc>
        <w:tc>
          <w:tcPr>
            <w:tcW w:type="dxa" w:w="439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 multi-agent capability described for selected Work and Codex plans, not a synonym for High.</w:t>
            </w:r>
          </w:p>
        </w:tc>
        <w:tc>
          <w:tcPr>
            <w:tcW w:type="dxa" w:w="223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Selected product surfaces</w:t>
            </w:r>
          </w:p>
        </w:tc>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[S05]</w:t>
            </w:r>
          </w:p>
        </w:tc>
      </w:tr>
      <w:tr>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Skill</w:t>
            </w:r>
          </w:p>
        </w:tc>
        <w:tc>
          <w:tcPr>
            <w:tcW w:type="dxa" w:w="439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Reusable workflow instructions and optional examples, supporting resources, or code.</w:t>
            </w:r>
          </w:p>
        </w:tc>
        <w:tc>
          <w:tcPr>
            <w:tcW w:type="dxa" w:w="223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Workflow layer</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[S07]</w:t>
            </w:r>
          </w:p>
        </w:tc>
      </w:tr>
      <w:tr>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Plugin</w:t>
            </w:r>
          </w:p>
        </w:tc>
        <w:tc>
          <w:tcPr>
            <w:tcW w:type="dxa" w:w="439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Packaged workflow capability that may include Skills, apps, and app templates.</w:t>
            </w:r>
          </w:p>
        </w:tc>
        <w:tc>
          <w:tcPr>
            <w:tcW w:type="dxa" w:w="223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Packaging / distribution layer</w:t>
            </w:r>
          </w:p>
        </w:tc>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[S08]</w:t>
            </w:r>
          </w:p>
        </w:tc>
      </w:tr>
      <w:tr>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App</w:t>
            </w:r>
          </w:p>
        </w:tc>
        <w:tc>
          <w:tcPr>
            <w:tcW w:type="dxa" w:w="439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Integration that connects ChatGPT or Codex to external information or actions.</w:t>
            </w:r>
          </w:p>
        </w:tc>
        <w:tc>
          <w:tcPr>
            <w:tcW w:type="dxa" w:w="223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Connected-system layer</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[S09]</w:t>
            </w:r>
          </w:p>
        </w:tc>
      </w:tr>
    </w:tbl>
    <w:p>
      <w:pPr>
        <w:spacing w:after="20"/>
      </w:pPr>
    </w:p>
    <w:tbl>
      <w:tblPr>
        <w:tblW w:type="auto" w:w="0"/>
        <w:jc w:val="center"/>
        <w:tblLayout w:type="fixed"/>
        <w:tblLook w:firstColumn="1" w:firstRow="1" w:lastColumn="0" w:lastRow="0" w:noHBand="0" w:noVBand="1" w:val="04A0"/>
      </w:tblPr>
      <w:tblGrid>
        <w:gridCol w:w="230"/>
        <w:gridCol w:w="9432"/>
      </w:tblGrid>
      <w:tr>
        <w:tc>
          <w:tcPr>
            <w:tcW w:type="dxa" w:w="5083"/>
            <w:shd w:fill="B45309"/>
            <w:tcMar>
              <w:top w:w="0" w:type="dxa"/>
              <w:start w:w="0" w:type="dxa"/>
              <w:bottom w:w="0" w:type="dxa"/>
              <w:end w:w="0" w:type="dxa"/>
            </w:tcMar>
          </w:tcPr>
          <w:p/>
        </w:tc>
        <w:tc>
          <w:tcPr>
            <w:tcW w:type="dxa" w:w="5083"/>
            <w:shd w:fill="FFF7E6"/>
            <w:tcMar>
              <w:top w:w="150" w:type="dxa"/>
              <w:start w:w="190" w:type="dxa"/>
              <w:bottom w:w="150" w:type="dxa"/>
              <w:end w:w="190" w:type="dxa"/>
            </w:tcMar>
          </w:tcPr>
          <w:p>
            <w:pPr>
              <w:keepNext w:val="0"/>
              <w:spacing w:before="0" w:after="60" w:line="259" w:lineRule="auto"/>
            </w:pPr>
            <w:r>
              <w:rPr>
                <w:rFonts w:ascii="Arial" w:hAnsi="Arial"/>
                <w:b/>
                <w:color w:val="B45309"/>
                <w:sz w:val="18"/>
              </w:rPr>
              <w:t>EDITORIAL RULE</w:t>
            </w:r>
          </w:p>
          <w:p>
            <w:pPr>
              <w:keepNext w:val="0"/>
              <w:spacing w:before="0" w:after="0" w:line="276" w:lineRule="auto"/>
            </w:pPr>
            <w:r>
              <w:rPr>
                <w:rFonts w:ascii="Arial" w:hAnsi="Arial"/>
                <w:color w:val="111827"/>
                <w:sz w:val="20"/>
              </w:rPr>
              <w:t>Every prompt card will identify whether it is designed for ChatGPT, ChatGPT Work, Codex, the Responses API, or more than one surface. API parameter names will never be presented as universal ChatGPT controls.</w:t>
            </w:r>
          </w:p>
        </w:tc>
      </w:tr>
    </w:tbl>
    <w:p>
      <w:pPr>
        <w:spacing w:after="0"/>
      </w:pPr>
    </w:p>
    <w:p>
      <w:pPr>
        <w:keepNext/>
        <w:spacing w:before="160" w:after="100" w:line="259" w:lineRule="auto"/>
      </w:pPr>
      <w:r>
        <w:rPr>
          <w:rFonts w:ascii="Arial" w:hAnsi="Arial"/>
          <w:b/>
          <w:color w:val="2563EB"/>
          <w:sz w:val="20"/>
        </w:rPr>
        <w:t xml:space="preserve">03  </w:t>
      </w:r>
      <w:r>
        <w:rPr>
          <w:rFonts w:ascii="Arial" w:hAnsi="Arial"/>
          <w:b/>
          <w:color w:val="0B1220"/>
          <w:sz w:val="38"/>
        </w:rPr>
        <w:t>Source hierarchy</w:t>
      </w:r>
    </w:p>
    <w:p>
      <w:pPr>
        <w:keepNext w:val="0"/>
        <w:spacing w:before="0" w:after="200" w:line="259" w:lineRule="auto"/>
      </w:pPr>
      <w:r>
        <w:rPr>
          <w:rFonts w:ascii="Arial" w:hAnsi="Arial"/>
          <w:color w:val="4B5563"/>
          <w:sz w:val="21"/>
        </w:rPr>
        <w:t>Which evidence wins when pages, product labels, or capabilities change.</w:t>
      </w:r>
    </w:p>
    <w:tbl>
      <w:tblPr>
        <w:tblW w:type="auto" w:w="0"/>
        <w:jc w:val="center"/>
        <w:tblLayout w:type="fixed"/>
        <w:tblLook w:firstColumn="1" w:firstRow="1" w:lastColumn="0" w:lastRow="0" w:noHBand="0" w:noVBand="1" w:val="04A0"/>
      </w:tblPr>
      <w:tblGrid>
        <w:gridCol w:w="864"/>
        <w:gridCol w:w="2664"/>
        <w:gridCol w:w="4824"/>
        <w:gridCol w:w="1440"/>
      </w:tblGrid>
      <w:tr>
        <w:trPr>
          <w:tblHeader w:val="true"/>
        </w:trPr>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Priority</w:t>
            </w:r>
          </w:p>
        </w:tc>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Source class</w:t>
            </w:r>
          </w:p>
        </w:tc>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Use</w:t>
            </w:r>
          </w:p>
        </w:tc>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Authority</w:t>
            </w:r>
          </w:p>
        </w:tc>
      </w:tr>
      <w:tr>
        <w:tc>
          <w:tcPr>
            <w:tcW w:type="dxa" w:w="86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1</w:t>
            </w:r>
          </w:p>
        </w:tc>
        <w:tc>
          <w:tcPr>
            <w:tcW w:type="dxa" w:w="266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Current model documentation</w:t>
            </w:r>
          </w:p>
        </w:tc>
        <w:tc>
          <w:tcPr>
            <w:tcW w:type="dxa" w:w="482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Model IDs, effort levels, context, output, tools, pricing, API behavior</w:t>
            </w:r>
          </w:p>
        </w:tc>
        <w:tc>
          <w:tcPr>
            <w:tcW w:type="dxa" w:w="144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Highest for API configuration</w:t>
            </w:r>
          </w:p>
        </w:tc>
      </w:tr>
      <w:tr>
        <w:tc>
          <w:tcPr>
            <w:tcW w:type="dxa" w:w="86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2</w:t>
            </w:r>
          </w:p>
        </w:tc>
        <w:tc>
          <w:tcPr>
            <w:tcW w:type="dxa" w:w="266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Current system card</w:t>
            </w:r>
          </w:p>
        </w:tc>
        <w:tc>
          <w:tcPr>
            <w:tcW w:type="dxa" w:w="482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Safety findings, capability assessments, cyber evaluations, prompt-injection and autonomy risks</w:t>
            </w:r>
          </w:p>
        </w:tc>
        <w:tc>
          <w:tcPr>
            <w:tcW w:type="dxa" w:w="144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Highest for safety and capability evidence</w:t>
            </w:r>
          </w:p>
        </w:tc>
      </w:tr>
      <w:tr>
        <w:tc>
          <w:tcPr>
            <w:tcW w:type="dxa" w:w="86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3</w:t>
            </w:r>
          </w:p>
        </w:tc>
        <w:tc>
          <w:tcPr>
            <w:tcW w:type="dxa" w:w="266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Current Help Center</w:t>
            </w:r>
          </w:p>
        </w:tc>
        <w:tc>
          <w:tcPr>
            <w:tcW w:type="dxa" w:w="482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ChatGPT plans, UI labels, Skills, plugins, apps, admin behavior</w:t>
            </w:r>
          </w:p>
        </w:tc>
        <w:tc>
          <w:tcPr>
            <w:tcW w:type="dxa" w:w="144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Highest for product-surface behavior</w:t>
            </w:r>
          </w:p>
        </w:tc>
      </w:tr>
      <w:tr>
        <w:tc>
          <w:tcPr>
            <w:tcW w:type="dxa" w:w="86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4</w:t>
            </w:r>
          </w:p>
        </w:tc>
        <w:tc>
          <w:tcPr>
            <w:tcW w:type="dxa" w:w="266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Current policy and terms</w:t>
            </w:r>
          </w:p>
        </w:tc>
        <w:tc>
          <w:tcPr>
            <w:tcW w:type="dxa" w:w="482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Permitted use, prohibited use, verification duties, human review</w:t>
            </w:r>
          </w:p>
        </w:tc>
        <w:tc>
          <w:tcPr>
            <w:tcW w:type="dxa" w:w="144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Governing boundary</w:t>
            </w:r>
          </w:p>
        </w:tc>
      </w:tr>
      <w:tr>
        <w:tc>
          <w:tcPr>
            <w:tcW w:type="dxa" w:w="86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5</w:t>
            </w:r>
          </w:p>
        </w:tc>
        <w:tc>
          <w:tcPr>
            <w:tcW w:type="dxa" w:w="266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Session capability inspection</w:t>
            </w:r>
          </w:p>
        </w:tc>
        <w:tc>
          <w:tcPr>
            <w:tcW w:type="dxa" w:w="482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Tools and Skills exposed in this conversation</w:t>
            </w:r>
          </w:p>
        </w:tc>
        <w:tc>
          <w:tcPr>
            <w:tcW w:type="dxa" w:w="144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Current-session evidence only</w:t>
            </w:r>
          </w:p>
        </w:tc>
      </w:tr>
      <w:tr>
        <w:tc>
          <w:tcPr>
            <w:tcW w:type="dxa" w:w="86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6</w:t>
            </w:r>
          </w:p>
        </w:tc>
        <w:tc>
          <w:tcPr>
            <w:tcW w:type="dxa" w:w="266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External standards and primary technical sources</w:t>
            </w:r>
          </w:p>
        </w:tc>
        <w:tc>
          <w:tcPr>
            <w:tcW w:type="dxa" w:w="482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Security frameworks, software standards, implementation details</w:t>
            </w:r>
          </w:p>
        </w:tc>
        <w:tc>
          <w:tcPr>
            <w:tcW w:type="dxa" w:w="144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Phase 2+; version-checked at use time</w:t>
            </w:r>
          </w:p>
        </w:tc>
      </w:tr>
    </w:tbl>
    <w:p>
      <w:pPr>
        <w:spacing w:after="20"/>
      </w:pPr>
    </w:p>
    <w:p>
      <w:pPr>
        <w:keepNext w:val="0"/>
        <w:spacing w:before="0" w:after="120" w:line="271" w:lineRule="auto"/>
      </w:pPr>
      <w:r>
        <w:rPr>
          <w:rFonts w:ascii="Arial" w:hAnsi="Arial"/>
          <w:color w:val="374151"/>
          <w:sz w:val="21"/>
        </w:rPr>
        <w:t>Supersession rule: general-availability pages override preview pages unless a historical comparison is explicitly required. Current product documentation overrides stale search snippets. Plan limits and pricing will be marked “verify at publication” because they are highly volatile.</w:t>
      </w:r>
    </w:p>
    <w:p>
      <w:pPr>
        <w:keepNext/>
        <w:spacing w:before="160" w:after="100" w:line="259" w:lineRule="auto"/>
      </w:pPr>
      <w:r>
        <w:rPr>
          <w:rFonts w:ascii="Arial" w:hAnsi="Arial"/>
          <w:b/>
          <w:color w:val="2563EB"/>
          <w:sz w:val="20"/>
        </w:rPr>
        <w:t xml:space="preserve">04  </w:t>
      </w:r>
      <w:r>
        <w:rPr>
          <w:rFonts w:ascii="Arial" w:hAnsi="Arial"/>
          <w:b/>
          <w:color w:val="0B1220"/>
          <w:sz w:val="38"/>
        </w:rPr>
        <w:t>Locked official source register</w:t>
      </w:r>
    </w:p>
    <w:p>
      <w:pPr>
        <w:keepNext w:val="0"/>
        <w:spacing w:before="0" w:after="200" w:line="259" w:lineRule="auto"/>
      </w:pPr>
      <w:r>
        <w:rPr>
          <w:rFonts w:ascii="Arial" w:hAnsi="Arial"/>
          <w:color w:val="4B5563"/>
          <w:sz w:val="21"/>
        </w:rPr>
        <w:t>Primary sources authorized for the guide’s GPT-5.6, workflow, compliance, and cybersecurity claims.</w:t>
      </w: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S01</w:t>
            </w:r>
          </w:p>
        </w:tc>
        <w:tc>
          <w:tcPr>
            <w:tcW w:type="dxa" w:w="5083"/>
            <w:shd w:fill="FFFFFF"/>
            <w:tcMar>
              <w:top w:w="125" w:type="dxa"/>
              <w:start w:w="150" w:type="dxa"/>
              <w:bottom w:w="125" w:type="dxa"/>
              <w:end w:w="150" w:type="dxa"/>
            </w:tcMar>
          </w:tcPr>
          <w:p>
            <w:r>
              <w:rPr>
                <w:rFonts w:ascii="Arial" w:hAnsi="Arial"/>
                <w:b/>
                <w:color w:val="0B1220"/>
                <w:sz w:val="20"/>
              </w:rPr>
              <w:t>GPT-5.6 Model Guidance</w:t>
            </w:r>
          </w:p>
          <w:p>
            <w:pPr>
              <w:keepNext w:val="0"/>
              <w:spacing w:before="0" w:after="40" w:line="259" w:lineRule="auto"/>
            </w:pPr>
            <w:hyperlink r:id="rId11">
              <w:r>
                <w:rPr>
                  <w:color w:val="2563EB"/>
                  <w:u w:val="single"/>
                  <w:rFonts w:ascii="Arial" w:hAnsi="Arial"/>
                  <w:sz w:val="18"/>
                </w:rPr>
                <w:t>https://developers.openai.com/api/docs/guides/latest-model</w:t>
              </w:r>
            </w:hyperlink>
          </w:p>
          <w:p>
            <w:pPr>
              <w:keepNext w:val="0"/>
              <w:spacing w:before="0" w:after="0" w:line="259" w:lineRule="auto"/>
            </w:pPr>
            <w:r>
              <w:rPr>
                <w:rFonts w:ascii="Arial" w:hAnsi="Arial"/>
                <w:color w:val="4B5563"/>
                <w:sz w:val="17"/>
              </w:rPr>
              <w:t>Use: Prompting, effort, Pro mode, tool calling, caching, efficiency, approval boundaries  •  Freshness: Current; verify before final publication</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S02</w:t>
            </w:r>
          </w:p>
        </w:tc>
        <w:tc>
          <w:tcPr>
            <w:tcW w:type="dxa" w:w="5083"/>
            <w:shd w:fill="FFFFFF"/>
            <w:tcMar>
              <w:top w:w="125" w:type="dxa"/>
              <w:start w:w="150" w:type="dxa"/>
              <w:bottom w:w="125" w:type="dxa"/>
              <w:end w:w="150" w:type="dxa"/>
            </w:tcMar>
          </w:tcPr>
          <w:p>
            <w:r>
              <w:rPr>
                <w:rFonts w:ascii="Arial" w:hAnsi="Arial"/>
                <w:b/>
                <w:color w:val="0B1220"/>
                <w:sz w:val="20"/>
              </w:rPr>
              <w:t>OpenAI API Model Catalog</w:t>
            </w:r>
          </w:p>
          <w:p>
            <w:pPr>
              <w:keepNext w:val="0"/>
              <w:spacing w:before="0" w:after="40" w:line="259" w:lineRule="auto"/>
            </w:pPr>
            <w:hyperlink r:id="rId12">
              <w:r>
                <w:rPr>
                  <w:color w:val="2563EB"/>
                  <w:u w:val="single"/>
                  <w:rFonts w:ascii="Arial" w:hAnsi="Arial"/>
                  <w:sz w:val="18"/>
                </w:rPr>
                <w:t>https://developers.openai.com/api/docs/models</w:t>
              </w:r>
            </w:hyperlink>
          </w:p>
          <w:p>
            <w:pPr>
              <w:keepNext w:val="0"/>
              <w:spacing w:before="0" w:after="0" w:line="259" w:lineRule="auto"/>
            </w:pPr>
            <w:r>
              <w:rPr>
                <w:rFonts w:ascii="Arial" w:hAnsi="Arial"/>
                <w:color w:val="4B5563"/>
                <w:sz w:val="17"/>
              </w:rPr>
              <w:t>Use: Model family, effort levels, context, output, supported tools  •  Freshness: Current; high-volatility technical reference</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S03</w:t>
            </w:r>
          </w:p>
        </w:tc>
        <w:tc>
          <w:tcPr>
            <w:tcW w:type="dxa" w:w="5083"/>
            <w:shd w:fill="FFFFFF"/>
            <w:tcMar>
              <w:top w:w="125" w:type="dxa"/>
              <w:start w:w="150" w:type="dxa"/>
              <w:bottom w:w="125" w:type="dxa"/>
              <w:end w:w="150" w:type="dxa"/>
            </w:tcMar>
          </w:tcPr>
          <w:p>
            <w:r>
              <w:rPr>
                <w:rFonts w:ascii="Arial" w:hAnsi="Arial"/>
                <w:b/>
                <w:color w:val="0B1220"/>
                <w:sz w:val="20"/>
              </w:rPr>
              <w:t>GPT-5.6 Sol Model Page</w:t>
            </w:r>
          </w:p>
          <w:p>
            <w:pPr>
              <w:keepNext w:val="0"/>
              <w:spacing w:before="0" w:after="40" w:line="259" w:lineRule="auto"/>
            </w:pPr>
            <w:hyperlink r:id="rId13">
              <w:r>
                <w:rPr>
                  <w:color w:val="2563EB"/>
                  <w:u w:val="single"/>
                  <w:rFonts w:ascii="Arial" w:hAnsi="Arial"/>
                  <w:sz w:val="18"/>
                </w:rPr>
                <w:t>https://developers.openai.com/api/docs/models/gpt-5.6-sol</w:t>
              </w:r>
            </w:hyperlink>
          </w:p>
          <w:p>
            <w:pPr>
              <w:keepNext w:val="0"/>
              <w:spacing w:before="0" w:after="0" w:line="259" w:lineRule="auto"/>
            </w:pPr>
            <w:r>
              <w:rPr>
                <w:rFonts w:ascii="Arial" w:hAnsi="Arial"/>
                <w:color w:val="4B5563"/>
                <w:sz w:val="17"/>
              </w:rPr>
              <w:t>Use: Sol model identity, alias, pricing, context, cutoff  •  Freshness: Current; high-volatility technical reference</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S04</w:t>
            </w:r>
          </w:p>
        </w:tc>
        <w:tc>
          <w:tcPr>
            <w:tcW w:type="dxa" w:w="5083"/>
            <w:shd w:fill="FFFFFF"/>
            <w:tcMar>
              <w:top w:w="125" w:type="dxa"/>
              <w:start w:w="150" w:type="dxa"/>
              <w:bottom w:w="125" w:type="dxa"/>
              <w:end w:w="150" w:type="dxa"/>
            </w:tcMar>
          </w:tcPr>
          <w:p>
            <w:r>
              <w:rPr>
                <w:rFonts w:ascii="Arial" w:hAnsi="Arial"/>
                <w:b/>
                <w:color w:val="0B1220"/>
                <w:sz w:val="20"/>
              </w:rPr>
              <w:t>GPT-5.6 in ChatGPT</w:t>
            </w:r>
          </w:p>
          <w:p>
            <w:pPr>
              <w:keepNext w:val="0"/>
              <w:spacing w:before="0" w:after="40" w:line="259" w:lineRule="auto"/>
            </w:pPr>
            <w:hyperlink r:id="rId14">
              <w:r>
                <w:rPr>
                  <w:color w:val="2563EB"/>
                  <w:u w:val="single"/>
                  <w:rFonts w:ascii="Arial" w:hAnsi="Arial"/>
                  <w:sz w:val="18"/>
                </w:rPr>
                <w:t>https://help.openai.com/en/articles/20001354-gpt-56-in-chatgpt/</w:t>
              </w:r>
            </w:hyperlink>
          </w:p>
          <w:p>
            <w:pPr>
              <w:keepNext w:val="0"/>
              <w:spacing w:before="0" w:after="0" w:line="259" w:lineRule="auto"/>
            </w:pPr>
            <w:r>
              <w:rPr>
                <w:rFonts w:ascii="Arial" w:hAnsi="Arial"/>
                <w:color w:val="4B5563"/>
                <w:sz w:val="17"/>
              </w:rPr>
              <w:t>Use: ChatGPT labels, plan availability, High/Extra High/Pro distinctions  •  Freshness: Current; plan-dependent</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S05</w:t>
            </w:r>
          </w:p>
        </w:tc>
        <w:tc>
          <w:tcPr>
            <w:tcW w:type="dxa" w:w="5083"/>
            <w:shd w:fill="FFFFFF"/>
            <w:tcMar>
              <w:top w:w="125" w:type="dxa"/>
              <w:start w:w="150" w:type="dxa"/>
              <w:bottom w:w="125" w:type="dxa"/>
              <w:end w:w="150" w:type="dxa"/>
            </w:tcMar>
          </w:tcPr>
          <w:p>
            <w:r>
              <w:rPr>
                <w:rFonts w:ascii="Arial" w:hAnsi="Arial"/>
                <w:b/>
                <w:color w:val="0B1220"/>
                <w:sz w:val="20"/>
              </w:rPr>
              <w:t>GPT-5.6 Launch Announcement</w:t>
            </w:r>
          </w:p>
          <w:p>
            <w:pPr>
              <w:keepNext w:val="0"/>
              <w:spacing w:before="0" w:after="40" w:line="259" w:lineRule="auto"/>
            </w:pPr>
            <w:hyperlink r:id="rId15">
              <w:r>
                <w:rPr>
                  <w:color w:val="2563EB"/>
                  <w:u w:val="single"/>
                  <w:rFonts w:ascii="Arial" w:hAnsi="Arial"/>
                  <w:sz w:val="18"/>
                </w:rPr>
                <w:t>https://openai.com/index/gpt-5-6/</w:t>
              </w:r>
            </w:hyperlink>
          </w:p>
          <w:p>
            <w:pPr>
              <w:keepNext w:val="0"/>
              <w:spacing w:before="0" w:after="0" w:line="259" w:lineRule="auto"/>
            </w:pPr>
            <w:r>
              <w:rPr>
                <w:rFonts w:ascii="Arial" w:hAnsi="Arial"/>
                <w:color w:val="4B5563"/>
                <w:sz w:val="17"/>
              </w:rPr>
              <w:t>Use: Family positioning, Work/Codex/API availability, ultra and multi-agent context  •  Freshness: Published July 9, 2026</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S06</w:t>
            </w:r>
          </w:p>
        </w:tc>
        <w:tc>
          <w:tcPr>
            <w:tcW w:type="dxa" w:w="5083"/>
            <w:shd w:fill="FFFFFF"/>
            <w:tcMar>
              <w:top w:w="125" w:type="dxa"/>
              <w:start w:w="150" w:type="dxa"/>
              <w:bottom w:w="125" w:type="dxa"/>
              <w:end w:w="150" w:type="dxa"/>
            </w:tcMar>
          </w:tcPr>
          <w:p>
            <w:r>
              <w:rPr>
                <w:rFonts w:ascii="Arial" w:hAnsi="Arial"/>
                <w:b/>
                <w:color w:val="0B1220"/>
                <w:sz w:val="20"/>
              </w:rPr>
              <w:t>GPT-5.6 System Card</w:t>
            </w:r>
          </w:p>
          <w:p>
            <w:pPr>
              <w:keepNext w:val="0"/>
              <w:spacing w:before="0" w:after="40" w:line="259" w:lineRule="auto"/>
            </w:pPr>
            <w:hyperlink r:id="rId16">
              <w:r>
                <w:rPr>
                  <w:color w:val="2563EB"/>
                  <w:u w:val="single"/>
                  <w:rFonts w:ascii="Arial" w:hAnsi="Arial"/>
                  <w:sz w:val="18"/>
                </w:rPr>
                <w:t>https://deploymentsafety.openai.com/gpt-5-6</w:t>
              </w:r>
            </w:hyperlink>
          </w:p>
          <w:p>
            <w:pPr>
              <w:keepNext w:val="0"/>
              <w:spacing w:before="0" w:after="0" w:line="259" w:lineRule="auto"/>
            </w:pPr>
            <w:r>
              <w:rPr>
                <w:rFonts w:ascii="Arial" w:hAnsi="Arial"/>
                <w:color w:val="4B5563"/>
                <w:sz w:val="17"/>
              </w:rPr>
              <w:t>Use: Safety, cyber capability, safeguards, prompt injection, autonomy and verification risks  •  Freshness: Published July 9, 2026</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S07</w:t>
            </w:r>
          </w:p>
        </w:tc>
        <w:tc>
          <w:tcPr>
            <w:tcW w:type="dxa" w:w="5083"/>
            <w:shd w:fill="FFFFFF"/>
            <w:tcMar>
              <w:top w:w="125" w:type="dxa"/>
              <w:start w:w="150" w:type="dxa"/>
              <w:bottom w:w="125" w:type="dxa"/>
              <w:end w:w="150" w:type="dxa"/>
            </w:tcMar>
          </w:tcPr>
          <w:p>
            <w:r>
              <w:rPr>
                <w:rFonts w:ascii="Arial" w:hAnsi="Arial"/>
                <w:b/>
                <w:color w:val="0B1220"/>
                <w:sz w:val="20"/>
              </w:rPr>
              <w:t>Skills in ChatGPT</w:t>
            </w:r>
          </w:p>
          <w:p>
            <w:pPr>
              <w:keepNext w:val="0"/>
              <w:spacing w:before="0" w:after="40" w:line="259" w:lineRule="auto"/>
            </w:pPr>
            <w:hyperlink r:id="rId17">
              <w:r>
                <w:rPr>
                  <w:color w:val="2563EB"/>
                  <w:u w:val="single"/>
                  <w:rFonts w:ascii="Arial" w:hAnsi="Arial"/>
                  <w:sz w:val="18"/>
                </w:rPr>
                <w:t>https://help.openai.com/en/articles/20001066-skills-in-chatgpt/</w:t>
              </w:r>
            </w:hyperlink>
          </w:p>
          <w:p>
            <w:pPr>
              <w:keepNext w:val="0"/>
              <w:spacing w:before="0" w:after="0" w:line="259" w:lineRule="auto"/>
            </w:pPr>
            <w:r>
              <w:rPr>
                <w:rFonts w:ascii="Arial" w:hAnsi="Arial"/>
                <w:color w:val="4B5563"/>
                <w:sz w:val="17"/>
              </w:rPr>
              <w:t>Use: Skill definition, creation, sharing, installation, admin controls  •  Freshness: Current; workspace-dependent</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S08</w:t>
            </w:r>
          </w:p>
        </w:tc>
        <w:tc>
          <w:tcPr>
            <w:tcW w:type="dxa" w:w="5083"/>
            <w:shd w:fill="FFFFFF"/>
            <w:tcMar>
              <w:top w:w="125" w:type="dxa"/>
              <w:start w:w="150" w:type="dxa"/>
              <w:bottom w:w="125" w:type="dxa"/>
              <w:end w:w="150" w:type="dxa"/>
            </w:tcMar>
          </w:tcPr>
          <w:p>
            <w:r>
              <w:rPr>
                <w:rFonts w:ascii="Arial" w:hAnsi="Arial"/>
                <w:b/>
                <w:color w:val="0B1220"/>
                <w:sz w:val="20"/>
              </w:rPr>
              <w:t>Plugins in ChatGPT and Codex</w:t>
            </w:r>
          </w:p>
          <w:p>
            <w:pPr>
              <w:keepNext w:val="0"/>
              <w:spacing w:before="0" w:after="40" w:line="259" w:lineRule="auto"/>
            </w:pPr>
            <w:hyperlink r:id="rId18">
              <w:r>
                <w:rPr>
                  <w:color w:val="2563EB"/>
                  <w:u w:val="single"/>
                  <w:rFonts w:ascii="Arial" w:hAnsi="Arial"/>
                  <w:sz w:val="18"/>
                </w:rPr>
                <w:t>https://help.openai.com/en/articles/20001256</w:t>
              </w:r>
            </w:hyperlink>
          </w:p>
          <w:p>
            <w:pPr>
              <w:keepNext w:val="0"/>
              <w:spacing w:before="0" w:after="0" w:line="259" w:lineRule="auto"/>
            </w:pPr>
            <w:r>
              <w:rPr>
                <w:rFonts w:ascii="Arial" w:hAnsi="Arial"/>
                <w:color w:val="4B5563"/>
                <w:sz w:val="17"/>
              </w:rPr>
              <w:t>Use: Plugin architecture and relationship to Skills, apps, and templates  •  Freshness: Current; workspace-dependent</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S09</w:t>
            </w:r>
          </w:p>
        </w:tc>
        <w:tc>
          <w:tcPr>
            <w:tcW w:type="dxa" w:w="5083"/>
            <w:shd w:fill="FFFFFF"/>
            <w:tcMar>
              <w:top w:w="125" w:type="dxa"/>
              <w:start w:w="150" w:type="dxa"/>
              <w:bottom w:w="125" w:type="dxa"/>
              <w:end w:w="150" w:type="dxa"/>
            </w:tcMar>
          </w:tcPr>
          <w:p>
            <w:r>
              <w:rPr>
                <w:rFonts w:ascii="Arial" w:hAnsi="Arial"/>
                <w:b/>
                <w:color w:val="0B1220"/>
                <w:sz w:val="20"/>
              </w:rPr>
              <w:t>Apps in ChatGPT</w:t>
            </w:r>
          </w:p>
          <w:p>
            <w:pPr>
              <w:keepNext w:val="0"/>
              <w:spacing w:before="0" w:after="40" w:line="259" w:lineRule="auto"/>
            </w:pPr>
            <w:hyperlink r:id="rId19">
              <w:r>
                <w:rPr>
                  <w:color w:val="2563EB"/>
                  <w:u w:val="single"/>
                  <w:rFonts w:ascii="Arial" w:hAnsi="Arial"/>
                  <w:sz w:val="18"/>
                </w:rPr>
                <w:t>https://help.openai.com/en/articles/11487775-connectors-in</w:t>
              </w:r>
            </w:hyperlink>
          </w:p>
          <w:p>
            <w:pPr>
              <w:keepNext w:val="0"/>
              <w:spacing w:before="0" w:after="0" w:line="259" w:lineRule="auto"/>
            </w:pPr>
            <w:r>
              <w:rPr>
                <w:rFonts w:ascii="Arial" w:hAnsi="Arial"/>
                <w:color w:val="4B5563"/>
                <w:sz w:val="17"/>
              </w:rPr>
              <w:t>Use: Search, sync, deep research, write actions, custom MCP apps  •  Freshness: Current; plan and region dependent</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S10</w:t>
            </w:r>
          </w:p>
        </w:tc>
        <w:tc>
          <w:tcPr>
            <w:tcW w:type="dxa" w:w="5083"/>
            <w:shd w:fill="FFFFFF"/>
            <w:tcMar>
              <w:top w:w="125" w:type="dxa"/>
              <w:start w:w="150" w:type="dxa"/>
              <w:bottom w:w="125" w:type="dxa"/>
              <w:end w:w="150" w:type="dxa"/>
            </w:tcMar>
          </w:tcPr>
          <w:p>
            <w:r>
              <w:rPr>
                <w:rFonts w:ascii="Arial" w:hAnsi="Arial"/>
                <w:b/>
                <w:color w:val="0B1220"/>
                <w:sz w:val="20"/>
              </w:rPr>
              <w:t>Admin Controls, Security, and Compliance for Plugins and Apps</w:t>
            </w:r>
          </w:p>
          <w:p>
            <w:pPr>
              <w:keepNext w:val="0"/>
              <w:spacing w:before="0" w:after="40" w:line="259" w:lineRule="auto"/>
            </w:pPr>
            <w:hyperlink r:id="rId20">
              <w:r>
                <w:rPr>
                  <w:color w:val="2563EB"/>
                  <w:u w:val="single"/>
                  <w:rFonts w:ascii="Arial" w:hAnsi="Arial"/>
                  <w:sz w:val="18"/>
                </w:rPr>
                <w:t>https://help.openai.com/en/articles/11509118-admin-controls-security-and-compliance-for-plugins-and-apps</w:t>
              </w:r>
            </w:hyperlink>
          </w:p>
          <w:p>
            <w:pPr>
              <w:keepNext w:val="0"/>
              <w:spacing w:before="0" w:after="0" w:line="259" w:lineRule="auto"/>
            </w:pPr>
            <w:r>
              <w:rPr>
                <w:rFonts w:ascii="Arial" w:hAnsi="Arial"/>
                <w:color w:val="4B5563"/>
                <w:sz w:val="17"/>
              </w:rPr>
              <w:t>Use: RBAC, action controls, permissions, prompt-injection mitigations, compliance logs  •  Freshness: Current; managed workspaces</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S11</w:t>
            </w:r>
          </w:p>
        </w:tc>
        <w:tc>
          <w:tcPr>
            <w:tcW w:type="dxa" w:w="5083"/>
            <w:shd w:fill="FFFFFF"/>
            <w:tcMar>
              <w:top w:w="125" w:type="dxa"/>
              <w:start w:w="150" w:type="dxa"/>
              <w:bottom w:w="125" w:type="dxa"/>
              <w:end w:w="150" w:type="dxa"/>
            </w:tcMar>
          </w:tcPr>
          <w:p>
            <w:r>
              <w:rPr>
                <w:rFonts w:ascii="Arial" w:hAnsi="Arial"/>
                <w:b/>
                <w:color w:val="0B1220"/>
                <w:sz w:val="20"/>
              </w:rPr>
              <w:t>Business Data Privacy, Security, and Compliance</w:t>
            </w:r>
          </w:p>
          <w:p>
            <w:pPr>
              <w:keepNext w:val="0"/>
              <w:spacing w:before="0" w:after="40" w:line="259" w:lineRule="auto"/>
            </w:pPr>
            <w:hyperlink r:id="rId21">
              <w:r>
                <w:rPr>
                  <w:color w:val="2563EB"/>
                  <w:u w:val="single"/>
                  <w:rFonts w:ascii="Arial" w:hAnsi="Arial"/>
                  <w:sz w:val="18"/>
                </w:rPr>
                <w:t>https://openai.com/business-data/</w:t>
              </w:r>
            </w:hyperlink>
          </w:p>
          <w:p>
            <w:pPr>
              <w:keepNext w:val="0"/>
              <w:spacing w:before="0" w:after="0" w:line="259" w:lineRule="auto"/>
            </w:pPr>
            <w:r>
              <w:rPr>
                <w:rFonts w:ascii="Arial" w:hAnsi="Arial"/>
                <w:color w:val="4B5563"/>
                <w:sz w:val="17"/>
              </w:rPr>
              <w:t>Use: Business and API training defaults, security and privacy commitments  •  Freshness: Current</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S12</w:t>
            </w:r>
          </w:p>
        </w:tc>
        <w:tc>
          <w:tcPr>
            <w:tcW w:type="dxa" w:w="5083"/>
            <w:shd w:fill="FFFFFF"/>
            <w:tcMar>
              <w:top w:w="125" w:type="dxa"/>
              <w:start w:w="150" w:type="dxa"/>
              <w:bottom w:w="125" w:type="dxa"/>
              <w:end w:w="150" w:type="dxa"/>
            </w:tcMar>
          </w:tcPr>
          <w:p>
            <w:r>
              <w:rPr>
                <w:rFonts w:ascii="Arial" w:hAnsi="Arial"/>
                <w:b/>
                <w:color w:val="0B1220"/>
                <w:sz w:val="20"/>
              </w:rPr>
              <w:t>OpenAI Usage Policies</w:t>
            </w:r>
          </w:p>
          <w:p>
            <w:pPr>
              <w:keepNext w:val="0"/>
              <w:spacing w:before="0" w:after="40" w:line="259" w:lineRule="auto"/>
            </w:pPr>
            <w:hyperlink r:id="rId22">
              <w:r>
                <w:rPr>
                  <w:color w:val="2563EB"/>
                  <w:u w:val="single"/>
                  <w:rFonts w:ascii="Arial" w:hAnsi="Arial"/>
                  <w:sz w:val="18"/>
                </w:rPr>
                <w:t>https://openai.com/policies/usage-policies/</w:t>
              </w:r>
            </w:hyperlink>
          </w:p>
          <w:p>
            <w:pPr>
              <w:keepNext w:val="0"/>
              <w:spacing w:before="0" w:after="0" w:line="259" w:lineRule="auto"/>
            </w:pPr>
            <w:r>
              <w:rPr>
                <w:rFonts w:ascii="Arial" w:hAnsi="Arial"/>
                <w:color w:val="4B5563"/>
                <w:sz w:val="17"/>
              </w:rPr>
              <w:t>Use: Prohibited cyber abuse, unsolicited testing, privacy abuse, safeguard circumvention  •  Freshness: Effective Oct. 29, 2025</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S13</w:t>
            </w:r>
          </w:p>
        </w:tc>
        <w:tc>
          <w:tcPr>
            <w:tcW w:type="dxa" w:w="5083"/>
            <w:shd w:fill="FFFFFF"/>
            <w:tcMar>
              <w:top w:w="125" w:type="dxa"/>
              <w:start w:w="150" w:type="dxa"/>
              <w:bottom w:w="125" w:type="dxa"/>
              <w:end w:w="150" w:type="dxa"/>
            </w:tcMar>
          </w:tcPr>
          <w:p>
            <w:r>
              <w:rPr>
                <w:rFonts w:ascii="Arial" w:hAnsi="Arial"/>
                <w:b/>
                <w:color w:val="0B1220"/>
                <w:sz w:val="20"/>
              </w:rPr>
              <w:t>OpenAI Terms of Use</w:t>
            </w:r>
          </w:p>
          <w:p>
            <w:pPr>
              <w:keepNext w:val="0"/>
              <w:spacing w:before="0" w:after="40" w:line="259" w:lineRule="auto"/>
            </w:pPr>
            <w:hyperlink r:id="rId23">
              <w:r>
                <w:rPr>
                  <w:color w:val="2563EB"/>
                  <w:u w:val="single"/>
                  <w:rFonts w:ascii="Arial" w:hAnsi="Arial"/>
                  <w:sz w:val="18"/>
                </w:rPr>
                <w:t>https://openai.com/policies/terms-of-use/</w:t>
              </w:r>
            </w:hyperlink>
          </w:p>
          <w:p>
            <w:pPr>
              <w:keepNext w:val="0"/>
              <w:spacing w:before="0" w:after="0" w:line="259" w:lineRule="auto"/>
            </w:pPr>
            <w:r>
              <w:rPr>
                <w:rFonts w:ascii="Arial" w:hAnsi="Arial"/>
                <w:color w:val="4B5563"/>
                <w:sz w:val="17"/>
              </w:rPr>
              <w:t>Use: Accuracy limits, human review, lawful use, responsibility for inputs and outputs  •  Freshness: Effective Jan. 1, 2026</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S14</w:t>
            </w:r>
          </w:p>
        </w:tc>
        <w:tc>
          <w:tcPr>
            <w:tcW w:type="dxa" w:w="5083"/>
            <w:shd w:fill="FFFFFF"/>
            <w:tcMar>
              <w:top w:w="125" w:type="dxa"/>
              <w:start w:w="150" w:type="dxa"/>
              <w:bottom w:w="125" w:type="dxa"/>
              <w:end w:w="150" w:type="dxa"/>
            </w:tcMar>
          </w:tcPr>
          <w:p>
            <w:r>
              <w:rPr>
                <w:rFonts w:ascii="Arial" w:hAnsi="Arial"/>
                <w:b/>
                <w:color w:val="0B1220"/>
                <w:sz w:val="20"/>
              </w:rPr>
              <w:t>Introducing Trusted Access for Cyber</w:t>
            </w:r>
          </w:p>
          <w:p>
            <w:pPr>
              <w:keepNext w:val="0"/>
              <w:spacing w:before="0" w:after="40" w:line="259" w:lineRule="auto"/>
            </w:pPr>
            <w:hyperlink r:id="rId24">
              <w:r>
                <w:rPr>
                  <w:color w:val="2563EB"/>
                  <w:u w:val="single"/>
                  <w:rFonts w:ascii="Arial" w:hAnsi="Arial"/>
                  <w:sz w:val="18"/>
                </w:rPr>
                <w:t>https://openai.com/index/trusted-access-for-cyber/</w:t>
              </w:r>
            </w:hyperlink>
          </w:p>
          <w:p>
            <w:pPr>
              <w:keepNext w:val="0"/>
              <w:spacing w:before="0" w:after="0" w:line="259" w:lineRule="auto"/>
            </w:pPr>
            <w:r>
              <w:rPr>
                <w:rFonts w:ascii="Arial" w:hAnsi="Arial"/>
                <w:color w:val="4B5563"/>
                <w:sz w:val="17"/>
              </w:rPr>
              <w:t>Use: Trust-based defensive access model and prohibited cyber outcomes  •  Freshness: Published Feb. 5, 2026</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S15</w:t>
            </w:r>
          </w:p>
        </w:tc>
        <w:tc>
          <w:tcPr>
            <w:tcW w:type="dxa" w:w="5083"/>
            <w:shd w:fill="FFFFFF"/>
            <w:tcMar>
              <w:top w:w="125" w:type="dxa"/>
              <w:start w:w="150" w:type="dxa"/>
              <w:bottom w:w="125" w:type="dxa"/>
              <w:end w:w="150" w:type="dxa"/>
            </w:tcMar>
          </w:tcPr>
          <w:p>
            <w:r>
              <w:rPr>
                <w:rFonts w:ascii="Arial" w:hAnsi="Arial"/>
                <w:b/>
                <w:color w:val="0B1220"/>
                <w:sz w:val="20"/>
              </w:rPr>
              <w:t>OpenAI Daybreak — Trusted Access for Cyber Overview</w:t>
            </w:r>
          </w:p>
          <w:p>
            <w:pPr>
              <w:keepNext w:val="0"/>
              <w:spacing w:before="0" w:after="40" w:line="259" w:lineRule="auto"/>
            </w:pPr>
            <w:hyperlink r:id="rId25">
              <w:r>
                <w:rPr>
                  <w:color w:val="2563EB"/>
                  <w:u w:val="single"/>
                  <w:rFonts w:ascii="Arial" w:hAnsi="Arial"/>
                  <w:sz w:val="18"/>
                </w:rPr>
                <w:t>https://help.openai.com/en/articles/20001258-openai-daybreak-trusted-access-for-cyber-overview</w:t>
              </w:r>
            </w:hyperlink>
          </w:p>
          <w:p>
            <w:pPr>
              <w:keepNext w:val="0"/>
              <w:spacing w:before="0" w:after="0" w:line="259" w:lineRule="auto"/>
            </w:pPr>
            <w:r>
              <w:rPr>
                <w:rFonts w:ascii="Arial" w:hAnsi="Arial"/>
                <w:color w:val="4B5563"/>
                <w:sz w:val="17"/>
              </w:rPr>
              <w:t>Use: Authorized use categories, limitations, internal-use requirements, approval model  •  Freshness: Current; approval-dependent</w:t>
            </w:r>
          </w:p>
        </w:tc>
      </w:tr>
    </w:tbl>
    <w:p>
      <w:pPr>
        <w:spacing w:after="0"/>
      </w:pPr>
    </w:p>
    <w:tbl>
      <w:tblPr>
        <w:tblW w:type="auto" w:w="0"/>
        <w:jc w:val="center"/>
        <w:tblLayout w:type="fixed"/>
        <w:tblLook w:firstColumn="1" w:firstRow="1" w:lastColumn="0" w:lastRow="0" w:noHBand="0" w:noVBand="1" w:val="04A0"/>
      </w:tblPr>
      <w:tblGrid>
        <w:gridCol w:w="792"/>
        <w:gridCol w:w="8856"/>
      </w:tblGrid>
      <w:tr>
        <w:tc>
          <w:tcPr>
            <w:tcW w:type="dxa" w:w="5083"/>
            <w:shd w:fill="EAF2FF"/>
            <w:tcMar>
              <w:top w:w="140" w:type="dxa"/>
              <w:start w:w="100" w:type="dxa"/>
              <w:bottom w:w="140" w:type="dxa"/>
              <w:end w:w="100" w:type="dxa"/>
            </w:tcMar>
          </w:tcPr>
          <w:p>
            <w:pPr>
              <w:jc w:val="center"/>
            </w:pPr>
            <w:r>
              <w:rPr>
                <w:rFonts w:ascii="Arial" w:hAnsi="Arial"/>
                <w:b/>
                <w:color w:val="2563EB"/>
                <w:sz w:val="18"/>
              </w:rPr>
              <w:t>S16</w:t>
            </w:r>
          </w:p>
        </w:tc>
        <w:tc>
          <w:tcPr>
            <w:tcW w:type="dxa" w:w="5083"/>
            <w:shd w:fill="FFFFFF"/>
            <w:tcMar>
              <w:top w:w="125" w:type="dxa"/>
              <w:start w:w="150" w:type="dxa"/>
              <w:bottom w:w="125" w:type="dxa"/>
              <w:end w:w="150" w:type="dxa"/>
            </w:tcMar>
          </w:tcPr>
          <w:p>
            <w:r>
              <w:rPr>
                <w:rFonts w:ascii="Arial" w:hAnsi="Arial"/>
                <w:b/>
                <w:color w:val="0B1220"/>
                <w:sz w:val="20"/>
              </w:rPr>
              <w:t>App Use Cases and Prompts</w:t>
            </w:r>
          </w:p>
          <w:p>
            <w:pPr>
              <w:keepNext w:val="0"/>
              <w:spacing w:before="0" w:after="40" w:line="259" w:lineRule="auto"/>
            </w:pPr>
            <w:hyperlink r:id="rId26">
              <w:r>
                <w:rPr>
                  <w:color w:val="2563EB"/>
                  <w:u w:val="single"/>
                  <w:rFonts w:ascii="Arial" w:hAnsi="Arial"/>
                  <w:sz w:val="18"/>
                </w:rPr>
                <w:t>https://help.openai.com/en/articles/12084614</w:t>
              </w:r>
            </w:hyperlink>
          </w:p>
          <w:p>
            <w:pPr>
              <w:keepNext w:val="0"/>
              <w:spacing w:before="0" w:after="0" w:line="259" w:lineRule="auto"/>
            </w:pPr>
            <w:r>
              <w:rPr>
                <w:rFonts w:ascii="Arial" w:hAnsi="Arial"/>
                <w:color w:val="4B5563"/>
                <w:sz w:val="17"/>
              </w:rPr>
              <w:t>Use: Official examples for using connected internal knowledge in writing, coding, and analysis  •  Freshness: Current; illustrative</w:t>
            </w:r>
          </w:p>
        </w:tc>
      </w:tr>
    </w:tbl>
    <w:p>
      <w:pPr>
        <w:spacing w:after="0"/>
      </w:pPr>
    </w:p>
    <w:p>
      <w:pPr>
        <w:keepNext/>
        <w:spacing w:before="160" w:after="100" w:line="259" w:lineRule="auto"/>
      </w:pPr>
      <w:r>
        <w:rPr>
          <w:rFonts w:ascii="Arial" w:hAnsi="Arial"/>
          <w:b/>
          <w:color w:val="2563EB"/>
          <w:sz w:val="20"/>
        </w:rPr>
        <w:t xml:space="preserve">05  </w:t>
      </w:r>
      <w:r>
        <w:rPr>
          <w:rFonts w:ascii="Arial" w:hAnsi="Arial"/>
          <w:b/>
          <w:color w:val="0B1220"/>
          <w:sz w:val="38"/>
        </w:rPr>
        <w:t>Claim register</w:t>
      </w:r>
    </w:p>
    <w:p>
      <w:pPr>
        <w:keepNext w:val="0"/>
        <w:spacing w:before="0" w:after="200" w:line="259" w:lineRule="auto"/>
      </w:pPr>
      <w:r>
        <w:rPr>
          <w:rFonts w:ascii="Arial" w:hAnsi="Arial"/>
          <w:color w:val="4B5563"/>
          <w:sz w:val="21"/>
        </w:rPr>
        <w:t>Only the following statements may be treated as factual foundations during prompt-library development.</w:t>
      </w:r>
    </w:p>
    <w:p>
      <w:pPr>
        <w:keepNext/>
        <w:spacing w:before="120" w:after="80" w:line="259" w:lineRule="auto"/>
      </w:pPr>
      <w:r>
        <w:rPr>
          <w:rFonts w:ascii="Arial" w:hAnsi="Arial"/>
          <w:b/>
          <w:color w:val="0B1220"/>
          <w:sz w:val="25"/>
        </w:rPr>
        <w:t>Model and reasoning</w:t>
      </w:r>
    </w:p>
    <w:tbl>
      <w:tblPr>
        <w:tblW w:type="auto" w:w="0"/>
        <w:jc w:val="center"/>
        <w:tblLayout w:type="fixed"/>
        <w:tblLook w:firstColumn="1" w:firstRow="1" w:lastColumn="0" w:lastRow="0" w:noHBand="0" w:noVBand="1" w:val="04A0"/>
      </w:tblPr>
      <w:tblGrid>
        <w:gridCol w:w="749"/>
        <w:gridCol w:w="5328"/>
        <w:gridCol w:w="1325"/>
        <w:gridCol w:w="1296"/>
        <w:gridCol w:w="950"/>
      </w:tblGrid>
      <w:tr>
        <w:trPr>
          <w:tblHeader w:val="true"/>
        </w:trPr>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ID</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Locked claim</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Evidence</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Status</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Volatility</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C001</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GPT-5.6 has three named tiers: Sol, Terra, and Luna.</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[S01][S02][S05]</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C002</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GPT-5.6 Sol is the flagship tier; the `gpt-5.6` API alias routes to `gpt-5.6-sol`.</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[S01][S03]</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C003</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The GPT-5.6 API supports reasoning efforts `none`, `low`, `medium`, `high`, `xhigh`, and `max`.</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[S01][S02]</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C004</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 is a reasoning selection, not a different base model. In eligible standard ChatGPT conversations, High uses GPT-5.6 Sol.</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[S04]</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C005</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ChatGPT Medium, High, and Extra High use GPT-5.6 Sol; Pro uses the GPT-5.6 Sol Pro option where available.</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[S04]</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B45309"/>
                <w:sz w:val="15"/>
              </w:rPr>
              <w:t>CONDITIONAL</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C006</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In the Responses API, Pro is enabled as a reasoning mode on a selected GPT-5.6 model; it is not a separate Pro model slug.</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C007</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GPT-5.6 Sol currently lists a 1,050,000-token context window, 128,000 maximum output tokens, and a February 16, 2026 knowledge cutoff.</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[S03]</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C008</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Current Sol API pricing is $5.00 per million input tokens and $30.00 per million output tokens; cached input is $0.50 per million.</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[S03]</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C009</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Prompts above 272,000 input tokens currently trigger higher request pricing, and GPT-5.6 cache writes are billed above the uncached input rate.</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[S03]</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bl>
    <w:p>
      <w:pPr>
        <w:spacing w:after="20"/>
      </w:pPr>
    </w:p>
    <w:p>
      <w:pPr>
        <w:keepNext/>
        <w:spacing w:before="120" w:after="80" w:line="259" w:lineRule="auto"/>
      </w:pPr>
      <w:r>
        <w:rPr>
          <w:rFonts w:ascii="Arial" w:hAnsi="Arial"/>
          <w:b/>
          <w:color w:val="0B1220"/>
          <w:sz w:val="25"/>
        </w:rPr>
        <w:t>Prompting and efficiency</w:t>
      </w:r>
    </w:p>
    <w:tbl>
      <w:tblPr>
        <w:tblW w:type="auto" w:w="0"/>
        <w:jc w:val="center"/>
        <w:tblLayout w:type="fixed"/>
        <w:tblLook w:firstColumn="1" w:firstRow="1" w:lastColumn="0" w:lastRow="0" w:noHBand="0" w:noVBand="1" w:val="04A0"/>
      </w:tblPr>
      <w:tblGrid>
        <w:gridCol w:w="749"/>
        <w:gridCol w:w="5328"/>
        <w:gridCol w:w="1325"/>
        <w:gridCol w:w="1296"/>
        <w:gridCol w:w="950"/>
      </w:tblGrid>
      <w:tr>
        <w:trPr>
          <w:tblHeader w:val="true"/>
        </w:trPr>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ID</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Locked claim</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Evidence</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Status</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Volatility</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C010</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OpenAI recommends testing the current reasoning level and one level lower on representative tasks because GPT-5.6 may retain quality with fewer tokens.</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C011</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Reasoning effort should be selected from measured quality, latency, and cost — not by assuming the maximum setting is always best.</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C012</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Leaner prompts can improve performance and reduce tokens; instructions should be stated once and irrelevant tools should not be exposed.</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C013</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Outcome-focused prompts should state the goal, relevant context, hard constraints, approval boundaries, evidence requirements, success criteria, and output format.</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C014</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Pro mode should be used selectively for difficult work where measured reliability gains justify additional latency and token usage.</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C015</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Programmatic Tool Calling, persisted reasoning, explicit prompt caching, and multi-agent beta are API capabilities and must be labeled as such.</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C016</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GPT-5.6 can be proactive and persistent; prompts should define what may be done without approval and what requires confirmation.</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[S01][S06]</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bl>
    <w:p>
      <w:pPr>
        <w:spacing w:after="20"/>
      </w:pPr>
    </w:p>
    <w:p>
      <w:pPr>
        <w:keepNext/>
        <w:spacing w:before="120" w:after="80" w:line="259" w:lineRule="auto"/>
      </w:pPr>
      <w:r>
        <w:rPr>
          <w:rFonts w:ascii="Arial" w:hAnsi="Arial"/>
          <w:b/>
          <w:color w:val="0B1220"/>
          <w:sz w:val="25"/>
        </w:rPr>
        <w:t>Skills, plugins, and apps</w:t>
      </w:r>
    </w:p>
    <w:tbl>
      <w:tblPr>
        <w:tblW w:type="auto" w:w="0"/>
        <w:jc w:val="center"/>
        <w:tblLayout w:type="fixed"/>
        <w:tblLook w:firstColumn="1" w:firstRow="1" w:lastColumn="0" w:lastRow="0" w:noHBand="0" w:noVBand="1" w:val="04A0"/>
      </w:tblPr>
      <w:tblGrid>
        <w:gridCol w:w="749"/>
        <w:gridCol w:w="5328"/>
        <w:gridCol w:w="1325"/>
        <w:gridCol w:w="1296"/>
        <w:gridCol w:w="950"/>
      </w:tblGrid>
      <w:tr>
        <w:trPr>
          <w:tblHeader w:val="true"/>
        </w:trPr>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ID</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Locked claim</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Evidence</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Status</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Volatility</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C017</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A Skill is a reusable workflow that can include instructions, examples, resources, and code; ChatGPT may apply one or more installed Skills when useful.</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[S07]</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C018</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Skill availability and administration vary by plan, surface, workspace policy, and installation state.</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[S07]</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B45309"/>
                <w:sz w:val="15"/>
              </w:rPr>
              <w:t>CONDITIONAL</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C019</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A plugin can package Skills, apps, and app templates for a workflow.</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[S08]</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C020</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Apps connect ChatGPT or Codex to external information and actions; connection and permission state are separate from the model itself.</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[S09][S10]</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C021</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App-backed capabilities inherit source-system permissions and do not grant users access they do not already possess.</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[S09][S10]</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C022</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Write actions and approval behavior depend on the app and workspace configuration; external actions must not be described as universally available.</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[S09][S10]</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B45309"/>
                <w:sz w:val="15"/>
              </w:rPr>
              <w:t>CONDITIONAL</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C023</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OpenAI states that Business, Enterprise, Edu, and API data are not used to train generalized models by default.</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[S11]</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bl>
    <w:p>
      <w:pPr>
        <w:spacing w:after="20"/>
      </w:pPr>
    </w:p>
    <w:p>
      <w:pPr>
        <w:keepNext/>
        <w:spacing w:before="120" w:after="80" w:line="259" w:lineRule="auto"/>
      </w:pPr>
      <w:r>
        <w:rPr>
          <w:rFonts w:ascii="Arial" w:hAnsi="Arial"/>
          <w:b/>
          <w:color w:val="0B1220"/>
          <w:sz w:val="25"/>
        </w:rPr>
        <w:t>Cybersecurity and safety</w:t>
      </w:r>
    </w:p>
    <w:tbl>
      <w:tblPr>
        <w:tblW w:type="auto" w:w="0"/>
        <w:jc w:val="center"/>
        <w:tblLayout w:type="fixed"/>
        <w:tblLook w:firstColumn="1" w:firstRow="1" w:lastColumn="0" w:lastRow="0" w:noHBand="0" w:noVBand="1" w:val="04A0"/>
      </w:tblPr>
      <w:tblGrid>
        <w:gridCol w:w="749"/>
        <w:gridCol w:w="5328"/>
        <w:gridCol w:w="1325"/>
        <w:gridCol w:w="1296"/>
        <w:gridCol w:w="950"/>
      </w:tblGrid>
      <w:tr>
        <w:trPr>
          <w:tblHeader w:val="true"/>
        </w:trPr>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ID</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Locked claim</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Evidence</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Status</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Volatility</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C024</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OpenAI treats GPT-5.6 Sol, Terra, and Luna as High capability in cybersecurity, below the Critical threshold.</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[S06]</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C025</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OpenAI testing indicates GPT-5.6 is presently stronger at finding and fixing vulnerabilities than at reliably completing autonomous end-to-end attacks against hardened targets.</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[S06]</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C026</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Cyber safeguards may intervene during legitimate dual-use work; this does not mean the safeguards are absent or should be circumvented.</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[S01][S06][S14]</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C027</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Trusted Access for Cyber is an identity- and trust-gated pathway for approved, authorized defensive work; it does not remove all safeguards or grant authorization to test third-party systems.</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[S14][S15]</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B45309"/>
                <w:sz w:val="15"/>
              </w:rPr>
              <w:t>CONDITIONAL</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High</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C028</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OpenAI usage policies prohibit malicious or abusive cyber activity, unsolicited safety testing, and attempts to circumvent safeguards.</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[S12]</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C029</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Prompt injection can arrive through connector, search, or function-call output and must be treated as untrusted content.</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[S06][S10]</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C030</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GPT-5.6 has shown a greater tendency than GPT-5.5 to exceed user intent in some agentic coding evaluations, supporting explicit scope and approval gates.</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[S06]</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Medium</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C031</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Security prompts must state ownership or explicit authorization, target, environment, permitted actions, prohibited actions, evidence, and stop conditions.</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Derived from [S06][S12][S14][S15]</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374151"/>
                <w:sz w:val="15"/>
              </w:rPr>
              <w:t>AUTHOR SYNTHESIS</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bl>
    <w:p>
      <w:pPr>
        <w:spacing w:after="20"/>
      </w:pPr>
    </w:p>
    <w:p>
      <w:pPr>
        <w:keepNext/>
        <w:spacing w:before="120" w:after="80" w:line="259" w:lineRule="auto"/>
      </w:pPr>
      <w:r>
        <w:rPr>
          <w:rFonts w:ascii="Arial" w:hAnsi="Arial"/>
          <w:b/>
          <w:color w:val="0B1220"/>
          <w:sz w:val="25"/>
        </w:rPr>
        <w:t>Accuracy and governance</w:t>
      </w:r>
    </w:p>
    <w:tbl>
      <w:tblPr>
        <w:tblW w:type="auto" w:w="0"/>
        <w:jc w:val="center"/>
        <w:tblLayout w:type="fixed"/>
        <w:tblLook w:firstColumn="1" w:firstRow="1" w:lastColumn="0" w:lastRow="0" w:noHBand="0" w:noVBand="1" w:val="04A0"/>
      </w:tblPr>
      <w:tblGrid>
        <w:gridCol w:w="749"/>
        <w:gridCol w:w="5328"/>
        <w:gridCol w:w="1325"/>
        <w:gridCol w:w="1296"/>
        <w:gridCol w:w="950"/>
      </w:tblGrid>
      <w:tr>
        <w:trPr>
          <w:tblHeader w:val="true"/>
        </w:trPr>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ID</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Locked claim</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Evidence</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Status</w:t>
            </w:r>
          </w:p>
        </w:tc>
        <w:tc>
          <w:tcPr>
            <w:tcW w:type="dxa" w:w="203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Volatility</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C032</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OpenAI states that model output may be inaccurate and should not be treated as a sole source of truth.</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[S13]</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r>
        <w:tc>
          <w:tcPr>
            <w:tcW w:type="dxa" w:w="749"/>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C033</w:t>
            </w:r>
          </w:p>
        </w:tc>
        <w:tc>
          <w:tcPr>
            <w:tcW w:type="dxa" w:w="5328"/>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Users are responsible for evaluating output accuracy and appropriateness, including human review where appropriate.</w:t>
            </w:r>
          </w:p>
        </w:tc>
        <w:tc>
          <w:tcPr>
            <w:tcW w:type="dxa" w:w="1325"/>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[S13]</w:t>
            </w:r>
          </w:p>
        </w:tc>
        <w:tc>
          <w:tcPr>
            <w:tcW w:type="dxa" w:w="12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5803D"/>
                <w:sz w:val="15"/>
              </w:rPr>
              <w:t>LOCKED</w:t>
            </w:r>
          </w:p>
        </w:tc>
        <w:tc>
          <w:tcPr>
            <w:tcW w:type="dxa" w:w="95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r>
        <w:tc>
          <w:tcPr>
            <w:tcW w:type="dxa" w:w="749"/>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5"/>
              </w:rPr>
              <w:t>C034</w:t>
            </w:r>
          </w:p>
        </w:tc>
        <w:tc>
          <w:tcPr>
            <w:tcW w:type="dxa" w:w="5328"/>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The final guide must distinguish verified facts, current configuration facts, author synthesis, and session-specific capability observations.</w:t>
            </w:r>
          </w:p>
        </w:tc>
        <w:tc>
          <w:tcPr>
            <w:tcW w:type="dxa" w:w="1325"/>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Source-control policy</w:t>
            </w:r>
          </w:p>
        </w:tc>
        <w:tc>
          <w:tcPr>
            <w:tcW w:type="dxa" w:w="12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374151"/>
                <w:sz w:val="15"/>
              </w:rPr>
              <w:t>AUTHOR SYNTHESIS</w:t>
            </w:r>
          </w:p>
        </w:tc>
        <w:tc>
          <w:tcPr>
            <w:tcW w:type="dxa" w:w="95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5"/>
              </w:rPr>
              <w:t>Low</w:t>
            </w:r>
          </w:p>
        </w:tc>
      </w:tr>
    </w:tbl>
    <w:p>
      <w:pPr>
        <w:spacing w:after="20"/>
      </w:pPr>
    </w:p>
    <w:p>
      <w:pPr>
        <w:keepNext/>
        <w:spacing w:before="160" w:after="100" w:line="259" w:lineRule="auto"/>
      </w:pPr>
      <w:r>
        <w:rPr>
          <w:rFonts w:ascii="Arial" w:hAnsi="Arial"/>
          <w:b/>
          <w:color w:val="2563EB"/>
          <w:sz w:val="20"/>
        </w:rPr>
        <w:t xml:space="preserve">06  </w:t>
      </w:r>
      <w:r>
        <w:rPr>
          <w:rFonts w:ascii="Arial" w:hAnsi="Arial"/>
          <w:b/>
          <w:color w:val="0B1220"/>
          <w:sz w:val="38"/>
        </w:rPr>
        <w:t>Session capability inventory</w:t>
      </w:r>
    </w:p>
    <w:p>
      <w:pPr>
        <w:keepNext w:val="0"/>
        <w:spacing w:before="0" w:after="200" w:line="259" w:lineRule="auto"/>
      </w:pPr>
      <w:r>
        <w:rPr>
          <w:rFonts w:ascii="Arial" w:hAnsi="Arial"/>
          <w:color w:val="4B5563"/>
          <w:sz w:val="21"/>
        </w:rPr>
        <w:t>Capabilities directly inspected in this conversation; these are not universal promises about every ChatGPT account.</w:t>
      </w:r>
    </w:p>
    <w:tbl>
      <w:tblPr>
        <w:tblW w:type="auto" w:w="0"/>
        <w:jc w:val="center"/>
        <w:tblLayout w:type="fixed"/>
        <w:tblLook w:firstColumn="1" w:firstRow="1" w:lastColumn="0" w:lastRow="0" w:noHBand="0" w:noVBand="1" w:val="04A0"/>
      </w:tblPr>
      <w:tblGrid>
        <w:gridCol w:w="1944"/>
        <w:gridCol w:w="5472"/>
        <w:gridCol w:w="1440"/>
        <w:gridCol w:w="1512"/>
      </w:tblGrid>
      <w:tr>
        <w:trPr>
          <w:tblHeader w:val="true"/>
        </w:trPr>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Area</w:t>
            </w:r>
          </w:p>
        </w:tc>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Verified capability</w:t>
            </w:r>
          </w:p>
        </w:tc>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Status</w:t>
            </w:r>
          </w:p>
        </w:tc>
        <w:tc>
          <w:tcPr>
            <w:tcW w:type="dxa" w:w="2541"/>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Boundary</w:t>
            </w:r>
          </w:p>
        </w:tc>
      </w:tr>
      <w:tr>
        <w:tc>
          <w:tcPr>
            <w:tcW w:type="dxa" w:w="194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Document production</w:t>
            </w:r>
          </w:p>
        </w:tc>
        <w:tc>
          <w:tcPr>
            <w:tcW w:type="dxa" w:w="547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DOCX creation/editing with render-and-inspect quality control</w:t>
            </w:r>
          </w:p>
        </w:tc>
        <w:tc>
          <w:tcPr>
            <w:tcW w:type="dxa" w:w="144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6"/>
              </w:rPr>
              <w:t>SESSION VERIFIED</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Available in this session</w:t>
            </w:r>
          </w:p>
        </w:tc>
      </w:tr>
      <w:tr>
        <w:tc>
          <w:tcPr>
            <w:tcW w:type="dxa" w:w="194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PDF operations</w:t>
            </w:r>
          </w:p>
        </w:tc>
        <w:tc>
          <w:tcPr>
            <w:tcW w:type="dxa" w:w="547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PDF creation, rendering, inspection, conversion, forms, redaction, and comparison workflows</w:t>
            </w:r>
          </w:p>
        </w:tc>
        <w:tc>
          <w:tcPr>
            <w:tcW w:type="dxa" w:w="144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6"/>
              </w:rPr>
              <w:t>SESSION VERIFIED</w:t>
            </w:r>
          </w:p>
        </w:tc>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Available in this session</w:t>
            </w:r>
          </w:p>
        </w:tc>
      </w:tr>
      <w:tr>
        <w:tc>
          <w:tcPr>
            <w:tcW w:type="dxa" w:w="194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Presentations</w:t>
            </w:r>
          </w:p>
        </w:tc>
        <w:tc>
          <w:tcPr>
            <w:tcW w:type="dxa" w:w="547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PowerPoint-style authoring with layout, overlap, and bounds diagnostics</w:t>
            </w:r>
          </w:p>
        </w:tc>
        <w:tc>
          <w:tcPr>
            <w:tcW w:type="dxa" w:w="144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6"/>
              </w:rPr>
              <w:t>SESSION VERIFIED</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Available in this session</w:t>
            </w:r>
          </w:p>
        </w:tc>
      </w:tr>
      <w:tr>
        <w:tc>
          <w:tcPr>
            <w:tcW w:type="dxa" w:w="194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Spreadsheets</w:t>
            </w:r>
          </w:p>
        </w:tc>
        <w:tc>
          <w:tcPr>
            <w:tcW w:type="dxa" w:w="547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Spreadsheet creation/editing with formula and visual validation workflows</w:t>
            </w:r>
          </w:p>
        </w:tc>
        <w:tc>
          <w:tcPr>
            <w:tcW w:type="dxa" w:w="144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6"/>
              </w:rPr>
              <w:t>SESSION VERIFIED</w:t>
            </w:r>
          </w:p>
        </w:tc>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Available in this session</w:t>
            </w:r>
          </w:p>
        </w:tc>
      </w:tr>
      <w:tr>
        <w:tc>
          <w:tcPr>
            <w:tcW w:type="dxa" w:w="194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Skill creation</w:t>
            </w:r>
          </w:p>
        </w:tc>
        <w:tc>
          <w:tcPr>
            <w:tcW w:type="dxa" w:w="547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Reusable Skill design, packaging, references, assets, and deterministic scripts</w:t>
            </w:r>
          </w:p>
        </w:tc>
        <w:tc>
          <w:tcPr>
            <w:tcW w:type="dxa" w:w="144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6"/>
              </w:rPr>
              <w:t>SESSION VERIFIED</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Available in this session</w:t>
            </w:r>
          </w:p>
        </w:tc>
      </w:tr>
      <w:tr>
        <w:tc>
          <w:tcPr>
            <w:tcW w:type="dxa" w:w="194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Web research</w:t>
            </w:r>
          </w:p>
        </w:tc>
        <w:tc>
          <w:tcPr>
            <w:tcW w:type="dxa" w:w="547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Current internet research with source citations and PDF screenshot inspection</w:t>
            </w:r>
          </w:p>
        </w:tc>
        <w:tc>
          <w:tcPr>
            <w:tcW w:type="dxa" w:w="144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6"/>
              </w:rPr>
              <w:t>SESSION VERIFIED</w:t>
            </w:r>
          </w:p>
        </w:tc>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Available in this session</w:t>
            </w:r>
          </w:p>
        </w:tc>
      </w:tr>
      <w:tr>
        <w:tc>
          <w:tcPr>
            <w:tcW w:type="dxa" w:w="194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Image generation</w:t>
            </w:r>
          </w:p>
        </w:tc>
        <w:tc>
          <w:tcPr>
            <w:tcW w:type="dxa" w:w="547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Image generation and editing capability</w:t>
            </w:r>
          </w:p>
        </w:tc>
        <w:tc>
          <w:tcPr>
            <w:tcW w:type="dxa" w:w="144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6"/>
              </w:rPr>
              <w:t>SESSION VERIFIED</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Available in this session</w:t>
            </w:r>
          </w:p>
        </w:tc>
      </w:tr>
      <w:tr>
        <w:tc>
          <w:tcPr>
            <w:tcW w:type="dxa" w:w="194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Scheduled tasks</w:t>
            </w:r>
          </w:p>
        </w:tc>
        <w:tc>
          <w:tcPr>
            <w:tcW w:type="dxa" w:w="547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One-time, recurring, and condition-based automation scheduling</w:t>
            </w:r>
          </w:p>
        </w:tc>
        <w:tc>
          <w:tcPr>
            <w:tcW w:type="dxa" w:w="1440"/>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6"/>
              </w:rPr>
              <w:t>SESSION VERIFIED</w:t>
            </w:r>
          </w:p>
        </w:tc>
        <w:tc>
          <w:tcPr>
            <w:tcW w:type="dxa" w:w="151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Available in this session</w:t>
            </w:r>
          </w:p>
        </w:tc>
      </w:tr>
      <w:tr>
        <w:tc>
          <w:tcPr>
            <w:tcW w:type="dxa" w:w="194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Google Workspace interfaces</w:t>
            </w:r>
          </w:p>
        </w:tc>
        <w:tc>
          <w:tcPr>
            <w:tcW w:type="dxa" w:w="547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Drive, Docs, Sheets, Slides, Gmail, Calendar, and Contacts tool interfaces are exposed</w:t>
            </w:r>
          </w:p>
        </w:tc>
        <w:tc>
          <w:tcPr>
            <w:tcW w:type="dxa" w:w="1440"/>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2563EB"/>
                <w:sz w:val="16"/>
              </w:rPr>
              <w:t>SESSION VERIFIED</w:t>
            </w:r>
          </w:p>
        </w:tc>
        <w:tc>
          <w:tcPr>
            <w:tcW w:type="dxa" w:w="151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Connection/authentication not asserted</w:t>
            </w:r>
          </w:p>
        </w:tc>
      </w:tr>
    </w:tbl>
    <w:p>
      <w:pPr>
        <w:spacing w:after="20"/>
      </w:pPr>
    </w:p>
    <w:tbl>
      <w:tblPr>
        <w:tblW w:type="auto" w:w="0"/>
        <w:jc w:val="center"/>
        <w:tblLayout w:type="fixed"/>
        <w:tblLook w:firstColumn="1" w:firstRow="1" w:lastColumn="0" w:lastRow="0" w:noHBand="0" w:noVBand="1" w:val="04A0"/>
      </w:tblPr>
      <w:tblGrid>
        <w:gridCol w:w="230"/>
        <w:gridCol w:w="9432"/>
      </w:tblGrid>
      <w:tr>
        <w:tc>
          <w:tcPr>
            <w:tcW w:type="dxa" w:w="5083"/>
            <w:shd w:fill="B45309"/>
            <w:tcMar>
              <w:top w:w="0" w:type="dxa"/>
              <w:start w:w="0" w:type="dxa"/>
              <w:bottom w:w="0" w:type="dxa"/>
              <w:end w:w="0" w:type="dxa"/>
            </w:tcMar>
          </w:tcPr>
          <w:p/>
        </w:tc>
        <w:tc>
          <w:tcPr>
            <w:tcW w:type="dxa" w:w="5083"/>
            <w:shd w:fill="FFF7E6"/>
            <w:tcMar>
              <w:top w:w="150" w:type="dxa"/>
              <w:start w:w="190" w:type="dxa"/>
              <w:bottom w:w="150" w:type="dxa"/>
              <w:end w:w="190" w:type="dxa"/>
            </w:tcMar>
          </w:tcPr>
          <w:p>
            <w:pPr>
              <w:keepNext w:val="0"/>
              <w:spacing w:before="0" w:after="60" w:line="259" w:lineRule="auto"/>
            </w:pPr>
            <w:r>
              <w:rPr>
                <w:rFonts w:ascii="Arial" w:hAnsi="Arial"/>
                <w:b/>
                <w:color w:val="B45309"/>
                <w:sz w:val="18"/>
              </w:rPr>
              <w:t>NON-GENERALIZATION RULE</w:t>
            </w:r>
          </w:p>
          <w:p>
            <w:pPr>
              <w:keepNext w:val="0"/>
              <w:spacing w:before="0" w:after="0" w:line="276" w:lineRule="auto"/>
            </w:pPr>
            <w:r>
              <w:rPr>
                <w:rFonts w:ascii="Arial" w:hAnsi="Arial"/>
                <w:color w:val="111827"/>
                <w:sz w:val="20"/>
              </w:rPr>
              <w:t>A tool interface being available in this session does not prove that another user has the same Skill, plan, workspace permission, connected account, or action authorization. The final guide will use capability-detection prompts instead of universal assertions.</w:t>
            </w:r>
          </w:p>
        </w:tc>
      </w:tr>
    </w:tbl>
    <w:p>
      <w:pPr>
        <w:spacing w:after="0"/>
      </w:pPr>
    </w:p>
    <w:p>
      <w:pPr>
        <w:keepNext/>
        <w:spacing w:before="160" w:after="100" w:line="259" w:lineRule="auto"/>
      </w:pPr>
      <w:r>
        <w:rPr>
          <w:rFonts w:ascii="Arial" w:hAnsi="Arial"/>
          <w:b/>
          <w:color w:val="2563EB"/>
          <w:sz w:val="20"/>
        </w:rPr>
        <w:t xml:space="preserve">07  </w:t>
      </w:r>
      <w:r>
        <w:rPr>
          <w:rFonts w:ascii="Arial" w:hAnsi="Arial"/>
          <w:b/>
          <w:color w:val="0B1220"/>
          <w:sz w:val="38"/>
        </w:rPr>
        <w:t>Excluded and reframed claims</w:t>
      </w:r>
    </w:p>
    <w:p>
      <w:pPr>
        <w:keepNext w:val="0"/>
        <w:spacing w:before="0" w:after="200" w:line="259" w:lineRule="auto"/>
      </w:pPr>
      <w:r>
        <w:rPr>
          <w:rFonts w:ascii="Arial" w:hAnsi="Arial"/>
          <w:color w:val="4B5563"/>
          <w:sz w:val="21"/>
        </w:rPr>
        <w:t>Statements that will not enter the guide in their original form.</w:t>
      </w:r>
    </w:p>
    <w:tbl>
      <w:tblPr>
        <w:tblW w:type="auto" w:w="0"/>
        <w:jc w:val="center"/>
        <w:tblLayout w:type="fixed"/>
        <w:tblLook w:firstColumn="1" w:firstRow="1" w:lastColumn="0" w:lastRow="0" w:noHBand="0" w:noVBand="1" w:val="04A0"/>
      </w:tblPr>
      <w:tblGrid>
        <w:gridCol w:w="2952"/>
        <w:gridCol w:w="1656"/>
        <w:gridCol w:w="5256"/>
      </w:tblGrid>
      <w:tr>
        <w:trPr>
          <w:tblHeader w:val="true"/>
        </w:trPr>
        <w:tc>
          <w:tcPr>
            <w:tcW w:type="dxa" w:w="3389"/>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Original claim</w:t>
            </w:r>
          </w:p>
        </w:tc>
        <w:tc>
          <w:tcPr>
            <w:tcW w:type="dxa" w:w="3389"/>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Decision</w:t>
            </w:r>
          </w:p>
        </w:tc>
        <w:tc>
          <w:tcPr>
            <w:tcW w:type="dxa" w:w="3389"/>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Approved replacement</w:t>
            </w:r>
          </w:p>
        </w:tc>
      </w:tr>
      <w:tr>
        <w:tc>
          <w:tcPr>
            <w:tcW w:type="dxa" w:w="295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“GPT-5.6 Sol High is a separate model.”</w:t>
            </w:r>
          </w:p>
        </w:tc>
        <w:tc>
          <w:tcPr>
            <w:tcW w:type="dxa" w:w="16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False / misleading</w:t>
            </w:r>
          </w:p>
        </w:tc>
        <w:tc>
          <w:tcPr>
            <w:tcW w:type="dxa" w:w="52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Use “GPT-5.6 Sol with High reasoning” and explain the ChatGPT/API distinction.</w:t>
            </w:r>
          </w:p>
        </w:tc>
      </w:tr>
      <w:tr>
        <w:tc>
          <w:tcPr>
            <w:tcW w:type="dxa" w:w="295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“Pro is always a separate API model.”</w:t>
            </w:r>
          </w:p>
        </w:tc>
        <w:tc>
          <w:tcPr>
            <w:tcW w:type="dxa" w:w="16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False for GPT-5.6 API guidance</w:t>
            </w:r>
          </w:p>
        </w:tc>
        <w:tc>
          <w:tcPr>
            <w:tcW w:type="dxa" w:w="52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Use the selected GPT-5.6 model with Pro reasoning mode; describe ChatGPT Pro separately.</w:t>
            </w:r>
          </w:p>
        </w:tc>
      </w:tr>
      <w:tr>
        <w:tc>
          <w:tcPr>
            <w:tcW w:type="dxa" w:w="295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“Maximum reasoning always produces the best result.”</w:t>
            </w:r>
          </w:p>
        </w:tc>
        <w:tc>
          <w:tcPr>
            <w:tcW w:type="dxa" w:w="16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Unsupported</w:t>
            </w:r>
          </w:p>
        </w:tc>
        <w:tc>
          <w:tcPr>
            <w:tcW w:type="dxa" w:w="52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Require representative evaluation against a lower effort and standard mode.</w:t>
            </w:r>
          </w:p>
        </w:tc>
      </w:tr>
      <w:tr>
        <w:tc>
          <w:tcPr>
            <w:tcW w:type="dxa" w:w="295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“Elite users secretly combine these exact Skills.”</w:t>
            </w:r>
          </w:p>
        </w:tc>
        <w:tc>
          <w:tcPr>
            <w:tcW w:type="dxa" w:w="16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Unverifiable</w:t>
            </w:r>
          </w:p>
        </w:tc>
        <w:tc>
          <w:tcPr>
            <w:tcW w:type="dxa" w:w="52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Present verified high-leverage workflow combinations, with prerequisites and validation gates.</w:t>
            </w:r>
          </w:p>
        </w:tc>
      </w:tr>
      <w:tr>
        <w:tc>
          <w:tcPr>
            <w:tcW w:type="dxa" w:w="295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“All Skills are built into GPT-5.6.”</w:t>
            </w:r>
          </w:p>
        </w:tc>
        <w:tc>
          <w:tcPr>
            <w:tcW w:type="dxa" w:w="16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False</w:t>
            </w:r>
          </w:p>
        </w:tc>
        <w:tc>
          <w:tcPr>
            <w:tcW w:type="dxa" w:w="52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Skills are installed workflow capabilities governed by product surface and workspace state.</w:t>
            </w:r>
          </w:p>
        </w:tc>
      </w:tr>
      <w:tr>
        <w:tc>
          <w:tcPr>
            <w:tcW w:type="dxa" w:w="295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“Apps automatically have permission to act.”</w:t>
            </w:r>
          </w:p>
        </w:tc>
        <w:tc>
          <w:tcPr>
            <w:tcW w:type="dxa" w:w="16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False</w:t>
            </w:r>
          </w:p>
        </w:tc>
        <w:tc>
          <w:tcPr>
            <w:tcW w:type="dxa" w:w="52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Apps require connection, source permissions, workspace enablement, action controls, and sometimes confirmation.</w:t>
            </w:r>
          </w:p>
        </w:tc>
      </w:tr>
      <w:tr>
        <w:tc>
          <w:tcPr>
            <w:tcW w:type="dxa" w:w="295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“An authorization statement bypasses cyber safeguards.”</w:t>
            </w:r>
          </w:p>
        </w:tc>
        <w:tc>
          <w:tcPr>
            <w:tcW w:type="dxa" w:w="16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False and unsafe</w:t>
            </w:r>
          </w:p>
        </w:tc>
        <w:tc>
          <w:tcPr>
            <w:tcW w:type="dxa" w:w="52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Authorization improves clarity and scope; safeguards and policies still apply.</w:t>
            </w:r>
          </w:p>
        </w:tc>
      </w:tr>
      <w:tr>
        <w:tc>
          <w:tcPr>
            <w:tcW w:type="dxa" w:w="2952"/>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“A successful response proves the work was completed.”</w:t>
            </w:r>
          </w:p>
        </w:tc>
        <w:tc>
          <w:tcPr>
            <w:tcW w:type="dxa" w:w="16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Unsafe</w:t>
            </w:r>
          </w:p>
        </w:tc>
        <w:tc>
          <w:tcPr>
            <w:tcW w:type="dxa" w:w="525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Require evidence: file existence, tests, renders, diffs, logs, citations, or tool output.</w:t>
            </w:r>
          </w:p>
        </w:tc>
      </w:tr>
      <w:tr>
        <w:tc>
          <w:tcPr>
            <w:tcW w:type="dxa" w:w="2952"/>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6"/>
              </w:rPr>
              <w:t>“The model’s private chain of thought should be demanded.”</w:t>
            </w:r>
          </w:p>
        </w:tc>
        <w:tc>
          <w:tcPr>
            <w:tcW w:type="dxa" w:w="16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Not required</w:t>
            </w:r>
          </w:p>
        </w:tc>
        <w:tc>
          <w:tcPr>
            <w:tcW w:type="dxa" w:w="525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6"/>
              </w:rPr>
              <w:t>Request conclusions, evidence, assumptions, validation, and unresolved risks.</w:t>
            </w:r>
          </w:p>
        </w:tc>
      </w:tr>
    </w:tbl>
    <w:p>
      <w:pPr>
        <w:spacing w:after="20"/>
      </w:pPr>
    </w:p>
    <w:p>
      <w:pPr>
        <w:keepNext/>
        <w:spacing w:before="160" w:after="100" w:line="259" w:lineRule="auto"/>
      </w:pPr>
      <w:r>
        <w:rPr>
          <w:rFonts w:ascii="Arial" w:hAnsi="Arial"/>
          <w:b/>
          <w:color w:val="2563EB"/>
          <w:sz w:val="20"/>
        </w:rPr>
        <w:t xml:space="preserve">08  </w:t>
      </w:r>
      <w:r>
        <w:rPr>
          <w:rFonts w:ascii="Arial" w:hAnsi="Arial"/>
          <w:b/>
          <w:color w:val="0B1220"/>
          <w:sz w:val="38"/>
        </w:rPr>
        <w:t>Cybersecurity source lock</w:t>
      </w:r>
    </w:p>
    <w:p>
      <w:pPr>
        <w:keepNext w:val="0"/>
        <w:spacing w:before="0" w:after="200" w:line="259" w:lineRule="auto"/>
      </w:pPr>
      <w:r>
        <w:rPr>
          <w:rFonts w:ascii="Arial" w:hAnsi="Arial"/>
          <w:color w:val="4B5563"/>
          <w:sz w:val="21"/>
        </w:rPr>
        <w:t>Mandatory evidence and controls for the detailed defensive-security section.</w:t>
      </w:r>
    </w:p>
    <w:tbl>
      <w:tblPr>
        <w:tblW w:type="auto" w:w="0"/>
        <w:jc w:val="center"/>
        <w:tblLayout w:type="fixed"/>
        <w:tblLook w:firstColumn="1" w:firstRow="1" w:lastColumn="0" w:lastRow="0" w:noHBand="0" w:noVBand="1" w:val="04A0"/>
      </w:tblPr>
      <w:tblGrid>
        <w:gridCol w:w="230"/>
        <w:gridCol w:w="9432"/>
      </w:tblGrid>
      <w:tr>
        <w:tc>
          <w:tcPr>
            <w:tcW w:type="dxa" w:w="5083"/>
            <w:shd w:fill="B91C1C"/>
            <w:tcMar>
              <w:top w:w="0" w:type="dxa"/>
              <w:start w:w="0" w:type="dxa"/>
              <w:bottom w:w="0" w:type="dxa"/>
              <w:end w:w="0" w:type="dxa"/>
            </w:tcMar>
          </w:tcPr>
          <w:p/>
        </w:tc>
        <w:tc>
          <w:tcPr>
            <w:tcW w:type="dxa" w:w="5083"/>
            <w:shd w:fill="FEF2F2"/>
            <w:tcMar>
              <w:top w:w="150" w:type="dxa"/>
              <w:start w:w="190" w:type="dxa"/>
              <w:bottom w:w="150" w:type="dxa"/>
              <w:end w:w="190" w:type="dxa"/>
            </w:tcMar>
          </w:tcPr>
          <w:p>
            <w:pPr>
              <w:keepNext w:val="0"/>
              <w:spacing w:before="0" w:after="60" w:line="259" w:lineRule="auto"/>
            </w:pPr>
            <w:r>
              <w:rPr>
                <w:rFonts w:ascii="Arial" w:hAnsi="Arial"/>
                <w:b/>
                <w:color w:val="B91C1C"/>
                <w:sz w:val="18"/>
              </w:rPr>
              <w:t>CYBER POSITION</w:t>
            </w:r>
          </w:p>
          <w:p>
            <w:pPr>
              <w:keepNext w:val="0"/>
              <w:spacing w:before="0" w:after="0" w:line="276" w:lineRule="auto"/>
            </w:pPr>
            <w:r>
              <w:rPr>
                <w:rFonts w:ascii="Arial" w:hAnsi="Arial"/>
                <w:color w:val="111827"/>
                <w:sz w:val="20"/>
              </w:rPr>
              <w:t>The guide will maximize authorized defensive usefulness — secure code review, threat modeling, vulnerability triage, patching, detection engineering, incident response, malware analysis, and controlled validation — without presenting policy bypass, unauthorized targeting, persistence, credential theft, destructive action, or uncontrolled deployment as acceptable workflows.</w:t>
            </w:r>
          </w:p>
        </w:tc>
      </w:tr>
    </w:tbl>
    <w:p>
      <w:pPr>
        <w:spacing w:after="0"/>
      </w:pPr>
    </w:p>
    <w:p>
      <w:pPr>
        <w:keepNext/>
        <w:spacing w:before="120" w:after="80" w:line="259" w:lineRule="auto"/>
      </w:pPr>
      <w:r>
        <w:rPr>
          <w:rFonts w:ascii="Arial" w:hAnsi="Arial"/>
          <w:b/>
          <w:color w:val="0B1220"/>
          <w:sz w:val="25"/>
        </w:rPr>
        <w:t>Mandatory prompt-control fields</w:t>
      </w:r>
    </w:p>
    <w:p>
      <w:pPr>
        <w:pStyle w:val="ListBullet"/>
        <w:keepNext w:val="0"/>
        <w:spacing w:before="0" w:after="60" w:line="264" w:lineRule="auto"/>
      </w:pPr>
      <w:r>
        <w:rPr>
          <w:rFonts w:ascii="Arial" w:hAnsi="Arial"/>
          <w:color w:val="374151"/>
          <w:sz w:val="20"/>
        </w:rPr>
        <w:t>System owner or authorizing organization</w:t>
      </w:r>
    </w:p>
    <w:p>
      <w:pPr>
        <w:pStyle w:val="ListBullet"/>
        <w:keepNext w:val="0"/>
        <w:spacing w:before="0" w:after="60" w:line="264" w:lineRule="auto"/>
      </w:pPr>
      <w:r>
        <w:rPr>
          <w:rFonts w:ascii="Arial" w:hAnsi="Arial"/>
          <w:color w:val="374151"/>
          <w:sz w:val="20"/>
        </w:rPr>
        <w:t>Named target and environment</w:t>
      </w:r>
    </w:p>
    <w:p>
      <w:pPr>
        <w:pStyle w:val="ListBullet"/>
        <w:keepNext w:val="0"/>
        <w:spacing w:before="0" w:after="60" w:line="264" w:lineRule="auto"/>
      </w:pPr>
      <w:r>
        <w:rPr>
          <w:rFonts w:ascii="Arial" w:hAnsi="Arial"/>
          <w:color w:val="374151"/>
          <w:sz w:val="20"/>
        </w:rPr>
        <w:t>Defensive objective</w:t>
      </w:r>
    </w:p>
    <w:p>
      <w:pPr>
        <w:pStyle w:val="ListBullet"/>
        <w:keepNext w:val="0"/>
        <w:spacing w:before="0" w:after="60" w:line="264" w:lineRule="auto"/>
      </w:pPr>
      <w:r>
        <w:rPr>
          <w:rFonts w:ascii="Arial" w:hAnsi="Arial"/>
          <w:color w:val="374151"/>
          <w:sz w:val="20"/>
        </w:rPr>
        <w:t>Permitted actions and prohibited actions</w:t>
      </w:r>
    </w:p>
    <w:p>
      <w:pPr>
        <w:pStyle w:val="ListBullet"/>
        <w:keepNext w:val="0"/>
        <w:spacing w:before="0" w:after="60" w:line="264" w:lineRule="auto"/>
      </w:pPr>
      <w:r>
        <w:rPr>
          <w:rFonts w:ascii="Arial" w:hAnsi="Arial"/>
          <w:color w:val="374151"/>
          <w:sz w:val="20"/>
        </w:rPr>
        <w:t>Evidence available and evidence-handling rules</w:t>
      </w:r>
    </w:p>
    <w:p>
      <w:pPr>
        <w:pStyle w:val="ListBullet"/>
        <w:keepNext w:val="0"/>
        <w:spacing w:before="0" w:after="60" w:line="264" w:lineRule="auto"/>
      </w:pPr>
      <w:r>
        <w:rPr>
          <w:rFonts w:ascii="Arial" w:hAnsi="Arial"/>
          <w:color w:val="374151"/>
          <w:sz w:val="20"/>
        </w:rPr>
        <w:t>External-write, destructive-action, and credential boundaries</w:t>
      </w:r>
    </w:p>
    <w:p>
      <w:pPr>
        <w:pStyle w:val="ListBullet"/>
        <w:keepNext w:val="0"/>
        <w:spacing w:before="0" w:after="60" w:line="264" w:lineRule="auto"/>
      </w:pPr>
      <w:r>
        <w:rPr>
          <w:rFonts w:ascii="Arial" w:hAnsi="Arial"/>
          <w:color w:val="374151"/>
          <w:sz w:val="20"/>
        </w:rPr>
        <w:t>Test and rollback requirements</w:t>
      </w:r>
    </w:p>
    <w:p>
      <w:pPr>
        <w:pStyle w:val="ListBullet"/>
        <w:keepNext w:val="0"/>
        <w:spacing w:before="0" w:after="60" w:line="264" w:lineRule="auto"/>
      </w:pPr>
      <w:r>
        <w:rPr>
          <w:rFonts w:ascii="Arial" w:hAnsi="Arial"/>
          <w:color w:val="374151"/>
          <w:sz w:val="20"/>
        </w:rPr>
        <w:t>Stop conditions and escalation path</w:t>
      </w:r>
    </w:p>
    <w:p>
      <w:pPr>
        <w:pStyle w:val="ListBullet"/>
        <w:keepNext w:val="0"/>
        <w:spacing w:before="0" w:after="60" w:line="264" w:lineRule="auto"/>
      </w:pPr>
      <w:r>
        <w:rPr>
          <w:rFonts w:ascii="Arial" w:hAnsi="Arial"/>
          <w:color w:val="374151"/>
          <w:sz w:val="20"/>
        </w:rPr>
        <w:t>Required final evidence and residual-risk statement</w:t>
      </w:r>
    </w:p>
    <w:p>
      <w:pPr>
        <w:keepNext/>
        <w:spacing w:before="120" w:after="80" w:line="259" w:lineRule="auto"/>
      </w:pPr>
      <w:r>
        <w:rPr>
          <w:rFonts w:ascii="Arial" w:hAnsi="Arial"/>
          <w:b/>
          <w:color w:val="0B1220"/>
          <w:sz w:val="25"/>
        </w:rPr>
        <w:t>Mandatory cyber editorial rules</w:t>
      </w:r>
    </w:p>
    <w:p>
      <w:pPr>
        <w:pStyle w:val="ListBullet"/>
        <w:keepNext w:val="0"/>
        <w:spacing w:before="0" w:after="60" w:line="264" w:lineRule="auto"/>
      </w:pPr>
      <w:r>
        <w:rPr>
          <w:rFonts w:ascii="Arial" w:hAnsi="Arial"/>
          <w:color w:val="374151"/>
          <w:sz w:val="20"/>
        </w:rPr>
        <w:t>Differentiate ordinary defensive work from controlled dual-use validation.</w:t>
      </w:r>
    </w:p>
    <w:p>
      <w:pPr>
        <w:pStyle w:val="ListBullet"/>
        <w:keepNext w:val="0"/>
        <w:spacing w:before="0" w:after="60" w:line="264" w:lineRule="auto"/>
      </w:pPr>
      <w:r>
        <w:rPr>
          <w:rFonts w:ascii="Arial" w:hAnsi="Arial"/>
          <w:color w:val="374151"/>
          <w:sz w:val="20"/>
        </w:rPr>
        <w:t>Do not imply that Trusted Access is automatic, universal, customer-facing, or safeguard-free.</w:t>
      </w:r>
    </w:p>
    <w:p>
      <w:pPr>
        <w:pStyle w:val="ListBullet"/>
        <w:keepNext w:val="0"/>
        <w:spacing w:before="0" w:after="60" w:line="264" w:lineRule="auto"/>
      </w:pPr>
      <w:r>
        <w:rPr>
          <w:rFonts w:ascii="Arial" w:hAnsi="Arial"/>
          <w:color w:val="374151"/>
          <w:sz w:val="20"/>
        </w:rPr>
        <w:t>Treat tool output and retrieved content as potentially prompt-injected or malicious.</w:t>
      </w:r>
    </w:p>
    <w:p>
      <w:pPr>
        <w:pStyle w:val="ListBullet"/>
        <w:keepNext w:val="0"/>
        <w:spacing w:before="0" w:after="60" w:line="264" w:lineRule="auto"/>
      </w:pPr>
      <w:r>
        <w:rPr>
          <w:rFonts w:ascii="Arial" w:hAnsi="Arial"/>
          <w:color w:val="374151"/>
          <w:sz w:val="20"/>
        </w:rPr>
        <w:t>Require a patch or mitigation path whenever a vulnerability finding is produced.</w:t>
      </w:r>
    </w:p>
    <w:p>
      <w:pPr>
        <w:pStyle w:val="ListBullet"/>
        <w:keepNext w:val="0"/>
        <w:spacing w:before="0" w:after="60" w:line="264" w:lineRule="auto"/>
      </w:pPr>
      <w:r>
        <w:rPr>
          <w:rFonts w:ascii="Arial" w:hAnsi="Arial"/>
          <w:color w:val="374151"/>
          <w:sz w:val="20"/>
        </w:rPr>
        <w:t>Require evidence location, exploitability conditions, confidence, false-positive analysis, and regression testing for code findings.</w:t>
      </w:r>
    </w:p>
    <w:p>
      <w:pPr>
        <w:pStyle w:val="ListBullet"/>
        <w:keepNext w:val="0"/>
        <w:spacing w:before="0" w:after="60" w:line="264" w:lineRule="auto"/>
      </w:pPr>
      <w:r>
        <w:rPr>
          <w:rFonts w:ascii="Arial" w:hAnsi="Arial"/>
          <w:color w:val="374151"/>
          <w:sz w:val="20"/>
        </w:rPr>
        <w:t>Use approval gates for external writes, production changes, destructive tests, credential use, and material scope expansion.</w:t>
      </w:r>
    </w:p>
    <w:p>
      <w:pPr>
        <w:keepNext/>
        <w:spacing w:before="160" w:after="100" w:line="259" w:lineRule="auto"/>
      </w:pPr>
      <w:r>
        <w:rPr>
          <w:rFonts w:ascii="Arial" w:hAnsi="Arial"/>
          <w:b/>
          <w:color w:val="2563EB"/>
          <w:sz w:val="20"/>
        </w:rPr>
        <w:t xml:space="preserve">09  </w:t>
      </w:r>
      <w:r>
        <w:rPr>
          <w:rFonts w:ascii="Arial" w:hAnsi="Arial"/>
          <w:b/>
          <w:color w:val="0B1220"/>
          <w:sz w:val="38"/>
        </w:rPr>
        <w:t>Phase 2 entry criteria</w:t>
      </w:r>
    </w:p>
    <w:p>
      <w:pPr>
        <w:keepNext w:val="0"/>
        <w:spacing w:before="0" w:after="200" w:line="259" w:lineRule="auto"/>
      </w:pPr>
      <w:r>
        <w:rPr>
          <w:rFonts w:ascii="Arial" w:hAnsi="Arial"/>
          <w:color w:val="4B5563"/>
          <w:sz w:val="21"/>
        </w:rPr>
        <w:t>The source lock is complete; prompt architecture may begin under the following controls.</w:t>
      </w:r>
    </w:p>
    <w:tbl>
      <w:tblPr>
        <w:tblW w:type="auto" w:w="0"/>
        <w:jc w:val="center"/>
        <w:tblLayout w:type="fixed"/>
        <w:tblLook w:firstColumn="1" w:firstRow="1" w:lastColumn="0" w:lastRow="0" w:noHBand="0" w:noVBand="1" w:val="04A0"/>
      </w:tblPr>
      <w:tblGrid>
        <w:gridCol w:w="1224"/>
        <w:gridCol w:w="8496"/>
      </w:tblGrid>
      <w:tr>
        <w:trPr>
          <w:tblHeader w:val="true"/>
        </w:trPr>
        <w:tc>
          <w:tcPr>
            <w:tcW w:type="dxa" w:w="508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Gate</w:t>
            </w:r>
          </w:p>
        </w:tc>
        <w:tc>
          <w:tcPr>
            <w:tcW w:type="dxa" w:w="5083"/>
            <w:shd w:fill="0B1220"/>
            <w:tcMar>
              <w:top w:w="110" w:type="dxa"/>
              <w:start w:w="100" w:type="dxa"/>
              <w:bottom w:w="110" w:type="dxa"/>
              <w:end w:w="100" w:type="dxa"/>
            </w:tcMar>
            <w:vAlign w:val="center"/>
          </w:tcPr>
          <w:p>
            <w:pPr>
              <w:keepNext w:val="0"/>
              <w:spacing w:before="0" w:after="0" w:line="240" w:lineRule="auto"/>
              <w:jc w:val="left"/>
            </w:pPr>
            <w:r>
              <w:rPr>
                <w:rFonts w:ascii="Arial" w:hAnsi="Arial"/>
                <w:b/>
                <w:color w:val="FFFFFF"/>
                <w:sz w:val="16"/>
              </w:rPr>
              <w:t>Result</w:t>
            </w:r>
          </w:p>
        </w:tc>
      </w:tr>
      <w:tr>
        <w:tc>
          <w:tcPr>
            <w:tcW w:type="dxa" w:w="122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8"/>
              </w:rPr>
              <w:t>PASS</w:t>
            </w:r>
          </w:p>
        </w:tc>
        <w:tc>
          <w:tcPr>
            <w:tcW w:type="dxa" w:w="84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8"/>
              </w:rPr>
              <w:t>Official model naming and product-surface distinctions established.</w:t>
            </w:r>
          </w:p>
        </w:tc>
      </w:tr>
      <w:tr>
        <w:tc>
          <w:tcPr>
            <w:tcW w:type="dxa" w:w="122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8"/>
              </w:rPr>
              <w:t>PASS</w:t>
            </w:r>
          </w:p>
        </w:tc>
        <w:tc>
          <w:tcPr>
            <w:tcW w:type="dxa" w:w="84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8"/>
              </w:rPr>
              <w:t>Current OpenAI model, ChatGPT, Skill, plugin, app, policy, and system-card sources registered.</w:t>
            </w:r>
          </w:p>
        </w:tc>
      </w:tr>
      <w:tr>
        <w:tc>
          <w:tcPr>
            <w:tcW w:type="dxa" w:w="122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8"/>
              </w:rPr>
              <w:t>PASS</w:t>
            </w:r>
          </w:p>
        </w:tc>
        <w:tc>
          <w:tcPr>
            <w:tcW w:type="dxa" w:w="84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8"/>
              </w:rPr>
              <w:t>Cyber capability and safeguard claims bounded by official sources.</w:t>
            </w:r>
          </w:p>
        </w:tc>
      </w:tr>
      <w:tr>
        <w:tc>
          <w:tcPr>
            <w:tcW w:type="dxa" w:w="122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8"/>
              </w:rPr>
              <w:t>PASS</w:t>
            </w:r>
          </w:p>
        </w:tc>
        <w:tc>
          <w:tcPr>
            <w:tcW w:type="dxa" w:w="84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8"/>
              </w:rPr>
              <w:t>Session capabilities separated from universal model claims.</w:t>
            </w:r>
          </w:p>
        </w:tc>
      </w:tr>
      <w:tr>
        <w:tc>
          <w:tcPr>
            <w:tcW w:type="dxa" w:w="122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8"/>
              </w:rPr>
              <w:t>PASS</w:t>
            </w:r>
          </w:p>
        </w:tc>
        <w:tc>
          <w:tcPr>
            <w:tcW w:type="dxa" w:w="84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8"/>
              </w:rPr>
              <w:t>Unsupported and misleading claims removed or reframed.</w:t>
            </w:r>
          </w:p>
        </w:tc>
      </w:tr>
      <w:tr>
        <w:tc>
          <w:tcPr>
            <w:tcW w:type="dxa" w:w="1224"/>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8"/>
              </w:rPr>
              <w:t>PASS</w:t>
            </w:r>
          </w:p>
        </w:tc>
        <w:tc>
          <w:tcPr>
            <w:tcW w:type="dxa" w:w="8496"/>
            <w:shd w:fill="F8FAFC"/>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8"/>
              </w:rPr>
              <w:t>Volatile facts identified for final prepublication re-verification.</w:t>
            </w:r>
          </w:p>
        </w:tc>
      </w:tr>
      <w:tr>
        <w:tc>
          <w:tcPr>
            <w:tcW w:type="dxa" w:w="1224"/>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color w:val="111827"/>
                <w:sz w:val="18"/>
              </w:rPr>
              <w:t>NEXT</w:t>
            </w:r>
          </w:p>
        </w:tc>
        <w:tc>
          <w:tcPr>
            <w:tcW w:type="dxa" w:w="8496"/>
            <w:shd w:fill="FFFFFF"/>
            <w:tcMar>
              <w:top w:w="95" w:type="dxa"/>
              <w:start w:w="100" w:type="dxa"/>
              <w:bottom w:w="95" w:type="dxa"/>
              <w:end w:w="100" w:type="dxa"/>
            </w:tcMar>
            <w:vAlign w:val="center"/>
            <w:tcBorders>
              <w:bottom w:val="single" w:sz="3" w:space="0" w:color="E5E7EB"/>
            </w:tcBorders>
          </w:tcPr>
          <w:p>
            <w:pPr>
              <w:keepNext w:val="0"/>
              <w:spacing w:before="0" w:after="0" w:line="252" w:lineRule="auto"/>
              <w:jc w:val="left"/>
            </w:pPr>
            <w:r>
              <w:rPr>
                <w:rFonts w:ascii="Arial" w:hAnsi="Arial"/>
                <w:b w:val="0"/>
                <w:color w:val="374151"/>
                <w:sz w:val="18"/>
              </w:rPr>
              <w:t>Build the DIRECT prompt architecture, prompt-card schema, reasoning-selection matrix, and validation framework.</w:t>
            </w:r>
          </w:p>
        </w:tc>
      </w:tr>
    </w:tbl>
    <w:p>
      <w:pPr>
        <w:spacing w:after="20"/>
      </w:pPr>
    </w:p>
    <w:tbl>
      <w:tblPr>
        <w:tblW w:type="auto" w:w="0"/>
        <w:jc w:val="center"/>
        <w:tblLayout w:type="fixed"/>
        <w:tblLook w:firstColumn="1" w:firstRow="1" w:lastColumn="0" w:lastRow="0" w:noHBand="0" w:noVBand="1" w:val="04A0"/>
      </w:tblPr>
      <w:tblGrid>
        <w:gridCol w:w="230"/>
        <w:gridCol w:w="9432"/>
      </w:tblGrid>
      <w:tr>
        <w:tc>
          <w:tcPr>
            <w:tcW w:type="dxa" w:w="5083"/>
            <w:shd w:fill="15803D"/>
            <w:tcMar>
              <w:top w:w="0" w:type="dxa"/>
              <w:start w:w="0" w:type="dxa"/>
              <w:bottom w:w="0" w:type="dxa"/>
              <w:end w:w="0" w:type="dxa"/>
            </w:tcMar>
          </w:tcPr>
          <w:p/>
        </w:tc>
        <w:tc>
          <w:tcPr>
            <w:tcW w:type="dxa" w:w="5083"/>
            <w:shd w:fill="ECFDF3"/>
            <w:tcMar>
              <w:top w:w="150" w:type="dxa"/>
              <w:start w:w="190" w:type="dxa"/>
              <w:bottom w:w="150" w:type="dxa"/>
              <w:end w:w="190" w:type="dxa"/>
            </w:tcMar>
          </w:tcPr>
          <w:p>
            <w:pPr>
              <w:keepNext w:val="0"/>
              <w:spacing w:before="0" w:after="60" w:line="259" w:lineRule="auto"/>
            </w:pPr>
            <w:r>
              <w:rPr>
                <w:rFonts w:ascii="Arial" w:hAnsi="Arial"/>
                <w:b/>
                <w:color w:val="15803D"/>
                <w:sz w:val="18"/>
              </w:rPr>
              <w:t>PHASE 2 AUTHORIZED</w:t>
            </w:r>
          </w:p>
          <w:p>
            <w:pPr>
              <w:keepNext w:val="0"/>
              <w:spacing w:before="0" w:after="0" w:line="276" w:lineRule="auto"/>
            </w:pPr>
            <w:r>
              <w:rPr>
                <w:rFonts w:ascii="Arial" w:hAnsi="Arial"/>
                <w:color w:val="111827"/>
                <w:sz w:val="20"/>
              </w:rPr>
              <w:t>Proceed to Prompt Architecture: define the compact, production-high, and audit-grade prompt systems; map each to ChatGPT/API surfaces; and embed verification, autonomy, and cyber authorization controls from the start.</w:t>
            </w:r>
          </w:p>
        </w:tc>
      </w:tr>
    </w:tbl>
    <w:p>
      <w:pPr>
        <w:spacing w:after="0"/>
      </w:pPr>
    </w:p>
    <w:p>
      <w:pPr>
        <w:keepNext/>
        <w:spacing w:before="160" w:after="100" w:line="259" w:lineRule="auto"/>
      </w:pPr>
      <w:r>
        <w:rPr>
          <w:rFonts w:ascii="Arial" w:hAnsi="Arial"/>
          <w:b/>
          <w:color w:val="2563EB"/>
          <w:sz w:val="20"/>
        </w:rPr>
        <w:t xml:space="preserve">A  </w:t>
      </w:r>
      <w:r>
        <w:rPr>
          <w:rFonts w:ascii="Arial" w:hAnsi="Arial"/>
          <w:b/>
          <w:color w:val="0B1220"/>
          <w:sz w:val="38"/>
        </w:rPr>
        <w:t>Maintenance and publication protocol</w:t>
      </w:r>
    </w:p>
    <w:p>
      <w:pPr>
        <w:keepNext w:val="0"/>
        <w:spacing w:before="0" w:after="200" w:line="259" w:lineRule="auto"/>
      </w:pPr>
      <w:r>
        <w:rPr>
          <w:rFonts w:ascii="Arial" w:hAnsi="Arial"/>
          <w:color w:val="4B5563"/>
          <w:sz w:val="21"/>
        </w:rPr>
        <w:t>How the source lock remains reliable as OpenAI products evolve.</w:t>
      </w:r>
    </w:p>
    <w:p>
      <w:pPr>
        <w:pStyle w:val="ListBullet"/>
        <w:keepNext w:val="0"/>
        <w:spacing w:before="0" w:after="60" w:line="264" w:lineRule="auto"/>
      </w:pPr>
      <w:r>
        <w:rPr>
          <w:rFonts w:ascii="Arial" w:hAnsi="Arial"/>
          <w:color w:val="374151"/>
          <w:sz w:val="20"/>
        </w:rPr>
        <w:t>Re-check S01–S06 immediately before final publication because model configuration, availability, pricing, and product labels are high-volatility.</w:t>
      </w:r>
    </w:p>
    <w:p>
      <w:pPr>
        <w:pStyle w:val="ListBullet"/>
        <w:keepNext w:val="0"/>
        <w:spacing w:before="0" w:after="60" w:line="264" w:lineRule="auto"/>
      </w:pPr>
      <w:r>
        <w:rPr>
          <w:rFonts w:ascii="Arial" w:hAnsi="Arial"/>
          <w:color w:val="374151"/>
          <w:sz w:val="20"/>
        </w:rPr>
        <w:t>Re-check S07–S10 before publishing any Skills, plugins, apps, or admin-interface instructions.</w:t>
      </w:r>
    </w:p>
    <w:p>
      <w:pPr>
        <w:pStyle w:val="ListBullet"/>
        <w:keepNext w:val="0"/>
        <w:spacing w:before="0" w:after="60" w:line="264" w:lineRule="auto"/>
      </w:pPr>
      <w:r>
        <w:rPr>
          <w:rFonts w:ascii="Arial" w:hAnsi="Arial"/>
          <w:color w:val="374151"/>
          <w:sz w:val="20"/>
        </w:rPr>
        <w:t>Re-check S12–S15 before publishing cybersecurity boundaries or access-program guidance.</w:t>
      </w:r>
    </w:p>
    <w:p>
      <w:pPr>
        <w:pStyle w:val="ListBullet"/>
        <w:keepNext w:val="0"/>
        <w:spacing w:before="0" w:after="60" w:line="264" w:lineRule="auto"/>
      </w:pPr>
      <w:r>
        <w:rPr>
          <w:rFonts w:ascii="Arial" w:hAnsi="Arial"/>
          <w:color w:val="374151"/>
          <w:sz w:val="20"/>
        </w:rPr>
        <w:t>Date every product table and mark plan-dependent features explicitly.</w:t>
      </w:r>
    </w:p>
    <w:p>
      <w:pPr>
        <w:pStyle w:val="ListBullet"/>
        <w:keepNext w:val="0"/>
        <w:spacing w:before="0" w:after="60" w:line="264" w:lineRule="auto"/>
      </w:pPr>
      <w:r>
        <w:rPr>
          <w:rFonts w:ascii="Arial" w:hAnsi="Arial"/>
          <w:color w:val="374151"/>
          <w:sz w:val="20"/>
        </w:rPr>
        <w:t>Preserve a claim-to-source mapping in the editable master document.</w:t>
      </w:r>
    </w:p>
    <w:p>
      <w:pPr>
        <w:pStyle w:val="ListBullet"/>
        <w:keepNext w:val="0"/>
        <w:spacing w:before="0" w:after="60" w:line="264" w:lineRule="auto"/>
      </w:pPr>
      <w:r>
        <w:rPr>
          <w:rFonts w:ascii="Arial" w:hAnsi="Arial"/>
          <w:color w:val="374151"/>
          <w:sz w:val="20"/>
        </w:rPr>
        <w:t>When an official source changes, update the claim register first, then all prompt cards that depend on the changed claim.</w:t>
      </w:r>
    </w:p>
    <w:p>
      <w:pPr>
        <w:keepNext w:val="0"/>
        <w:spacing w:before="240" w:after="40" w:line="259" w:lineRule="auto"/>
      </w:pPr>
      <w:r>
        <w:rPr>
          <w:rFonts w:ascii="Arial" w:hAnsi="Arial"/>
          <w:b/>
          <w:color w:val="2563EB"/>
          <w:sz w:val="20"/>
        </w:rPr>
        <w:t>Source lock owner note</w:t>
      </w:r>
    </w:p>
    <w:p>
      <w:pPr>
        <w:keepNext w:val="0"/>
        <w:spacing w:before="0" w:after="0" w:line="276" w:lineRule="auto"/>
      </w:pPr>
      <w:r>
        <w:rPr>
          <w:rFonts w:ascii="Arial" w:hAnsi="Arial"/>
          <w:color w:val="374151"/>
          <w:sz w:val="20"/>
        </w:rPr>
        <w:t>This report controls factual claims for the future guide. It does not yet contain the full prompt library, security prompt pack, design system, or production PDF. Those artifacts begin in later phases using the locked claims above.</w:t>
      </w:r>
    </w:p>
    <w:sectPr w:rsidR="00FC693F" w:rsidRPr="0006063C" w:rsidSect="00034616">
      <w:headerReference w:type="default" r:id="rId9"/>
      <w:footerReference w:type="default" r:id="rId10"/>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color w:val="6B7280"/>
        <w:sz w:val="16"/>
      </w:rPr>
      <w:t xml:space="preserve">PHASE 1  •  </w:t>
    </w:r>
    <w:r>
      <w:rPr>
        <w:rFonts w:ascii="Arial" w:hAnsi="Arial"/>
        <w:b/>
        <w:color w:val="6B72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B7280"/>
        <w:sz w:val="15"/>
      </w:rPr>
      <w:t>GPT-5.6 SOL HIGH  /  SOURCE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guides/latest-model" TargetMode="External"/><Relationship Id="rId12" Type="http://schemas.openxmlformats.org/officeDocument/2006/relationships/hyperlink" Target="https://developers.openai.com/api/docs/models" TargetMode="External"/><Relationship Id="rId13" Type="http://schemas.openxmlformats.org/officeDocument/2006/relationships/hyperlink" Target="https://developers.openai.com/api/docs/models/gpt-5.6-sol" TargetMode="External"/><Relationship Id="rId14" Type="http://schemas.openxmlformats.org/officeDocument/2006/relationships/hyperlink" Target="https://help.openai.com/en/articles/20001354-gpt-56-in-chatgpt/" TargetMode="External"/><Relationship Id="rId15" Type="http://schemas.openxmlformats.org/officeDocument/2006/relationships/hyperlink" Target="https://openai.com/index/gpt-5-6/" TargetMode="External"/><Relationship Id="rId16" Type="http://schemas.openxmlformats.org/officeDocument/2006/relationships/hyperlink" Target="https://deploymentsafety.openai.com/gpt-5-6" TargetMode="External"/><Relationship Id="rId17" Type="http://schemas.openxmlformats.org/officeDocument/2006/relationships/hyperlink" Target="https://help.openai.com/en/articles/20001066-skills-in-chatgpt/" TargetMode="External"/><Relationship Id="rId18" Type="http://schemas.openxmlformats.org/officeDocument/2006/relationships/hyperlink" Target="https://help.openai.com/en/articles/20001256" TargetMode="External"/><Relationship Id="rId19" Type="http://schemas.openxmlformats.org/officeDocument/2006/relationships/hyperlink" Target="https://help.openai.com/en/articles/11487775-connectors-in" TargetMode="External"/><Relationship Id="rId20" Type="http://schemas.openxmlformats.org/officeDocument/2006/relationships/hyperlink" Target="https://help.openai.com/en/articles/11509118-admin-controls-security-and-compliance-for-plugins-and-apps" TargetMode="External"/><Relationship Id="rId21" Type="http://schemas.openxmlformats.org/officeDocument/2006/relationships/hyperlink" Target="https://openai.com/business-data/" TargetMode="External"/><Relationship Id="rId22" Type="http://schemas.openxmlformats.org/officeDocument/2006/relationships/hyperlink" Target="https://openai.com/policies/usage-policies/" TargetMode="External"/><Relationship Id="rId23" Type="http://schemas.openxmlformats.org/officeDocument/2006/relationships/hyperlink" Target="https://openai.com/policies/terms-of-use/" TargetMode="External"/><Relationship Id="rId24" Type="http://schemas.openxmlformats.org/officeDocument/2006/relationships/hyperlink" Target="https://openai.com/index/trusted-access-for-cyber/" TargetMode="External"/><Relationship Id="rId25" Type="http://schemas.openxmlformats.org/officeDocument/2006/relationships/hyperlink" Target="https://help.openai.com/en/articles/20001258-openai-daybreak-trusted-access-for-cyber-overview" TargetMode="External"/><Relationship Id="rId26" Type="http://schemas.openxmlformats.org/officeDocument/2006/relationships/hyperlink" Target="https://help.openai.com/en/articles/120846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GPT-5.6 Sol High — Phase 1 Source Lock &amp; Claim Register</dc:title>
  <dc:subject>Official OpenAI source lock for prompt guide development</dc:subject>
  <dc:creator>OpenAI / ChatGPT — Independent guide production</dc:creator>
  <cp:keywords>GPT-5.6, Sol, prompt engineering, cybersecurity, skills, apps, compliance, source register</cp:keywords>
  <dc:description>Prepared July 26, 2026. Independent guide development record.</dc:description>
  <cp:lastModifiedBy/>
  <cp:revision>1</cp:revision>
  <dcterms:created xsi:type="dcterms:W3CDTF">2013-12-23T23:15:00Z</dcterms:created>
  <dcterms:modified xsi:type="dcterms:W3CDTF">2013-12-23T23:15:00Z</dcterms:modified>
  <cp:category/>
</cp:coreProperties>
</file>