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120" w:line="259" w:lineRule="auto"/>
      </w:pPr>
      <w:r>
        <w:rPr>
          <w:rFonts w:ascii="Arial" w:hAnsi="Arial"/>
          <w:b/>
          <w:i w:val="0"/>
          <w:color w:val="667085"/>
          <w:sz w:val="14"/>
        </w:rPr>
        <w:t>GPT-5.6 SOL HIGH</w:t>
      </w:r>
    </w:p>
    <w:tbl>
      <w:tblPr>
        <w:tblW w:type="auto" w:w="0"/>
        <w:jc w:val="center"/>
        <w:tblLayout w:type="fixed"/>
        <w:tblLook w:firstColumn="1" w:firstRow="1" w:lastColumn="0" w:lastRow="0" w:noHBand="0" w:noVBand="1" w:val="04A0"/>
      </w:tblPr>
      <w:tblGrid>
        <w:gridCol w:w="10166"/>
      </w:tblGrid>
      <w:tr>
        <w:tc>
          <w:tcPr>
            <w:tcW w:type="dxa" w:w="10166"/>
            <w:shd w:fill="081827"/>
            <w:tcMar>
              <w:top w:w="330" w:type="dxa"/>
              <w:start w:w="270" w:type="dxa"/>
              <w:bottom w:w="330" w:type="dxa"/>
              <w:end w:w="270" w:type="dxa"/>
            </w:tcMar>
          </w:tcPr>
          <w:p>
            <w:pPr>
              <w:keepNext w:val="0"/>
              <w:spacing w:before="0" w:after="100" w:line="240" w:lineRule="auto"/>
            </w:pPr>
            <w:r>
              <w:rPr>
                <w:rFonts w:ascii="Arial" w:hAnsi="Arial"/>
                <w:b/>
                <w:color w:val="FFFFFF"/>
                <w:sz w:val="48"/>
              </w:rPr>
              <w:t>GPT-5.6 SOL HIGH</w:t>
            </w:r>
          </w:p>
          <w:p>
            <w:pPr>
              <w:keepNext w:val="0"/>
              <w:spacing w:before="0" w:after="280" w:line="240" w:lineRule="auto"/>
            </w:pPr>
            <w:r>
              <w:rPr>
                <w:rFonts w:ascii="Arial" w:hAnsi="Arial"/>
                <w:color w:val="BFD7EA"/>
                <w:sz w:val="21"/>
              </w:rPr>
              <w:t>Architecture, Compliance &amp; Efficiency Prompt Guide</w:t>
            </w:r>
          </w:p>
          <w:p>
            <w:pPr>
              <w:keepNext w:val="0"/>
              <w:spacing w:before="0" w:after="120" w:line="240" w:lineRule="auto"/>
            </w:pPr>
            <w:r>
              <w:rPr>
                <w:rFonts w:ascii="Arial" w:hAnsi="Arial"/>
                <w:b/>
                <w:color w:val="8BBEFF"/>
                <w:sz w:val="16"/>
              </w:rPr>
              <w:t>PHASE 2</w:t>
            </w:r>
          </w:p>
          <w:p>
            <w:pPr>
              <w:keepNext w:val="0"/>
              <w:spacing w:before="0" w:after="80" w:line="247" w:lineRule="auto"/>
            </w:pPr>
            <w:r>
              <w:rPr>
                <w:rFonts w:ascii="Arial" w:hAnsi="Arial"/>
                <w:b/>
                <w:color w:val="FFFFFF"/>
                <w:sz w:val="36"/>
              </w:rPr>
              <w:t>PROMPT ARCHITECTURE &amp; CONTROL SYSTEM</w:t>
            </w:r>
          </w:p>
          <w:p>
            <w:pPr>
              <w:keepNext w:val="0"/>
              <w:spacing w:before="0" w:after="0" w:line="259" w:lineRule="auto"/>
            </w:pPr>
            <w:r>
              <w:rPr>
                <w:rFonts w:ascii="Arial" w:hAnsi="Arial"/>
                <w:color w:val="DCEBFA"/>
                <w:sz w:val="18"/>
              </w:rPr>
              <w:t>DIRECT framework • reasoning selection • validation • defensive cybersecurity control plane</w:t>
            </w:r>
          </w:p>
        </w:tc>
      </w:tr>
    </w:tbl>
    <w:tbl>
      <w:tblPr>
        <w:tblW w:type="auto" w:w="0"/>
        <w:jc w:val="center"/>
        <w:tblLayout w:type="fixed"/>
        <w:tblLook w:firstColumn="1" w:firstRow="1" w:lastColumn="0" w:lastRow="0" w:noHBand="0" w:noVBand="1" w:val="04A0"/>
      </w:tblPr>
      <w:tblGrid>
        <w:gridCol w:w="10166"/>
      </w:tblGrid>
      <w:tr>
        <w:tc>
          <w:tcPr>
            <w:tcW w:type="dxa" w:w="10166"/>
            <w:shd w:fill="F2F4F7"/>
            <w:tcMar>
              <w:top w:w="110" w:type="dxa"/>
              <w:start w:w="100" w:type="dxa"/>
              <w:bottom w:w="110" w:type="dxa"/>
              <w:end w:w="100" w:type="dxa"/>
            </w:tcMar>
          </w:tcPr>
          <w:p>
            <w:pPr>
              <w:keepNext w:val="0"/>
              <w:spacing w:before="0" w:after="0" w:line="240" w:lineRule="auto"/>
              <w:jc w:val="center"/>
            </w:pPr>
            <w:r>
              <w:rPr>
                <w:rFonts w:ascii="Arial" w:hAnsi="Arial"/>
                <w:b/>
                <w:color w:val="081827"/>
                <w:sz w:val="16"/>
              </w:rPr>
              <w:t>Architecture baseline locked on July 26, 2026</w:t>
            </w:r>
          </w:p>
        </w:tc>
      </w:tr>
    </w:tbl>
    <w:p>
      <w:pPr>
        <w:keepNext w:val="0"/>
        <w:spacing w:before="0" w:after="140" w:line="259" w:lineRule="auto"/>
      </w:pPr>
    </w:p>
    <w:p>
      <w:pPr>
        <w:keepNext/>
        <w:spacing w:before="60" w:after="60" w:line="240" w:lineRule="auto"/>
      </w:pPr>
      <w:r>
        <w:rPr>
          <w:rFonts w:ascii="Arial" w:hAnsi="Arial"/>
          <w:b/>
          <w:color w:val="1473E6"/>
          <w:sz w:val="21"/>
        </w:rPr>
        <w:t>Purpose</w:t>
      </w:r>
    </w:p>
    <w:p>
      <w:pPr>
        <w:keepNext w:val="0"/>
        <w:spacing w:before="0" w:after="160" w:line="269" w:lineRule="auto"/>
      </w:pPr>
      <w:r>
        <w:rPr>
          <w:rFonts w:ascii="Arial" w:hAnsi="Arial"/>
          <w:b w:val="0"/>
          <w:i w:val="0"/>
          <w:color w:val="17202A"/>
          <w:sz w:val="18"/>
        </w:rPr>
        <w:t>Define the reusable prompt operating system for the full guide. Phase 2 establishes how objectives, evidence, roles, boundaries, reasoning configuration, tools, validation, approvals, and output contracts must be expressed before domain prompt packs are authored.</w:t>
      </w:r>
    </w:p>
    <w:tbl>
      <w:tblPr>
        <w:tblW w:type="auto" w:w="0"/>
        <w:jc w:val="center"/>
        <w:tblLayout w:type="fixed"/>
        <w:tblLook w:firstColumn="1" w:firstRow="1" w:lastColumn="0" w:lastRow="0" w:noHBand="0" w:noVBand="1" w:val="04A0"/>
      </w:tblPr>
      <w:tblGrid>
        <w:gridCol w:w="115"/>
        <w:gridCol w:w="9792"/>
      </w:tblGrid>
      <w:tr>
        <w:tc>
          <w:tcPr>
            <w:tcW w:type="dxa" w:w="5083"/>
            <w:shd w:fill="B96800"/>
            <w:tcMar>
              <w:top w:w="60" w:type="dxa"/>
              <w:start w:w="0" w:type="dxa"/>
              <w:bottom w:w="60" w:type="dxa"/>
              <w:end w:w="0" w:type="dxa"/>
            </w:tcMar>
            <w:vAlign w:val="center"/>
          </w:tcPr>
          <w:p/>
        </w:tc>
        <w:tc>
          <w:tcPr>
            <w:tcW w:type="dxa" w:w="5083"/>
            <w:shd w:fill="FFF4DF"/>
            <w:tcMar>
              <w:top w:w="110" w:type="dxa"/>
              <w:start w:w="150" w:type="dxa"/>
              <w:bottom w:w="110" w:type="dxa"/>
              <w:end w:w="150" w:type="dxa"/>
            </w:tcMar>
          </w:tcPr>
          <w:p>
            <w:pPr>
              <w:keepNext/>
              <w:spacing w:before="0" w:after="40" w:line="240" w:lineRule="auto"/>
            </w:pPr>
            <w:r>
              <w:rPr>
                <w:rFonts w:ascii="Arial" w:hAnsi="Arial"/>
                <w:b/>
                <w:color w:val="B96800"/>
                <w:sz w:val="14"/>
              </w:rPr>
              <w:t>INDEPENDENT PUBLICATION BOUNDARY</w:t>
            </w:r>
          </w:p>
          <w:p>
            <w:pPr>
              <w:keepNext w:val="0"/>
              <w:spacing w:before="0" w:after="0" w:line="259" w:lineRule="auto"/>
            </w:pPr>
            <w:r>
              <w:rPr>
                <w:rFonts w:ascii="Arial" w:hAnsi="Arial"/>
                <w:color w:val="17202A"/>
                <w:sz w:val="18"/>
              </w:rPr>
              <w:t>The title is practical shorthand. “High” is a ChatGPT reasoning selection, not a separate base model identity. API reasoning effort and Pro mode are configured independently. This guide does not imply OpenAI endorsement.</w:t>
            </w:r>
          </w:p>
        </w:tc>
      </w:tr>
    </w:tbl>
    <w:p>
      <w:pPr>
        <w:spacing w:after="20"/>
      </w:pPr>
    </w:p>
    <w:p>
      <w:pPr>
        <w:keepNext w:val="0"/>
        <w:spacing w:before="120" w:after="60" w:line="259" w:lineRule="auto"/>
      </w:pPr>
      <w:r>
        <w:rPr>
          <w:rFonts w:ascii="Arial" w:hAnsi="Arial"/>
          <w:b/>
          <w:i w:val="0"/>
          <w:color w:val="081827"/>
          <w:sz w:val="19"/>
        </w:rPr>
        <w:t>Deliverables</w:t>
      </w:r>
    </w:p>
    <w:p>
      <w:pPr>
        <w:pStyle w:val="ListBullet"/>
        <w:keepNext w:val="0"/>
        <w:spacing w:before="0" w:after="48" w:line="254" w:lineRule="auto"/>
        <w:ind w:left="259" w:hanging="173"/>
      </w:pPr>
      <w:r>
        <w:rPr>
          <w:rFonts w:ascii="Arial" w:hAnsi="Arial"/>
          <w:color w:val="17202A"/>
          <w:sz w:val="18"/>
        </w:rPr>
        <w:t>Phase 2 architecture standard and decision matrices</w:t>
      </w:r>
    </w:p>
    <w:p>
      <w:pPr>
        <w:pStyle w:val="ListBullet"/>
        <w:keepNext w:val="0"/>
        <w:spacing w:before="0" w:after="48" w:line="254" w:lineRule="auto"/>
        <w:ind w:left="259" w:hanging="173"/>
      </w:pPr>
      <w:r>
        <w:rPr>
          <w:rFonts w:ascii="Arial" w:hAnsi="Arial"/>
          <w:color w:val="17202A"/>
          <w:sz w:val="18"/>
        </w:rPr>
        <w:t>Copy-ready master prompt templates</w:t>
      </w:r>
    </w:p>
    <w:p>
      <w:pPr>
        <w:pStyle w:val="ListBullet"/>
        <w:keepNext w:val="0"/>
        <w:spacing w:before="0" w:after="48" w:line="254" w:lineRule="auto"/>
        <w:ind w:left="259" w:hanging="173"/>
      </w:pPr>
      <w:r>
        <w:rPr>
          <w:rFonts w:ascii="Arial" w:hAnsi="Arial"/>
          <w:color w:val="17202A"/>
          <w:sz w:val="18"/>
        </w:rPr>
        <w:t>Validation and evaluation controls</w:t>
      </w:r>
    </w:p>
    <w:p>
      <w:pPr>
        <w:pStyle w:val="ListBullet"/>
        <w:keepNext w:val="0"/>
        <w:spacing w:before="0" w:after="48" w:line="254" w:lineRule="auto"/>
        <w:ind w:left="259" w:hanging="173"/>
      </w:pPr>
      <w:r>
        <w:rPr>
          <w:rFonts w:ascii="Arial" w:hAnsi="Arial"/>
          <w:color w:val="17202A"/>
          <w:sz w:val="18"/>
        </w:rPr>
        <w:t>Authorized defensive cybersecurity control system</w:t>
      </w:r>
    </w:p>
    <w:p>
      <w:pPr>
        <w:pStyle w:val="ListBullet"/>
        <w:keepNext w:val="0"/>
        <w:spacing w:before="0" w:after="48" w:line="254" w:lineRule="auto"/>
        <w:ind w:left="259" w:hanging="173"/>
      </w:pPr>
      <w:r>
        <w:rPr>
          <w:rFonts w:ascii="Arial" w:hAnsi="Arial"/>
          <w:color w:val="17202A"/>
          <w:sz w:val="18"/>
        </w:rPr>
        <w:t>Phase 3 production entry criteria</w:t>
      </w:r>
    </w:p>
    <w:p>
      <w:r>
        <w:br w:type="page"/>
      </w:r>
    </w:p>
    <w:p>
      <w:pPr>
        <w:keepNext/>
        <w:spacing w:before="0" w:after="40" w:line="259" w:lineRule="auto"/>
      </w:pPr>
      <w:r>
        <w:rPr>
          <w:rFonts w:ascii="Arial" w:hAnsi="Arial"/>
          <w:b/>
          <w:i w:val="0"/>
          <w:color w:val="1473E6"/>
          <w:sz w:val="14"/>
        </w:rPr>
        <w:t>PHASE STATUS</w:t>
      </w:r>
    </w:p>
    <w:p>
      <w:pPr>
        <w:keepNext/>
        <w:spacing w:before="0" w:after="80" w:line="240" w:lineRule="auto"/>
      </w:pPr>
      <w:r>
        <w:rPr>
          <w:rFonts w:ascii="Arial" w:hAnsi="Arial"/>
          <w:b/>
          <w:color w:val="1473E6"/>
          <w:sz w:val="31"/>
        </w:rPr>
        <w:t xml:space="preserve">01  </w:t>
      </w:r>
      <w:r>
        <w:rPr>
          <w:rFonts w:ascii="Arial" w:hAnsi="Arial"/>
          <w:b/>
          <w:color w:val="081827"/>
          <w:sz w:val="31"/>
        </w:rPr>
        <w:t>Executive control</w:t>
      </w:r>
    </w:p>
    <w:p>
      <w:pPr>
        <w:keepNext w:val="0"/>
        <w:spacing w:before="0" w:after="100" w:line="240" w:lineRule="auto"/>
        <w:pBdr>
          <w:bottom w:val="single" w:sz="6" w:space="1" w:color="E4E7EC"/>
        </w:pBdr>
      </w:pPr>
    </w:p>
    <w:tbl>
      <w:tblPr>
        <w:tblW w:type="auto" w:w="0"/>
        <w:jc w:val="center"/>
        <w:tblLayout w:type="fixed"/>
        <w:tblLook w:firstColumn="1" w:firstRow="1" w:lastColumn="0" w:lastRow="0" w:noHBand="0" w:noVBand="1" w:val="04A0"/>
      </w:tblPr>
      <w:tblGrid>
        <w:gridCol w:w="115"/>
        <w:gridCol w:w="9792"/>
      </w:tblGrid>
      <w:tr>
        <w:tc>
          <w:tcPr>
            <w:tcW w:type="dxa" w:w="5083"/>
            <w:shd w:fill="14833B"/>
            <w:tcMar>
              <w:top w:w="60" w:type="dxa"/>
              <w:start w:w="0" w:type="dxa"/>
              <w:bottom w:w="60" w:type="dxa"/>
              <w:end w:w="0" w:type="dxa"/>
            </w:tcMar>
            <w:vAlign w:val="center"/>
          </w:tcPr>
          <w:p/>
        </w:tc>
        <w:tc>
          <w:tcPr>
            <w:tcW w:type="dxa" w:w="5083"/>
            <w:shd w:fill="EAF8EF"/>
            <w:tcMar>
              <w:top w:w="110" w:type="dxa"/>
              <w:start w:w="150" w:type="dxa"/>
              <w:bottom w:w="110" w:type="dxa"/>
              <w:end w:w="150" w:type="dxa"/>
            </w:tcMar>
          </w:tcPr>
          <w:p>
            <w:pPr>
              <w:keepNext/>
              <w:spacing w:before="0" w:after="40" w:line="240" w:lineRule="auto"/>
            </w:pPr>
            <w:r>
              <w:rPr>
                <w:rFonts w:ascii="Arial" w:hAnsi="Arial"/>
                <w:b/>
                <w:color w:val="14833B"/>
                <w:sz w:val="14"/>
              </w:rPr>
              <w:t>PHASE 2 STATUS: LOCKED</w:t>
            </w:r>
          </w:p>
          <w:p>
            <w:pPr>
              <w:keepNext w:val="0"/>
              <w:spacing w:before="0" w:after="0" w:line="259" w:lineRule="auto"/>
            </w:pPr>
            <w:r>
              <w:rPr>
                <w:rFonts w:ascii="Arial" w:hAnsi="Arial"/>
                <w:color w:val="17202A"/>
                <w:sz w:val="18"/>
              </w:rPr>
              <w:t>The prompt architecture is sufficiently defined to govern later leadership, design, code, automation, and defensive cybersecurity prompt packs. Phase 3 may build domain libraries only inside these controls.</w:t>
            </w:r>
          </w:p>
        </w:tc>
      </w:tr>
    </w:tbl>
    <w:p>
      <w:pPr>
        <w:spacing w:after="20"/>
      </w:pPr>
    </w:p>
    <w:p>
      <w:pPr>
        <w:keepNext/>
        <w:spacing w:before="100" w:after="60" w:line="240" w:lineRule="auto"/>
      </w:pPr>
      <w:r>
        <w:rPr>
          <w:rFonts w:ascii="Arial" w:hAnsi="Arial"/>
          <w:b/>
          <w:color w:val="081827"/>
          <w:sz w:val="21"/>
        </w:rPr>
        <w:t>Approved architectural decisions</w:t>
      </w:r>
    </w:p>
    <w:p>
      <w:pPr>
        <w:pStyle w:val="ListBullet"/>
        <w:keepNext w:val="0"/>
        <w:spacing w:before="0" w:after="40" w:line="254" w:lineRule="auto"/>
        <w:ind w:left="259" w:hanging="173"/>
      </w:pPr>
      <w:r>
        <w:rPr>
          <w:rFonts w:ascii="Arial" w:hAnsi="Arial"/>
          <w:color w:val="17202A"/>
          <w:sz w:val="18"/>
        </w:rPr>
        <w:t>Use outcome-focused prompts: goal, relevant context, hard constraints, evidence requirements, success criteria, and exact output contract [S01].</w:t>
      </w:r>
    </w:p>
    <w:p>
      <w:pPr>
        <w:pStyle w:val="ListBullet"/>
        <w:keepNext w:val="0"/>
        <w:spacing w:before="0" w:after="40" w:line="254" w:lineRule="auto"/>
        <w:ind w:left="259" w:hanging="173"/>
      </w:pPr>
      <w:r>
        <w:rPr>
          <w:rFonts w:ascii="Arial" w:hAnsi="Arial"/>
          <w:color w:val="17202A"/>
          <w:sz w:val="18"/>
        </w:rPr>
        <w:t>Treat ChatGPT Medium, High, Extra High, and Pro as product-surface selections; treat API model, effort, mode, and verbosity as separate controls [S01][S03].</w:t>
      </w:r>
    </w:p>
    <w:p>
      <w:pPr>
        <w:pStyle w:val="ListBullet"/>
        <w:keepNext w:val="0"/>
        <w:spacing w:before="0" w:after="40" w:line="254" w:lineRule="auto"/>
        <w:ind w:left="259" w:hanging="173"/>
      </w:pPr>
      <w:r>
        <w:rPr>
          <w:rFonts w:ascii="Arial" w:hAnsi="Arial"/>
          <w:color w:val="17202A"/>
          <w:sz w:val="18"/>
        </w:rPr>
        <w:t>Use one accountable role plus explicit specialist lenses instead of title stacking.</w:t>
      </w:r>
    </w:p>
    <w:p>
      <w:pPr>
        <w:pStyle w:val="ListBullet"/>
        <w:keepNext w:val="0"/>
        <w:spacing w:before="0" w:after="40" w:line="254" w:lineRule="auto"/>
        <w:ind w:left="259" w:hanging="173"/>
      </w:pPr>
      <w:r>
        <w:rPr>
          <w:rFonts w:ascii="Arial" w:hAnsi="Arial"/>
          <w:color w:val="17202A"/>
          <w:sz w:val="18"/>
        </w:rPr>
        <w:t>Require evidence and validation proportional to risk; polished prose is never proof of completion.</w:t>
      </w:r>
    </w:p>
    <w:p>
      <w:pPr>
        <w:pStyle w:val="ListBullet"/>
        <w:keepNext w:val="0"/>
        <w:spacing w:before="0" w:after="40" w:line="254" w:lineRule="auto"/>
        <w:ind w:left="259" w:hanging="173"/>
      </w:pPr>
      <w:r>
        <w:rPr>
          <w:rFonts w:ascii="Arial" w:hAnsi="Arial"/>
          <w:color w:val="17202A"/>
          <w:sz w:val="18"/>
        </w:rPr>
        <w:t>Allow safe in-scope inspection and local validation; require confirmation for external writes, destructive actions, purchases, or material scope expansion [S01][S08].</w:t>
      </w:r>
    </w:p>
    <w:p>
      <w:pPr>
        <w:pStyle w:val="ListBullet"/>
        <w:keepNext w:val="0"/>
        <w:spacing w:before="0" w:after="40" w:line="254" w:lineRule="auto"/>
        <w:ind w:left="259" w:hanging="173"/>
      </w:pPr>
      <w:r>
        <w:rPr>
          <w:rFonts w:ascii="Arial" w:hAnsi="Arial"/>
          <w:color w:val="17202A"/>
          <w:sz w:val="18"/>
        </w:rPr>
        <w:t>Keep cybersecurity prompts authorization-first and defensive-outcome-first. Trusted Access does not remove policy, monitoring, authorization, or access controls [S05][S06].</w:t>
      </w:r>
    </w:p>
    <w:p>
      <w:pPr>
        <w:pStyle w:val="ListBullet"/>
        <w:keepNext w:val="0"/>
        <w:spacing w:before="0" w:after="40" w:line="254" w:lineRule="auto"/>
        <w:ind w:left="259" w:hanging="173"/>
      </w:pPr>
      <w:r>
        <w:rPr>
          <w:rFonts w:ascii="Arial" w:hAnsi="Arial"/>
          <w:color w:val="17202A"/>
          <w:sz w:val="18"/>
        </w:rPr>
        <w:t>Use Skills for reusable workflow instructions, plugins as workflow packaging, and apps for connected data/actions subject to existing permissions [S04][S07][S08].</w:t>
      </w:r>
    </w:p>
    <w:p>
      <w:pPr>
        <w:keepNext/>
        <w:spacing w:before="100" w:after="60" w:line="240" w:lineRule="auto"/>
      </w:pPr>
      <w:r>
        <w:rPr>
          <w:rFonts w:ascii="Arial" w:hAnsi="Arial"/>
          <w:b/>
          <w:color w:val="081827"/>
          <w:sz w:val="21"/>
        </w:rPr>
        <w:t>Phase 2 deliverable set</w:t>
      </w:r>
    </w:p>
    <w:tbl>
      <w:tblPr>
        <w:tblW w:type="auto" w:w="0"/>
        <w:jc w:val="center"/>
        <w:tblLayout w:type="fixed"/>
        <w:tblLook w:firstColumn="1" w:firstRow="1" w:lastColumn="0" w:lastRow="0" w:noHBand="0" w:noVBand="1" w:val="04A0"/>
      </w:tblPr>
      <w:tblGrid>
        <w:gridCol w:w="1800"/>
        <w:gridCol w:w="3528"/>
        <w:gridCol w:w="4536"/>
      </w:tblGrid>
      <w:tr>
        <w:trPr>
          <w:tblHeader w:val="true"/>
        </w:trPr>
        <w:tc>
          <w:tcPr>
            <w:tcW w:type="dxa" w:w="3389"/>
            <w:shd w:fill="081827"/>
            <w:tcMar>
              <w:top w:w="90" w:type="dxa"/>
              <w:start w:w="90" w:type="dxa"/>
              <w:bottom w:w="90" w:type="dxa"/>
              <w:end w:w="90" w:type="dxa"/>
            </w:tcMar>
            <w:vAlign w:val="center"/>
          </w:tcPr>
          <w:p>
            <w:pPr>
              <w:keepNext w:val="0"/>
              <w:spacing w:before="0" w:after="0" w:line="240" w:lineRule="auto"/>
              <w:jc w:val="center"/>
            </w:pPr>
            <w:r>
              <w:rPr>
                <w:rFonts w:ascii="Arial" w:hAnsi="Arial"/>
                <w:b/>
                <w:color w:val="FFFFFF"/>
                <w:sz w:val="15"/>
              </w:rPr>
              <w:t>Control</w:t>
            </w:r>
          </w:p>
        </w:tc>
        <w:tc>
          <w:tcPr>
            <w:tcW w:type="dxa" w:w="3389"/>
            <w:shd w:fill="081827"/>
            <w:tcMar>
              <w:top w:w="90" w:type="dxa"/>
              <w:start w:w="90" w:type="dxa"/>
              <w:bottom w:w="90" w:type="dxa"/>
              <w:end w:w="90" w:type="dxa"/>
            </w:tcMar>
            <w:vAlign w:val="center"/>
          </w:tcPr>
          <w:p>
            <w:pPr>
              <w:keepNext w:val="0"/>
              <w:spacing w:before="0" w:after="0" w:line="240" w:lineRule="auto"/>
              <w:jc w:val="center"/>
            </w:pPr>
            <w:r>
              <w:rPr>
                <w:rFonts w:ascii="Arial" w:hAnsi="Arial"/>
                <w:b/>
                <w:color w:val="FFFFFF"/>
                <w:sz w:val="15"/>
              </w:rPr>
              <w:t>Locked output</w:t>
            </w:r>
          </w:p>
        </w:tc>
        <w:tc>
          <w:tcPr>
            <w:tcW w:type="dxa" w:w="3389"/>
            <w:shd w:fill="081827"/>
            <w:tcMar>
              <w:top w:w="90" w:type="dxa"/>
              <w:start w:w="90" w:type="dxa"/>
              <w:bottom w:w="90" w:type="dxa"/>
              <w:end w:w="90" w:type="dxa"/>
            </w:tcMar>
            <w:vAlign w:val="center"/>
          </w:tcPr>
          <w:p>
            <w:pPr>
              <w:keepNext w:val="0"/>
              <w:spacing w:before="0" w:after="0" w:line="240" w:lineRule="auto"/>
              <w:jc w:val="center"/>
            </w:pPr>
            <w:r>
              <w:rPr>
                <w:rFonts w:ascii="Arial" w:hAnsi="Arial"/>
                <w:b/>
                <w:color w:val="FFFFFF"/>
                <w:sz w:val="15"/>
              </w:rPr>
              <w:t>Use in later phases</w:t>
            </w:r>
          </w:p>
        </w:tc>
      </w:tr>
      <w:tr>
        <w:tc>
          <w:tcPr>
            <w:tcW w:type="dxa" w:w="1800"/>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DIRECT</w:t>
            </w:r>
          </w:p>
        </w:tc>
        <w:tc>
          <w:tcPr>
            <w:tcW w:type="dxa" w:w="3528"/>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Six-field prompt architecture</w:t>
            </w:r>
          </w:p>
        </w:tc>
        <w:tc>
          <w:tcPr>
            <w:tcW w:type="dxa" w:w="4536"/>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Mandatory core of every production prompt</w:t>
            </w:r>
          </w:p>
        </w:tc>
      </w:tr>
      <w:tr>
        <w:tc>
          <w:tcPr>
            <w:tcW w:type="dxa" w:w="1800"/>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Three tiers</w:t>
            </w:r>
          </w:p>
        </w:tc>
        <w:tc>
          <w:tcPr>
            <w:tcW w:type="dxa" w:w="3528"/>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Executive Compact; Production High; Audit-Grade</w:t>
            </w:r>
          </w:p>
        </w:tc>
        <w:tc>
          <w:tcPr>
            <w:tcW w:type="dxa" w:w="4536"/>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Right-size prompt length and verification</w:t>
            </w:r>
          </w:p>
        </w:tc>
      </w:tr>
      <w:tr>
        <w:tc>
          <w:tcPr>
            <w:tcW w:type="dxa" w:w="1800"/>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Reasoning matrix</w:t>
            </w:r>
          </w:p>
        </w:tc>
        <w:tc>
          <w:tcPr>
            <w:tcW w:type="dxa" w:w="3528"/>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ChatGPT and API selection logic</w:t>
            </w:r>
          </w:p>
        </w:tc>
        <w:tc>
          <w:tcPr>
            <w:tcW w:type="dxa" w:w="4536"/>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Avoid defaulting to maximum effort</w:t>
            </w:r>
          </w:p>
        </w:tc>
      </w:tr>
      <w:tr>
        <w:tc>
          <w:tcPr>
            <w:tcW w:type="dxa" w:w="1800"/>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Validation gates</w:t>
            </w:r>
          </w:p>
        </w:tc>
        <w:tc>
          <w:tcPr>
            <w:tcW w:type="dxa" w:w="3528"/>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Evidence, constraints, tests, release decision</w:t>
            </w:r>
          </w:p>
        </w:tc>
        <w:tc>
          <w:tcPr>
            <w:tcW w:type="dxa" w:w="4536"/>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Prevent “looks finished” failures</w:t>
            </w:r>
          </w:p>
        </w:tc>
      </w:tr>
      <w:tr>
        <w:tc>
          <w:tcPr>
            <w:tcW w:type="dxa" w:w="1800"/>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Cyber control plane</w:t>
            </w:r>
          </w:p>
        </w:tc>
        <w:tc>
          <w:tcPr>
            <w:tcW w:type="dxa" w:w="3528"/>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Authorization, scope, evidence, analysis, validation, release</w:t>
            </w:r>
          </w:p>
        </w:tc>
        <w:tc>
          <w:tcPr>
            <w:tcW w:type="dxa" w:w="4536"/>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Govern the detailed cyber section</w:t>
            </w:r>
          </w:p>
        </w:tc>
      </w:tr>
      <w:tr>
        <w:tc>
          <w:tcPr>
            <w:tcW w:type="dxa" w:w="1800"/>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Prompt card schema</w:t>
            </w:r>
          </w:p>
        </w:tc>
        <w:tc>
          <w:tcPr>
            <w:tcW w:type="dxa" w:w="3528"/>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Standard metadata and copy block</w:t>
            </w:r>
          </w:p>
        </w:tc>
        <w:tc>
          <w:tcPr>
            <w:tcW w:type="dxa" w:w="4536"/>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Make prompt packs consistent and searchable</w:t>
            </w:r>
          </w:p>
        </w:tc>
      </w:tr>
    </w:tbl>
    <w:p>
      <w:pPr>
        <w:spacing w:after="20"/>
      </w:pPr>
    </w:p>
    <w:p>
      <w:pPr>
        <w:keepNext w:val="0"/>
        <w:spacing w:before="60" w:after="0" w:line="240" w:lineRule="auto"/>
      </w:pPr>
      <w:r>
        <w:rPr>
          <w:rFonts w:ascii="Arial" w:hAnsi="Arial"/>
          <w:b/>
          <w:color w:val="667085"/>
          <w:sz w:val="14"/>
        </w:rPr>
        <w:t xml:space="preserve">Sources: </w:t>
      </w:r>
      <w:r>
        <w:rPr>
          <w:rFonts w:ascii="Arial" w:hAnsi="Arial"/>
          <w:color w:val="667085"/>
          <w:sz w:val="14"/>
        </w:rPr>
        <w:t>S01, S03, S04, S05, S06, S07, S08</w:t>
      </w:r>
    </w:p>
    <w:p>
      <w:r>
        <w:br w:type="page"/>
      </w:r>
    </w:p>
    <w:p>
      <w:pPr>
        <w:keepNext/>
        <w:spacing w:before="0" w:after="40" w:line="259" w:lineRule="auto"/>
      </w:pPr>
      <w:r>
        <w:rPr>
          <w:rFonts w:ascii="Arial" w:hAnsi="Arial"/>
          <w:b/>
          <w:i w:val="0"/>
          <w:color w:val="1473E6"/>
          <w:sz w:val="14"/>
        </w:rPr>
        <w:t>CONTROL SURFACE</w:t>
      </w:r>
    </w:p>
    <w:p>
      <w:pPr>
        <w:keepNext/>
        <w:spacing w:before="0" w:after="80" w:line="240" w:lineRule="auto"/>
      </w:pPr>
      <w:r>
        <w:rPr>
          <w:rFonts w:ascii="Arial" w:hAnsi="Arial"/>
          <w:b/>
          <w:color w:val="1473E6"/>
          <w:sz w:val="31"/>
        </w:rPr>
        <w:t xml:space="preserve">02  </w:t>
      </w:r>
      <w:r>
        <w:rPr>
          <w:rFonts w:ascii="Arial" w:hAnsi="Arial"/>
          <w:b/>
          <w:color w:val="081827"/>
          <w:sz w:val="31"/>
        </w:rPr>
        <w:t>Document map</w:t>
      </w:r>
    </w:p>
    <w:p>
      <w:pPr>
        <w:keepNext w:val="0"/>
        <w:spacing w:before="0" w:after="100" w:line="240" w:lineRule="auto"/>
        <w:pBdr>
          <w:bottom w:val="single" w:sz="6" w:space="1" w:color="E4E7EC"/>
        </w:pBdr>
      </w:pPr>
    </w:p>
    <w:p>
      <w:pPr>
        <w:keepNext w:val="0"/>
        <w:spacing w:before="0" w:after="140" w:line="259" w:lineRule="auto"/>
      </w:pPr>
      <w:r>
        <w:rPr>
          <w:rFonts w:ascii="Arial" w:hAnsi="Arial"/>
          <w:b w:val="0"/>
          <w:i w:val="0"/>
          <w:color w:val="17202A"/>
          <w:sz w:val="18"/>
        </w:rPr>
        <w:t>Phase 2 is organized as a control manual, not a prompt catalog. Each section establishes a reusable design rule that later prompt cards must inherit.</w:t>
      </w:r>
    </w:p>
    <w:tbl>
      <w:tblPr>
        <w:tblW w:type="auto" w:w="0"/>
        <w:jc w:val="center"/>
        <w:tblLayout w:type="fixed"/>
        <w:tblLook w:firstColumn="1" w:firstRow="1" w:lastColumn="0" w:lastRow="0" w:noHBand="0" w:noVBand="1" w:val="04A0"/>
      </w:tblPr>
      <w:tblGrid>
        <w:gridCol w:w="1800"/>
        <w:gridCol w:w="3816"/>
        <w:gridCol w:w="4248"/>
      </w:tblGrid>
      <w:tr>
        <w:trPr>
          <w:tblHeader w:val="true"/>
        </w:trPr>
        <w:tc>
          <w:tcPr>
            <w:tcW w:type="dxa" w:w="3389"/>
            <w:shd w:fill="081827"/>
            <w:tcMar>
              <w:top w:w="90" w:type="dxa"/>
              <w:start w:w="90" w:type="dxa"/>
              <w:bottom w:w="90" w:type="dxa"/>
              <w:end w:w="90" w:type="dxa"/>
            </w:tcMar>
            <w:vAlign w:val="center"/>
          </w:tcPr>
          <w:p>
            <w:pPr>
              <w:keepNext w:val="0"/>
              <w:spacing w:before="0" w:after="0" w:line="240" w:lineRule="auto"/>
              <w:jc w:val="center"/>
            </w:pPr>
            <w:r>
              <w:rPr>
                <w:rFonts w:ascii="Arial" w:hAnsi="Arial"/>
                <w:b/>
                <w:color w:val="FFFFFF"/>
                <w:sz w:val="15"/>
              </w:rPr>
              <w:t>Band</w:t>
            </w:r>
          </w:p>
        </w:tc>
        <w:tc>
          <w:tcPr>
            <w:tcW w:type="dxa" w:w="3389"/>
            <w:shd w:fill="081827"/>
            <w:tcMar>
              <w:top w:w="90" w:type="dxa"/>
              <w:start w:w="90" w:type="dxa"/>
              <w:bottom w:w="90" w:type="dxa"/>
              <w:end w:w="90" w:type="dxa"/>
            </w:tcMar>
            <w:vAlign w:val="center"/>
          </w:tcPr>
          <w:p>
            <w:pPr>
              <w:keepNext w:val="0"/>
              <w:spacing w:before="0" w:after="0" w:line="240" w:lineRule="auto"/>
              <w:jc w:val="center"/>
            </w:pPr>
            <w:r>
              <w:rPr>
                <w:rFonts w:ascii="Arial" w:hAnsi="Arial"/>
                <w:b/>
                <w:color w:val="FFFFFF"/>
                <w:sz w:val="15"/>
              </w:rPr>
              <w:t>Sections</w:t>
            </w:r>
          </w:p>
        </w:tc>
        <w:tc>
          <w:tcPr>
            <w:tcW w:type="dxa" w:w="3389"/>
            <w:shd w:fill="081827"/>
            <w:tcMar>
              <w:top w:w="90" w:type="dxa"/>
              <w:start w:w="90" w:type="dxa"/>
              <w:bottom w:w="90" w:type="dxa"/>
              <w:end w:w="90" w:type="dxa"/>
            </w:tcMar>
            <w:vAlign w:val="center"/>
          </w:tcPr>
          <w:p>
            <w:pPr>
              <w:keepNext w:val="0"/>
              <w:spacing w:before="0" w:after="0" w:line="240" w:lineRule="auto"/>
              <w:jc w:val="center"/>
            </w:pPr>
            <w:r>
              <w:rPr>
                <w:rFonts w:ascii="Arial" w:hAnsi="Arial"/>
                <w:b/>
                <w:color w:val="FFFFFF"/>
                <w:sz w:val="15"/>
              </w:rPr>
              <w:t>Production result</w:t>
            </w:r>
          </w:p>
        </w:tc>
      </w:tr>
      <w:tr>
        <w:tc>
          <w:tcPr>
            <w:tcW w:type="dxa" w:w="1800"/>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6"/>
              </w:rPr>
              <w:t>A. Model control</w:t>
            </w:r>
          </w:p>
        </w:tc>
        <w:tc>
          <w:tcPr>
            <w:tcW w:type="dxa" w:w="3816"/>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6"/>
              </w:rPr>
              <w:t>Product-surface map; reasoning matrix; selection method</w:t>
            </w:r>
          </w:p>
        </w:tc>
        <w:tc>
          <w:tcPr>
            <w:tcW w:type="dxa" w:w="4248"/>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6"/>
              </w:rPr>
              <w:t>Correct model/effort/mode choices</w:t>
            </w:r>
          </w:p>
        </w:tc>
      </w:tr>
      <w:tr>
        <w:tc>
          <w:tcPr>
            <w:tcW w:type="dxa" w:w="1800"/>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6"/>
              </w:rPr>
              <w:t>B. Prompt control</w:t>
            </w:r>
          </w:p>
        </w:tc>
        <w:tc>
          <w:tcPr>
            <w:tcW w:type="dxa" w:w="3816"/>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6"/>
              </w:rPr>
              <w:t>DIRECT; three depth tiers; role architecture</w:t>
            </w:r>
          </w:p>
        </w:tc>
        <w:tc>
          <w:tcPr>
            <w:tcW w:type="dxa" w:w="4248"/>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6"/>
              </w:rPr>
              <w:t>Consistent request construction</w:t>
            </w:r>
          </w:p>
        </w:tc>
      </w:tr>
      <w:tr>
        <w:tc>
          <w:tcPr>
            <w:tcW w:type="dxa" w:w="1800"/>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6"/>
              </w:rPr>
              <w:t>C. Context control</w:t>
            </w:r>
          </w:p>
        </w:tc>
        <w:tc>
          <w:tcPr>
            <w:tcW w:type="dxa" w:w="3816"/>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6"/>
              </w:rPr>
              <w:t>Token architecture; evidence; ambiguity; approvals</w:t>
            </w:r>
          </w:p>
        </w:tc>
        <w:tc>
          <w:tcPr>
            <w:tcW w:type="dxa" w:w="4248"/>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6"/>
              </w:rPr>
              <w:t>Efficient, grounded execution</w:t>
            </w:r>
          </w:p>
        </w:tc>
      </w:tr>
      <w:tr>
        <w:tc>
          <w:tcPr>
            <w:tcW w:type="dxa" w:w="1800"/>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6"/>
              </w:rPr>
              <w:t>D. Capability control</w:t>
            </w:r>
          </w:p>
        </w:tc>
        <w:tc>
          <w:tcPr>
            <w:tcW w:type="dxa" w:w="3816"/>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6"/>
              </w:rPr>
              <w:t>Skills, plugins, apps, web, files, code, tools</w:t>
            </w:r>
          </w:p>
        </w:tc>
        <w:tc>
          <w:tcPr>
            <w:tcW w:type="dxa" w:w="4248"/>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6"/>
              </w:rPr>
              <w:t>Correct routing and permission boundaries</w:t>
            </w:r>
          </w:p>
        </w:tc>
      </w:tr>
      <w:tr>
        <w:tc>
          <w:tcPr>
            <w:tcW w:type="dxa" w:w="1800"/>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6"/>
              </w:rPr>
              <w:t>E. Quality control</w:t>
            </w:r>
          </w:p>
        </w:tc>
        <w:tc>
          <w:tcPr>
            <w:tcW w:type="dxa" w:w="3816"/>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6"/>
              </w:rPr>
              <w:t>Output contracts; validation; evaluation harness</w:t>
            </w:r>
          </w:p>
        </w:tc>
        <w:tc>
          <w:tcPr>
            <w:tcW w:type="dxa" w:w="4248"/>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6"/>
              </w:rPr>
              <w:t>Measurable completion</w:t>
            </w:r>
          </w:p>
        </w:tc>
      </w:tr>
      <w:tr>
        <w:tc>
          <w:tcPr>
            <w:tcW w:type="dxa" w:w="1800"/>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6"/>
              </w:rPr>
              <w:t>F. Cyber control</w:t>
            </w:r>
          </w:p>
        </w:tc>
        <w:tc>
          <w:tcPr>
            <w:tcW w:type="dxa" w:w="3816"/>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6"/>
              </w:rPr>
              <w:t>Authorization; risk routing; finding schema; remediation gates</w:t>
            </w:r>
          </w:p>
        </w:tc>
        <w:tc>
          <w:tcPr>
            <w:tcW w:type="dxa" w:w="4248"/>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6"/>
              </w:rPr>
              <w:t>Safe, useful defensive workflows</w:t>
            </w:r>
          </w:p>
        </w:tc>
      </w:tr>
      <w:tr>
        <w:tc>
          <w:tcPr>
            <w:tcW w:type="dxa" w:w="1800"/>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6"/>
              </w:rPr>
              <w:t>G. Publishing control</w:t>
            </w:r>
          </w:p>
        </w:tc>
        <w:tc>
          <w:tcPr>
            <w:tcW w:type="dxa" w:w="3816"/>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6"/>
              </w:rPr>
              <w:t>Anti-patterns; prompt card standard; Phase 3 gates</w:t>
            </w:r>
          </w:p>
        </w:tc>
        <w:tc>
          <w:tcPr>
            <w:tcW w:type="dxa" w:w="4248"/>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6"/>
              </w:rPr>
              <w:t>Consistent guide production</w:t>
            </w:r>
          </w:p>
        </w:tc>
      </w:tr>
    </w:tbl>
    <w:p>
      <w:pPr>
        <w:spacing w:after="20"/>
      </w:pPr>
    </w:p>
    <w:tbl>
      <w:tblPr>
        <w:tblW w:type="auto" w:w="0"/>
        <w:jc w:val="center"/>
        <w:tblLayout w:type="fixed"/>
        <w:tblLook w:firstColumn="1" w:firstRow="1" w:lastColumn="0" w:lastRow="0" w:noHBand="0" w:noVBand="1" w:val="04A0"/>
      </w:tblPr>
      <w:tblGrid>
        <w:gridCol w:w="115"/>
        <w:gridCol w:w="9792"/>
      </w:tblGrid>
      <w:tr>
        <w:tc>
          <w:tcPr>
            <w:tcW w:type="dxa" w:w="5083"/>
            <w:shd w:fill="1473E6"/>
            <w:tcMar>
              <w:top w:w="60" w:type="dxa"/>
              <w:start w:w="0" w:type="dxa"/>
              <w:bottom w:w="60" w:type="dxa"/>
              <w:end w:w="0" w:type="dxa"/>
            </w:tcMar>
            <w:vAlign w:val="center"/>
          </w:tcPr>
          <w:p/>
        </w:tc>
        <w:tc>
          <w:tcPr>
            <w:tcW w:type="dxa" w:w="5083"/>
            <w:shd w:fill="EAF3FF"/>
            <w:tcMar>
              <w:top w:w="110" w:type="dxa"/>
              <w:start w:w="150" w:type="dxa"/>
              <w:bottom w:w="110" w:type="dxa"/>
              <w:end w:w="150" w:type="dxa"/>
            </w:tcMar>
          </w:tcPr>
          <w:p>
            <w:pPr>
              <w:keepNext/>
              <w:spacing w:before="0" w:after="40" w:line="240" w:lineRule="auto"/>
            </w:pPr>
            <w:r>
              <w:rPr>
                <w:rFonts w:ascii="Arial" w:hAnsi="Arial"/>
                <w:b/>
                <w:color w:val="1473E6"/>
                <w:sz w:val="14"/>
              </w:rPr>
              <w:t>READING ORDER</w:t>
            </w:r>
          </w:p>
          <w:p>
            <w:pPr>
              <w:keepNext w:val="0"/>
              <w:spacing w:before="0" w:after="0" w:line="259" w:lineRule="auto"/>
            </w:pPr>
            <w:r>
              <w:rPr>
                <w:rFonts w:ascii="Arial" w:hAnsi="Arial"/>
                <w:color w:val="17202A"/>
                <w:sz w:val="18"/>
              </w:rPr>
              <w:t>Leaders can begin with Sections 03, 04, 08, 15, and 23. Prompt authors should read the full control system before producing reusable prompt cards. Cybersecurity authors must also use Sections 20–23.</w:t>
            </w:r>
          </w:p>
        </w:tc>
      </w:tr>
    </w:tbl>
    <w:p>
      <w:pPr>
        <w:spacing w:after="20"/>
      </w:pPr>
    </w:p>
    <w:p>
      <w:pPr>
        <w:keepNext/>
        <w:spacing w:before="100" w:after="60" w:line="240" w:lineRule="auto"/>
      </w:pPr>
      <w:r>
        <w:rPr>
          <w:rFonts w:ascii="Arial" w:hAnsi="Arial"/>
          <w:b/>
          <w:color w:val="081827"/>
          <w:sz w:val="21"/>
        </w:rPr>
        <w:t>Terminology used throughout</w:t>
      </w:r>
    </w:p>
    <w:tbl>
      <w:tblPr>
        <w:tblW w:type="auto" w:w="0"/>
        <w:jc w:val="center"/>
        <w:tblLayout w:type="fixed"/>
        <w:tblLook w:firstColumn="1" w:firstRow="1" w:lastColumn="0" w:lastRow="0" w:noHBand="0" w:noVBand="1" w:val="04A0"/>
      </w:tblPr>
      <w:tblGrid>
        <w:gridCol w:w="1944"/>
        <w:gridCol w:w="7920"/>
      </w:tblGrid>
      <w:tr>
        <w:trPr>
          <w:tblHeader w:val="true"/>
        </w:trPr>
        <w:tc>
          <w:tcPr>
            <w:tcW w:type="dxa" w:w="5083"/>
            <w:shd w:fill="081827"/>
            <w:tcMar>
              <w:top w:w="90" w:type="dxa"/>
              <w:start w:w="90" w:type="dxa"/>
              <w:bottom w:w="90" w:type="dxa"/>
              <w:end w:w="90" w:type="dxa"/>
            </w:tcMar>
            <w:vAlign w:val="center"/>
          </w:tcPr>
          <w:p>
            <w:pPr>
              <w:keepNext w:val="0"/>
              <w:spacing w:before="0" w:after="0" w:line="240" w:lineRule="auto"/>
              <w:jc w:val="center"/>
            </w:pPr>
            <w:r>
              <w:rPr>
                <w:rFonts w:ascii="Arial" w:hAnsi="Arial"/>
                <w:b/>
                <w:color w:val="FFFFFF"/>
                <w:sz w:val="15"/>
              </w:rPr>
              <w:t>Term</w:t>
            </w:r>
          </w:p>
        </w:tc>
        <w:tc>
          <w:tcPr>
            <w:tcW w:type="dxa" w:w="5083"/>
            <w:shd w:fill="081827"/>
            <w:tcMar>
              <w:top w:w="90" w:type="dxa"/>
              <w:start w:w="90" w:type="dxa"/>
              <w:bottom w:w="90" w:type="dxa"/>
              <w:end w:w="90" w:type="dxa"/>
            </w:tcMar>
            <w:vAlign w:val="center"/>
          </w:tcPr>
          <w:p>
            <w:pPr>
              <w:keepNext w:val="0"/>
              <w:spacing w:before="0" w:after="0" w:line="240" w:lineRule="auto"/>
              <w:jc w:val="center"/>
            </w:pPr>
            <w:r>
              <w:rPr>
                <w:rFonts w:ascii="Arial" w:hAnsi="Arial"/>
                <w:b/>
                <w:color w:val="FFFFFF"/>
                <w:sz w:val="15"/>
              </w:rPr>
              <w:t>Meaning in this guide</w:t>
            </w:r>
          </w:p>
        </w:tc>
      </w:tr>
      <w:tr>
        <w:tc>
          <w:tcPr>
            <w:tcW w:type="dxa" w:w="1944"/>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6"/>
              </w:rPr>
              <w:t>Surface</w:t>
            </w:r>
          </w:p>
        </w:tc>
        <w:tc>
          <w:tcPr>
            <w:tcW w:type="dxa" w:w="7920"/>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6"/>
              </w:rPr>
              <w:t>ChatGPT, Codex, API, or another supported OpenAI product surface.</w:t>
            </w:r>
          </w:p>
        </w:tc>
      </w:tr>
      <w:tr>
        <w:tc>
          <w:tcPr>
            <w:tcW w:type="dxa" w:w="1944"/>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6"/>
              </w:rPr>
              <w:t>Configuration</w:t>
            </w:r>
          </w:p>
        </w:tc>
        <w:tc>
          <w:tcPr>
            <w:tcW w:type="dxa" w:w="7920"/>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6"/>
              </w:rPr>
              <w:t>Model selection plus reasoning effort/mode, verbosity, and enabled capabilities.</w:t>
            </w:r>
          </w:p>
        </w:tc>
      </w:tr>
      <w:tr>
        <w:tc>
          <w:tcPr>
            <w:tcW w:type="dxa" w:w="1944"/>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6"/>
              </w:rPr>
              <w:t>Capability</w:t>
            </w:r>
          </w:p>
        </w:tc>
        <w:tc>
          <w:tcPr>
            <w:tcW w:type="dxa" w:w="7920"/>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6"/>
              </w:rPr>
              <w:t>A model or product function such as web, files, code execution, Skills, apps, or tool calling.</w:t>
            </w:r>
          </w:p>
        </w:tc>
      </w:tr>
      <w:tr>
        <w:tc>
          <w:tcPr>
            <w:tcW w:type="dxa" w:w="1944"/>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6"/>
              </w:rPr>
              <w:t>Prompt</w:t>
            </w:r>
          </w:p>
        </w:tc>
        <w:tc>
          <w:tcPr>
            <w:tcW w:type="dxa" w:w="7920"/>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6"/>
              </w:rPr>
              <w:t>The task-level outcome contract supplied by the user or application.</w:t>
            </w:r>
          </w:p>
        </w:tc>
      </w:tr>
      <w:tr>
        <w:tc>
          <w:tcPr>
            <w:tcW w:type="dxa" w:w="1944"/>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6"/>
              </w:rPr>
              <w:t>Validation</w:t>
            </w:r>
          </w:p>
        </w:tc>
        <w:tc>
          <w:tcPr>
            <w:tcW w:type="dxa" w:w="7920"/>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6"/>
              </w:rPr>
              <w:t>Evidence-based checks proving the result meets its completion criteria.</w:t>
            </w:r>
          </w:p>
        </w:tc>
      </w:tr>
      <w:tr>
        <w:tc>
          <w:tcPr>
            <w:tcW w:type="dxa" w:w="1944"/>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6"/>
              </w:rPr>
              <w:t>Release</w:t>
            </w:r>
          </w:p>
        </w:tc>
        <w:tc>
          <w:tcPr>
            <w:tcW w:type="dxa" w:w="7920"/>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6"/>
              </w:rPr>
              <w:t>The decision to accept, conditionally accept, rework, or reject the output.</w:t>
            </w:r>
          </w:p>
        </w:tc>
      </w:tr>
    </w:tbl>
    <w:p>
      <w:pPr>
        <w:spacing w:after="20"/>
      </w:pPr>
    </w:p>
    <w:p>
      <w:r>
        <w:br w:type="page"/>
      </w:r>
    </w:p>
    <w:p>
      <w:pPr>
        <w:keepNext/>
        <w:spacing w:before="0" w:after="40" w:line="259" w:lineRule="auto"/>
      </w:pPr>
      <w:r>
        <w:rPr>
          <w:rFonts w:ascii="Arial" w:hAnsi="Arial"/>
          <w:b/>
          <w:i w:val="0"/>
          <w:color w:val="1473E6"/>
          <w:sz w:val="14"/>
        </w:rPr>
        <w:t>SYSTEM MODEL</w:t>
      </w:r>
    </w:p>
    <w:p>
      <w:pPr>
        <w:keepNext/>
        <w:spacing w:before="0" w:after="80" w:line="240" w:lineRule="auto"/>
      </w:pPr>
      <w:r>
        <w:rPr>
          <w:rFonts w:ascii="Arial" w:hAnsi="Arial"/>
          <w:b/>
          <w:color w:val="1473E6"/>
          <w:sz w:val="31"/>
        </w:rPr>
        <w:t xml:space="preserve">03  </w:t>
      </w:r>
      <w:r>
        <w:rPr>
          <w:rFonts w:ascii="Arial" w:hAnsi="Arial"/>
          <w:b/>
          <w:color w:val="081827"/>
          <w:sz w:val="31"/>
        </w:rPr>
        <w:t>Architecture at a glance</w:t>
      </w:r>
    </w:p>
    <w:p>
      <w:pPr>
        <w:keepNext w:val="0"/>
        <w:spacing w:before="0" w:after="100" w:line="240" w:lineRule="auto"/>
        <w:pBdr>
          <w:bottom w:val="single" w:sz="6" w:space="1" w:color="E4E7EC"/>
        </w:pBdr>
      </w:pPr>
    </w:p>
    <w:p>
      <w:pPr>
        <w:keepNext w:val="0"/>
        <w:spacing w:before="40" w:after="80" w:line="240" w:lineRule="auto"/>
        <w:jc w:val="center"/>
      </w:pPr>
      <w:r>
        <w:drawing>
          <wp:inline xmlns:a="http://schemas.openxmlformats.org/drawingml/2006/main" xmlns:pic="http://schemas.openxmlformats.org/drawingml/2006/picture">
            <wp:extent cx="6400800" cy="3040380"/>
            <wp:docPr id="1" name="Picture 1"/>
            <wp:cNvGraphicFramePr>
              <a:graphicFrameLocks noChangeAspect="1"/>
            </wp:cNvGraphicFramePr>
            <a:graphic>
              <a:graphicData uri="http://schemas.openxmlformats.org/drawingml/2006/picture">
                <pic:pic>
                  <pic:nvPicPr>
                    <pic:cNvPr id="0" name="execution_architecture.png"/>
                    <pic:cNvPicPr/>
                  </pic:nvPicPr>
                  <pic:blipFill>
                    <a:blip r:embed="rId12"/>
                    <a:stretch>
                      <a:fillRect/>
                    </a:stretch>
                  </pic:blipFill>
                  <pic:spPr>
                    <a:xfrm>
                      <a:off x="0" y="0"/>
                      <a:ext cx="6400800" cy="3040380"/>
                    </a:xfrm>
                    <a:prstGeom prst="rect"/>
                  </pic:spPr>
                </pic:pic>
              </a:graphicData>
            </a:graphic>
          </wp:inline>
        </w:drawing>
      </w:r>
    </w:p>
    <w:tbl>
      <w:tblPr>
        <w:tblW w:type="auto" w:w="0"/>
        <w:jc w:val="center"/>
        <w:tblLayout w:type="fixed"/>
        <w:tblLook w:firstColumn="1" w:firstRow="1" w:lastColumn="0" w:lastRow="0" w:noHBand="0" w:noVBand="1" w:val="04A0"/>
      </w:tblPr>
      <w:tblGrid>
        <w:gridCol w:w="115"/>
        <w:gridCol w:w="9792"/>
      </w:tblGrid>
      <w:tr>
        <w:tc>
          <w:tcPr>
            <w:tcW w:type="dxa" w:w="5083"/>
            <w:shd w:fill="6941C6"/>
            <w:tcMar>
              <w:top w:w="60" w:type="dxa"/>
              <w:start w:w="0" w:type="dxa"/>
              <w:bottom w:w="60" w:type="dxa"/>
              <w:end w:w="0" w:type="dxa"/>
            </w:tcMar>
            <w:vAlign w:val="center"/>
          </w:tcPr>
          <w:p/>
        </w:tc>
        <w:tc>
          <w:tcPr>
            <w:tcW w:type="dxa" w:w="5083"/>
            <w:shd w:fill="F2EEFF"/>
            <w:tcMar>
              <w:top w:w="110" w:type="dxa"/>
              <w:start w:w="150" w:type="dxa"/>
              <w:bottom w:w="110" w:type="dxa"/>
              <w:end w:w="150" w:type="dxa"/>
            </w:tcMar>
          </w:tcPr>
          <w:p>
            <w:pPr>
              <w:keepNext/>
              <w:spacing w:before="0" w:after="40" w:line="240" w:lineRule="auto"/>
            </w:pPr>
            <w:r>
              <w:rPr>
                <w:rFonts w:ascii="Arial" w:hAnsi="Arial"/>
                <w:b/>
                <w:color w:val="6941C6"/>
                <w:sz w:val="14"/>
              </w:rPr>
              <w:t>CONTROL PRINCIPLE</w:t>
            </w:r>
          </w:p>
          <w:p>
            <w:pPr>
              <w:keepNext w:val="0"/>
              <w:spacing w:before="0" w:after="0" w:line="259" w:lineRule="auto"/>
            </w:pPr>
            <w:r>
              <w:rPr>
                <w:rFonts w:ascii="Arial" w:hAnsi="Arial"/>
                <w:color w:val="17202A"/>
                <w:sz w:val="18"/>
              </w:rPr>
              <w:t>Do not ask the model to “use everything.” Authorize only the capabilities required by the outcome, provide the evidence they need, and define how their work will be checked.</w:t>
            </w:r>
          </w:p>
        </w:tc>
      </w:tr>
    </w:tbl>
    <w:p>
      <w:pPr>
        <w:spacing w:after="20"/>
      </w:pPr>
    </w:p>
    <w:p>
      <w:pPr>
        <w:keepNext/>
        <w:spacing w:before="100" w:after="60" w:line="240" w:lineRule="auto"/>
      </w:pPr>
      <w:r>
        <w:rPr>
          <w:rFonts w:ascii="Arial" w:hAnsi="Arial"/>
          <w:b/>
          <w:color w:val="081827"/>
          <w:sz w:val="21"/>
        </w:rPr>
        <w:t>Execution sequence</w:t>
      </w:r>
    </w:p>
    <w:p>
      <w:pPr>
        <w:keepNext w:val="0"/>
        <w:spacing w:before="0" w:after="60" w:line="254" w:lineRule="auto"/>
        <w:ind w:left="259" w:hanging="259"/>
      </w:pPr>
      <w:r>
        <w:rPr>
          <w:rFonts w:ascii="Arial" w:hAnsi="Arial"/>
          <w:b/>
          <w:color w:val="1473E6"/>
          <w:sz w:val="18"/>
        </w:rPr>
        <w:t xml:space="preserve">1. </w:t>
      </w:r>
      <w:r>
        <w:rPr>
          <w:rFonts w:ascii="Arial" w:hAnsi="Arial"/>
          <w:color w:val="17202A"/>
          <w:sz w:val="18"/>
        </w:rPr>
        <w:t>Define the decision or artifact in observable terms.</w:t>
      </w:r>
    </w:p>
    <w:p>
      <w:pPr>
        <w:keepNext w:val="0"/>
        <w:spacing w:before="0" w:after="60" w:line="254" w:lineRule="auto"/>
        <w:ind w:left="259" w:hanging="259"/>
      </w:pPr>
      <w:r>
        <w:rPr>
          <w:rFonts w:ascii="Arial" w:hAnsi="Arial"/>
          <w:b/>
          <w:color w:val="1473E6"/>
          <w:sz w:val="18"/>
        </w:rPr>
        <w:t xml:space="preserve">2. </w:t>
      </w:r>
      <w:r>
        <w:rPr>
          <w:rFonts w:ascii="Arial" w:hAnsi="Arial"/>
          <w:color w:val="17202A"/>
          <w:sz w:val="18"/>
        </w:rPr>
        <w:t>Supply only evidence and context that can change the result.</w:t>
      </w:r>
    </w:p>
    <w:p>
      <w:pPr>
        <w:keepNext w:val="0"/>
        <w:spacing w:before="0" w:after="60" w:line="254" w:lineRule="auto"/>
        <w:ind w:left="259" w:hanging="259"/>
      </w:pPr>
      <w:r>
        <w:rPr>
          <w:rFonts w:ascii="Arial" w:hAnsi="Arial"/>
          <w:b/>
          <w:color w:val="1473E6"/>
          <w:sz w:val="18"/>
        </w:rPr>
        <w:t xml:space="preserve">3. </w:t>
      </w:r>
      <w:r>
        <w:rPr>
          <w:rFonts w:ascii="Arial" w:hAnsi="Arial"/>
          <w:color w:val="17202A"/>
          <w:sz w:val="18"/>
        </w:rPr>
        <w:t>Choose the surface and reasoning configuration based on measured difficulty.</w:t>
      </w:r>
    </w:p>
    <w:p>
      <w:pPr>
        <w:keepNext w:val="0"/>
        <w:spacing w:before="0" w:after="60" w:line="254" w:lineRule="auto"/>
        <w:ind w:left="259" w:hanging="259"/>
      </w:pPr>
      <w:r>
        <w:rPr>
          <w:rFonts w:ascii="Arial" w:hAnsi="Arial"/>
          <w:b/>
          <w:color w:val="1473E6"/>
          <w:sz w:val="18"/>
        </w:rPr>
        <w:t xml:space="preserve">4. </w:t>
      </w:r>
      <w:r>
        <w:rPr>
          <w:rFonts w:ascii="Arial" w:hAnsi="Arial"/>
          <w:color w:val="17202A"/>
          <w:sz w:val="18"/>
        </w:rPr>
        <w:t>Authorize specific read, analysis, local-change, and validation actions.</w:t>
      </w:r>
    </w:p>
    <w:p>
      <w:pPr>
        <w:keepNext w:val="0"/>
        <w:spacing w:before="0" w:after="60" w:line="254" w:lineRule="auto"/>
        <w:ind w:left="259" w:hanging="259"/>
      </w:pPr>
      <w:r>
        <w:rPr>
          <w:rFonts w:ascii="Arial" w:hAnsi="Arial"/>
          <w:b/>
          <w:color w:val="1473E6"/>
          <w:sz w:val="18"/>
        </w:rPr>
        <w:t xml:space="preserve">5. </w:t>
      </w:r>
      <w:r>
        <w:rPr>
          <w:rFonts w:ascii="Arial" w:hAnsi="Arial"/>
          <w:color w:val="17202A"/>
          <w:sz w:val="18"/>
        </w:rPr>
        <w:t>Require an evidence package, not unsupported confidence.</w:t>
      </w:r>
    </w:p>
    <w:p>
      <w:pPr>
        <w:keepNext w:val="0"/>
        <w:spacing w:before="0" w:after="60" w:line="254" w:lineRule="auto"/>
        <w:ind w:left="259" w:hanging="259"/>
      </w:pPr>
      <w:r>
        <w:rPr>
          <w:rFonts w:ascii="Arial" w:hAnsi="Arial"/>
          <w:b/>
          <w:color w:val="1473E6"/>
          <w:sz w:val="18"/>
        </w:rPr>
        <w:t xml:space="preserve">6. </w:t>
      </w:r>
      <w:r>
        <w:rPr>
          <w:rFonts w:ascii="Arial" w:hAnsi="Arial"/>
          <w:color w:val="17202A"/>
          <w:sz w:val="18"/>
        </w:rPr>
        <w:t>Apply validation and approval gates before external or irreversible action.</w:t>
      </w:r>
    </w:p>
    <w:p>
      <w:pPr>
        <w:keepNext w:val="0"/>
        <w:spacing w:before="60" w:after="0" w:line="240" w:lineRule="auto"/>
      </w:pPr>
      <w:r>
        <w:rPr>
          <w:rFonts w:ascii="Arial" w:hAnsi="Arial"/>
          <w:b/>
          <w:color w:val="667085"/>
          <w:sz w:val="14"/>
        </w:rPr>
        <w:t xml:space="preserve">Sources: </w:t>
      </w:r>
      <w:r>
        <w:rPr>
          <w:rFonts w:ascii="Arial" w:hAnsi="Arial"/>
          <w:color w:val="667085"/>
          <w:sz w:val="14"/>
        </w:rPr>
        <w:t>S01, S04, S08</w:t>
      </w:r>
    </w:p>
    <w:p>
      <w:r>
        <w:br w:type="page"/>
      </w:r>
    </w:p>
    <w:p>
      <w:pPr>
        <w:keepNext/>
        <w:spacing w:before="0" w:after="40" w:line="259" w:lineRule="auto"/>
      </w:pPr>
      <w:r>
        <w:rPr>
          <w:rFonts w:ascii="Arial" w:hAnsi="Arial"/>
          <w:b/>
          <w:i w:val="0"/>
          <w:color w:val="1473E6"/>
          <w:sz w:val="14"/>
        </w:rPr>
        <w:t>MODEL CONTROL</w:t>
      </w:r>
    </w:p>
    <w:p>
      <w:pPr>
        <w:keepNext/>
        <w:spacing w:before="0" w:after="80" w:line="240" w:lineRule="auto"/>
      </w:pPr>
      <w:r>
        <w:rPr>
          <w:rFonts w:ascii="Arial" w:hAnsi="Arial"/>
          <w:b/>
          <w:color w:val="1473E6"/>
          <w:sz w:val="31"/>
        </w:rPr>
        <w:t xml:space="preserve">04  </w:t>
      </w:r>
      <w:r>
        <w:rPr>
          <w:rFonts w:ascii="Arial" w:hAnsi="Arial"/>
          <w:b/>
          <w:color w:val="081827"/>
          <w:sz w:val="31"/>
        </w:rPr>
        <w:t>Product-surface and configuration map</w:t>
      </w:r>
    </w:p>
    <w:p>
      <w:pPr>
        <w:keepNext w:val="0"/>
        <w:spacing w:before="0" w:after="100" w:line="240" w:lineRule="auto"/>
        <w:pBdr>
          <w:bottom w:val="single" w:sz="6" w:space="1" w:color="E4E7EC"/>
        </w:pBdr>
      </w:pPr>
    </w:p>
    <w:p>
      <w:pPr>
        <w:keepNext w:val="0"/>
        <w:spacing w:before="0" w:after="120" w:line="259" w:lineRule="auto"/>
      </w:pPr>
      <w:r>
        <w:rPr>
          <w:rFonts w:ascii="Arial" w:hAnsi="Arial"/>
          <w:b w:val="0"/>
          <w:i w:val="0"/>
          <w:color w:val="17202A"/>
          <w:sz w:val="18"/>
        </w:rPr>
        <w:t>The same phrase can mean different controls in ChatGPT and the API. Prompt authors must label the target surface whenever configuration guidance is included.</w:t>
      </w:r>
    </w:p>
    <w:tbl>
      <w:tblPr>
        <w:tblW w:type="auto" w:w="0"/>
        <w:jc w:val="center"/>
        <w:tblLayout w:type="fixed"/>
        <w:tblLook w:firstColumn="1" w:firstRow="1" w:lastColumn="0" w:lastRow="0" w:noHBand="0" w:noVBand="1" w:val="04A0"/>
      </w:tblPr>
      <w:tblGrid>
        <w:gridCol w:w="1296"/>
        <w:gridCol w:w="1944"/>
        <w:gridCol w:w="3024"/>
        <w:gridCol w:w="3600"/>
      </w:tblGrid>
      <w:tr>
        <w:trPr>
          <w:tblHeader w:val="true"/>
        </w:trPr>
        <w:tc>
          <w:tcPr>
            <w:tcW w:type="dxa" w:w="2541"/>
            <w:shd w:fill="081827"/>
            <w:tcMar>
              <w:top w:w="90" w:type="dxa"/>
              <w:start w:w="90" w:type="dxa"/>
              <w:bottom w:w="90" w:type="dxa"/>
              <w:end w:w="90" w:type="dxa"/>
            </w:tcMar>
            <w:vAlign w:val="center"/>
          </w:tcPr>
          <w:p>
            <w:pPr>
              <w:keepNext w:val="0"/>
              <w:spacing w:before="0" w:after="0" w:line="240" w:lineRule="auto"/>
              <w:jc w:val="center"/>
            </w:pPr>
            <w:r>
              <w:rPr>
                <w:rFonts w:ascii="Arial" w:hAnsi="Arial"/>
                <w:b/>
                <w:color w:val="FFFFFF"/>
                <w:sz w:val="15"/>
              </w:rPr>
              <w:t>Surface</w:t>
            </w:r>
          </w:p>
        </w:tc>
        <w:tc>
          <w:tcPr>
            <w:tcW w:type="dxa" w:w="2541"/>
            <w:shd w:fill="081827"/>
            <w:tcMar>
              <w:top w:w="90" w:type="dxa"/>
              <w:start w:w="90" w:type="dxa"/>
              <w:bottom w:w="90" w:type="dxa"/>
              <w:end w:w="90" w:type="dxa"/>
            </w:tcMar>
            <w:vAlign w:val="center"/>
          </w:tcPr>
          <w:p>
            <w:pPr>
              <w:keepNext w:val="0"/>
              <w:spacing w:before="0" w:after="0" w:line="240" w:lineRule="auto"/>
              <w:jc w:val="center"/>
            </w:pPr>
            <w:r>
              <w:rPr>
                <w:rFonts w:ascii="Arial" w:hAnsi="Arial"/>
                <w:b/>
                <w:color w:val="FFFFFF"/>
                <w:sz w:val="15"/>
              </w:rPr>
              <w:t>User-visible or API control</w:t>
            </w:r>
          </w:p>
        </w:tc>
        <w:tc>
          <w:tcPr>
            <w:tcW w:type="dxa" w:w="2541"/>
            <w:shd w:fill="081827"/>
            <w:tcMar>
              <w:top w:w="90" w:type="dxa"/>
              <w:start w:w="90" w:type="dxa"/>
              <w:bottom w:w="90" w:type="dxa"/>
              <w:end w:w="90" w:type="dxa"/>
            </w:tcMar>
            <w:vAlign w:val="center"/>
          </w:tcPr>
          <w:p>
            <w:pPr>
              <w:keepNext w:val="0"/>
              <w:spacing w:before="0" w:after="0" w:line="240" w:lineRule="auto"/>
              <w:jc w:val="center"/>
            </w:pPr>
            <w:r>
              <w:rPr>
                <w:rFonts w:ascii="Arial" w:hAnsi="Arial"/>
                <w:b/>
                <w:color w:val="FFFFFF"/>
                <w:sz w:val="15"/>
              </w:rPr>
              <w:t>Verified behavior</w:t>
            </w:r>
          </w:p>
        </w:tc>
        <w:tc>
          <w:tcPr>
            <w:tcW w:type="dxa" w:w="2541"/>
            <w:shd w:fill="081827"/>
            <w:tcMar>
              <w:top w:w="90" w:type="dxa"/>
              <w:start w:w="90" w:type="dxa"/>
              <w:bottom w:w="90" w:type="dxa"/>
              <w:end w:w="90" w:type="dxa"/>
            </w:tcMar>
            <w:vAlign w:val="center"/>
          </w:tcPr>
          <w:p>
            <w:pPr>
              <w:keepNext w:val="0"/>
              <w:spacing w:before="0" w:after="0" w:line="240" w:lineRule="auto"/>
              <w:jc w:val="center"/>
            </w:pPr>
            <w:r>
              <w:rPr>
                <w:rFonts w:ascii="Arial" w:hAnsi="Arial"/>
                <w:b/>
                <w:color w:val="FFFFFF"/>
                <w:sz w:val="15"/>
              </w:rPr>
              <w:t>Guide rule</w:t>
            </w:r>
          </w:p>
        </w:tc>
      </w:tr>
      <w:tr>
        <w:tc>
          <w:tcPr>
            <w:tcW w:type="dxa" w:w="1296"/>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ChatGPT</w:t>
            </w:r>
          </w:p>
        </w:tc>
        <w:tc>
          <w:tcPr>
            <w:tcW w:type="dxa" w:w="1944"/>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Medium</w:t>
            </w:r>
          </w:p>
        </w:tc>
        <w:tc>
          <w:tcPr>
            <w:tcW w:type="dxa" w:w="3024"/>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GPT-5.6 Sol reasoning option</w:t>
            </w:r>
          </w:p>
        </w:tc>
        <w:tc>
          <w:tcPr>
            <w:tcW w:type="dxa" w:w="3600"/>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Balanced complex work; availability varies by plan/workspace.</w:t>
            </w:r>
          </w:p>
        </w:tc>
      </w:tr>
      <w:tr>
        <w:tc>
          <w:tcPr>
            <w:tcW w:type="dxa" w:w="1296"/>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ChatGPT</w:t>
            </w:r>
          </w:p>
        </w:tc>
        <w:tc>
          <w:tcPr>
            <w:tcW w:type="dxa" w:w="1944"/>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High</w:t>
            </w:r>
          </w:p>
        </w:tc>
        <w:tc>
          <w:tcPr>
            <w:tcW w:type="dxa" w:w="3024"/>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Extended reasoning with GPT-5.6 Sol</w:t>
            </w:r>
          </w:p>
        </w:tc>
        <w:tc>
          <w:tcPr>
            <w:tcW w:type="dxa" w:w="3600"/>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Default target for this guide’s complex leadership prompts.</w:t>
            </w:r>
          </w:p>
        </w:tc>
      </w:tr>
      <w:tr>
        <w:tc>
          <w:tcPr>
            <w:tcW w:type="dxa" w:w="1296"/>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ChatGPT</w:t>
            </w:r>
          </w:p>
        </w:tc>
        <w:tc>
          <w:tcPr>
            <w:tcW w:type="dxa" w:w="1944"/>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Extra High</w:t>
            </w:r>
          </w:p>
        </w:tc>
        <w:tc>
          <w:tcPr>
            <w:tcW w:type="dxa" w:w="3024"/>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Highest standard reasoning selection with GPT-5.6 Sol</w:t>
            </w:r>
          </w:p>
        </w:tc>
        <w:tc>
          <w:tcPr>
            <w:tcW w:type="dxa" w:w="3600"/>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Use when measured quality gains justify additional time.</w:t>
            </w:r>
          </w:p>
        </w:tc>
      </w:tr>
      <w:tr>
        <w:tc>
          <w:tcPr>
            <w:tcW w:type="dxa" w:w="1296"/>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ChatGPT</w:t>
            </w:r>
          </w:p>
        </w:tc>
        <w:tc>
          <w:tcPr>
            <w:tcW w:type="dxa" w:w="1944"/>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Pro</w:t>
            </w:r>
          </w:p>
        </w:tc>
        <w:tc>
          <w:tcPr>
            <w:tcW w:type="dxa" w:w="3024"/>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GPT-5.6 Sol Pro product option</w:t>
            </w:r>
          </w:p>
        </w:tc>
        <w:tc>
          <w:tcPr>
            <w:tcW w:type="dxa" w:w="3600"/>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Difficult tasks and longer-running workflows; plan/workspace dependent.</w:t>
            </w:r>
          </w:p>
        </w:tc>
      </w:tr>
      <w:tr>
        <w:tc>
          <w:tcPr>
            <w:tcW w:type="dxa" w:w="1296"/>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API</w:t>
            </w:r>
          </w:p>
        </w:tc>
        <w:tc>
          <w:tcPr>
            <w:tcW w:type="dxa" w:w="1944"/>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gpt-5.6-sol or gpt-5.6 alias</w:t>
            </w:r>
          </w:p>
        </w:tc>
        <w:tc>
          <w:tcPr>
            <w:tcW w:type="dxa" w:w="3024"/>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Flagship GPT-5.6 model</w:t>
            </w:r>
          </w:p>
        </w:tc>
        <w:tc>
          <w:tcPr>
            <w:tcW w:type="dxa" w:w="3600"/>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Choose model separately from effort and mode.</w:t>
            </w:r>
          </w:p>
        </w:tc>
      </w:tr>
      <w:tr>
        <w:tc>
          <w:tcPr>
            <w:tcW w:type="dxa" w:w="1296"/>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API</w:t>
            </w:r>
          </w:p>
        </w:tc>
        <w:tc>
          <w:tcPr>
            <w:tcW w:type="dxa" w:w="1944"/>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reasoning.effort</w:t>
            </w:r>
          </w:p>
        </w:tc>
        <w:tc>
          <w:tcPr>
            <w:tcW w:type="dxa" w:w="3024"/>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none, low, medium, high, xhigh, max</w:t>
            </w:r>
          </w:p>
        </w:tc>
        <w:tc>
          <w:tcPr>
            <w:tcW w:type="dxa" w:w="3600"/>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Benchmark; never assume max is automatically optimal.</w:t>
            </w:r>
          </w:p>
        </w:tc>
      </w:tr>
      <w:tr>
        <w:tc>
          <w:tcPr>
            <w:tcW w:type="dxa" w:w="1296"/>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API</w:t>
            </w:r>
          </w:p>
        </w:tc>
        <w:tc>
          <w:tcPr>
            <w:tcW w:type="dxa" w:w="1944"/>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reasoning.mode</w:t>
            </w:r>
          </w:p>
        </w:tc>
        <w:tc>
          <w:tcPr>
            <w:tcW w:type="dxa" w:w="3024"/>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standard/default or pro execution mode</w:t>
            </w:r>
          </w:p>
        </w:tc>
        <w:tc>
          <w:tcPr>
            <w:tcW w:type="dxa" w:w="3600"/>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Pro is independent from model slug and effort.</w:t>
            </w:r>
          </w:p>
        </w:tc>
      </w:tr>
      <w:tr>
        <w:tc>
          <w:tcPr>
            <w:tcW w:type="dxa" w:w="1296"/>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API</w:t>
            </w:r>
          </w:p>
        </w:tc>
        <w:tc>
          <w:tcPr>
            <w:tcW w:type="dxa" w:w="1944"/>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text.verbosity</w:t>
            </w:r>
          </w:p>
        </w:tc>
        <w:tc>
          <w:tcPr>
            <w:tcW w:type="dxa" w:w="3024"/>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low, medium, high</w:t>
            </w:r>
          </w:p>
        </w:tc>
        <w:tc>
          <w:tcPr>
            <w:tcW w:type="dxa" w:w="3600"/>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Controls default answer detail; task prompt still defines required content.</w:t>
            </w:r>
          </w:p>
        </w:tc>
      </w:tr>
    </w:tbl>
    <w:p>
      <w:pPr>
        <w:spacing w:after="20"/>
      </w:pPr>
    </w:p>
    <w:tbl>
      <w:tblPr>
        <w:tblW w:type="auto" w:w="0"/>
        <w:jc w:val="center"/>
        <w:tblLayout w:type="fixed"/>
        <w:tblLook w:firstColumn="1" w:firstRow="1" w:lastColumn="0" w:lastRow="0" w:noHBand="0" w:noVBand="1" w:val="04A0"/>
      </w:tblPr>
      <w:tblGrid>
        <w:gridCol w:w="115"/>
        <w:gridCol w:w="9792"/>
      </w:tblGrid>
      <w:tr>
        <w:tc>
          <w:tcPr>
            <w:tcW w:type="dxa" w:w="5083"/>
            <w:shd w:fill="B96800"/>
            <w:tcMar>
              <w:top w:w="60" w:type="dxa"/>
              <w:start w:w="0" w:type="dxa"/>
              <w:bottom w:w="60" w:type="dxa"/>
              <w:end w:w="0" w:type="dxa"/>
            </w:tcMar>
            <w:vAlign w:val="center"/>
          </w:tcPr>
          <w:p/>
        </w:tc>
        <w:tc>
          <w:tcPr>
            <w:tcW w:type="dxa" w:w="5083"/>
            <w:shd w:fill="FFF4DF"/>
            <w:tcMar>
              <w:top w:w="110" w:type="dxa"/>
              <w:start w:w="150" w:type="dxa"/>
              <w:bottom w:w="110" w:type="dxa"/>
              <w:end w:w="150" w:type="dxa"/>
            </w:tcMar>
          </w:tcPr>
          <w:p>
            <w:pPr>
              <w:keepNext/>
              <w:spacing w:before="0" w:after="40" w:line="240" w:lineRule="auto"/>
            </w:pPr>
            <w:r>
              <w:rPr>
                <w:rFonts w:ascii="Arial" w:hAnsi="Arial"/>
                <w:b/>
                <w:color w:val="B96800"/>
                <w:sz w:val="14"/>
              </w:rPr>
              <w:t>NAMING RULE</w:t>
            </w:r>
          </w:p>
          <w:p>
            <w:pPr>
              <w:keepNext w:val="0"/>
              <w:spacing w:before="0" w:after="0" w:line="259" w:lineRule="auto"/>
            </w:pPr>
            <w:r>
              <w:rPr>
                <w:rFonts w:ascii="Arial" w:hAnsi="Arial"/>
                <w:color w:val="17202A"/>
                <w:sz w:val="18"/>
              </w:rPr>
              <w:t>“GPT-5.6 Sol High” is allowed as a practical guide title. Technical passages must state “GPT-5.6 Sol with High reasoning” for ChatGPT, or “gpt-5.6-sol with reasoning.effort: high” for API examples.</w:t>
            </w:r>
          </w:p>
        </w:tc>
      </w:tr>
    </w:tbl>
    <w:p>
      <w:pPr>
        <w:spacing w:after="20"/>
      </w:pPr>
    </w:p>
    <w:p>
      <w:pPr>
        <w:keepNext w:val="0"/>
        <w:spacing w:before="60" w:after="0" w:line="240" w:lineRule="auto"/>
      </w:pPr>
      <w:r>
        <w:rPr>
          <w:rFonts w:ascii="Arial" w:hAnsi="Arial"/>
          <w:b/>
          <w:color w:val="667085"/>
          <w:sz w:val="14"/>
        </w:rPr>
        <w:t xml:space="preserve">Sources: </w:t>
      </w:r>
      <w:r>
        <w:rPr>
          <w:rFonts w:ascii="Arial" w:hAnsi="Arial"/>
          <w:color w:val="667085"/>
          <w:sz w:val="14"/>
        </w:rPr>
        <w:t>S01, S02, S03</w:t>
      </w:r>
    </w:p>
    <w:p>
      <w:r>
        <w:br w:type="page"/>
      </w:r>
    </w:p>
    <w:p>
      <w:pPr>
        <w:keepNext/>
        <w:spacing w:before="0" w:after="40" w:line="259" w:lineRule="auto"/>
      </w:pPr>
      <w:r>
        <w:rPr>
          <w:rFonts w:ascii="Arial" w:hAnsi="Arial"/>
          <w:b/>
          <w:i w:val="0"/>
          <w:color w:val="1473E6"/>
          <w:sz w:val="14"/>
        </w:rPr>
        <w:t>MODEL CONTROL</w:t>
      </w:r>
    </w:p>
    <w:p>
      <w:pPr>
        <w:keepNext/>
        <w:spacing w:before="0" w:after="80" w:line="240" w:lineRule="auto"/>
      </w:pPr>
      <w:r>
        <w:rPr>
          <w:rFonts w:ascii="Arial" w:hAnsi="Arial"/>
          <w:b/>
          <w:color w:val="1473E6"/>
          <w:sz w:val="31"/>
        </w:rPr>
        <w:t xml:space="preserve">05  </w:t>
      </w:r>
      <w:r>
        <w:rPr>
          <w:rFonts w:ascii="Arial" w:hAnsi="Arial"/>
          <w:b/>
          <w:color w:val="081827"/>
          <w:sz w:val="31"/>
        </w:rPr>
        <w:t>Reasoning-selection matrix</w:t>
      </w:r>
    </w:p>
    <w:p>
      <w:pPr>
        <w:keepNext w:val="0"/>
        <w:spacing w:before="0" w:after="100" w:line="240" w:lineRule="auto"/>
        <w:pBdr>
          <w:bottom w:val="single" w:sz="6" w:space="1" w:color="E4E7EC"/>
        </w:pBdr>
      </w:pPr>
    </w:p>
    <w:tbl>
      <w:tblPr>
        <w:tblW w:type="auto" w:w="0"/>
        <w:jc w:val="center"/>
        <w:tblLayout w:type="fixed"/>
        <w:tblLook w:firstColumn="1" w:firstRow="1" w:lastColumn="0" w:lastRow="0" w:noHBand="0" w:noVBand="1" w:val="04A0"/>
      </w:tblPr>
      <w:tblGrid>
        <w:gridCol w:w="2376"/>
        <w:gridCol w:w="2088"/>
        <w:gridCol w:w="2232"/>
        <w:gridCol w:w="3240"/>
      </w:tblGrid>
      <w:tr>
        <w:trPr>
          <w:tblHeader w:val="true"/>
        </w:trPr>
        <w:tc>
          <w:tcPr>
            <w:tcW w:type="dxa" w:w="2541"/>
            <w:shd w:fill="081827"/>
            <w:tcMar>
              <w:top w:w="90" w:type="dxa"/>
              <w:start w:w="90" w:type="dxa"/>
              <w:bottom w:w="90" w:type="dxa"/>
              <w:end w:w="90" w:type="dxa"/>
            </w:tcMar>
            <w:vAlign w:val="center"/>
          </w:tcPr>
          <w:p>
            <w:pPr>
              <w:keepNext w:val="0"/>
              <w:spacing w:before="0" w:after="0" w:line="240" w:lineRule="auto"/>
              <w:jc w:val="center"/>
            </w:pPr>
            <w:r>
              <w:rPr>
                <w:rFonts w:ascii="Arial" w:hAnsi="Arial"/>
                <w:b/>
                <w:color w:val="FFFFFF"/>
                <w:sz w:val="15"/>
              </w:rPr>
              <w:t>Workload pattern</w:t>
            </w:r>
          </w:p>
        </w:tc>
        <w:tc>
          <w:tcPr>
            <w:tcW w:type="dxa" w:w="2541"/>
            <w:shd w:fill="081827"/>
            <w:tcMar>
              <w:top w:w="90" w:type="dxa"/>
              <w:start w:w="90" w:type="dxa"/>
              <w:bottom w:w="90" w:type="dxa"/>
              <w:end w:w="90" w:type="dxa"/>
            </w:tcMar>
            <w:vAlign w:val="center"/>
          </w:tcPr>
          <w:p>
            <w:pPr>
              <w:keepNext w:val="0"/>
              <w:spacing w:before="0" w:after="0" w:line="240" w:lineRule="auto"/>
              <w:jc w:val="center"/>
            </w:pPr>
            <w:r>
              <w:rPr>
                <w:rFonts w:ascii="Arial" w:hAnsi="Arial"/>
                <w:b/>
                <w:color w:val="FFFFFF"/>
                <w:sz w:val="15"/>
              </w:rPr>
              <w:t>ChatGPT starting point</w:t>
            </w:r>
          </w:p>
        </w:tc>
        <w:tc>
          <w:tcPr>
            <w:tcW w:type="dxa" w:w="2541"/>
            <w:shd w:fill="081827"/>
            <w:tcMar>
              <w:top w:w="90" w:type="dxa"/>
              <w:start w:w="90" w:type="dxa"/>
              <w:bottom w:w="90" w:type="dxa"/>
              <w:end w:w="90" w:type="dxa"/>
            </w:tcMar>
            <w:vAlign w:val="center"/>
          </w:tcPr>
          <w:p>
            <w:pPr>
              <w:keepNext w:val="0"/>
              <w:spacing w:before="0" w:after="0" w:line="240" w:lineRule="auto"/>
              <w:jc w:val="center"/>
            </w:pPr>
            <w:r>
              <w:rPr>
                <w:rFonts w:ascii="Arial" w:hAnsi="Arial"/>
                <w:b/>
                <w:color w:val="FFFFFF"/>
                <w:sz w:val="15"/>
              </w:rPr>
              <w:t>API starting point</w:t>
            </w:r>
          </w:p>
        </w:tc>
        <w:tc>
          <w:tcPr>
            <w:tcW w:type="dxa" w:w="2541"/>
            <w:shd w:fill="081827"/>
            <w:tcMar>
              <w:top w:w="90" w:type="dxa"/>
              <w:start w:w="90" w:type="dxa"/>
              <w:bottom w:w="90" w:type="dxa"/>
              <w:end w:w="90" w:type="dxa"/>
            </w:tcMar>
            <w:vAlign w:val="center"/>
          </w:tcPr>
          <w:p>
            <w:pPr>
              <w:keepNext w:val="0"/>
              <w:spacing w:before="0" w:after="0" w:line="240" w:lineRule="auto"/>
              <w:jc w:val="center"/>
            </w:pPr>
            <w:r>
              <w:rPr>
                <w:rFonts w:ascii="Arial" w:hAnsi="Arial"/>
                <w:b/>
                <w:color w:val="FFFFFF"/>
                <w:sz w:val="15"/>
              </w:rPr>
              <w:t>Escalate when</w:t>
            </w:r>
          </w:p>
        </w:tc>
      </w:tr>
      <w:tr>
        <w:tc>
          <w:tcPr>
            <w:tcW w:type="dxa" w:w="2376"/>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Routine rewrite, extraction, classification</w:t>
            </w:r>
          </w:p>
        </w:tc>
        <w:tc>
          <w:tcPr>
            <w:tcW w:type="dxa" w:w="2088"/>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Instant or Medium</w:t>
            </w:r>
          </w:p>
        </w:tc>
        <w:tc>
          <w:tcPr>
            <w:tcW w:type="dxa" w:w="2232"/>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none / low</w:t>
            </w:r>
          </w:p>
        </w:tc>
        <w:tc>
          <w:tcPr>
            <w:tcW w:type="dxa" w:w="3240"/>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Errors remain after a clear schema or evidence is supplied.</w:t>
            </w:r>
          </w:p>
        </w:tc>
      </w:tr>
      <w:tr>
        <w:tc>
          <w:tcPr>
            <w:tcW w:type="dxa" w:w="2376"/>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Standard professional analysis</w:t>
            </w:r>
          </w:p>
        </w:tc>
        <w:tc>
          <w:tcPr>
            <w:tcW w:type="dxa" w:w="2088"/>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Medium</w:t>
            </w:r>
          </w:p>
        </w:tc>
        <w:tc>
          <w:tcPr>
            <w:tcW w:type="dxa" w:w="2232"/>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medium</w:t>
            </w:r>
          </w:p>
        </w:tc>
        <w:tc>
          <w:tcPr>
            <w:tcW w:type="dxa" w:w="3240"/>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Cross-domain synthesis or failure-mode analysis is weak.</w:t>
            </w:r>
          </w:p>
        </w:tc>
      </w:tr>
      <w:tr>
        <w:tc>
          <w:tcPr>
            <w:tcW w:type="dxa" w:w="2376"/>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Architecture, code review, difficult design</w:t>
            </w:r>
          </w:p>
        </w:tc>
        <w:tc>
          <w:tcPr>
            <w:tcW w:type="dxa" w:w="2088"/>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High</w:t>
            </w:r>
          </w:p>
        </w:tc>
        <w:tc>
          <w:tcPr>
            <w:tcW w:type="dxa" w:w="2232"/>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high</w:t>
            </w:r>
          </w:p>
        </w:tc>
        <w:tc>
          <w:tcPr>
            <w:tcW w:type="dxa" w:w="3240"/>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Representative evaluation shows material omissions.</w:t>
            </w:r>
          </w:p>
        </w:tc>
      </w:tr>
      <w:tr>
        <w:tc>
          <w:tcPr>
            <w:tcW w:type="dxa" w:w="2376"/>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Quality-critical review with objective checks</w:t>
            </w:r>
          </w:p>
        </w:tc>
        <w:tc>
          <w:tcPr>
            <w:tcW w:type="dxa" w:w="2088"/>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High or Extra High</w:t>
            </w:r>
          </w:p>
        </w:tc>
        <w:tc>
          <w:tcPr>
            <w:tcW w:type="dxa" w:w="2232"/>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xhigh; compare pro</w:t>
            </w:r>
          </w:p>
        </w:tc>
        <w:tc>
          <w:tcPr>
            <w:tcW w:type="dxa" w:w="3240"/>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A marginal reliability gain materially affects the decision.</w:t>
            </w:r>
          </w:p>
        </w:tc>
      </w:tr>
      <w:tr>
        <w:tc>
          <w:tcPr>
            <w:tcW w:type="dxa" w:w="2376"/>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Hardest quality-first workload</w:t>
            </w:r>
          </w:p>
        </w:tc>
        <w:tc>
          <w:tcPr>
            <w:tcW w:type="dxa" w:w="2088"/>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Extra High or Pro</w:t>
            </w:r>
          </w:p>
        </w:tc>
        <w:tc>
          <w:tcPr>
            <w:tcW w:type="dxa" w:w="2232"/>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compare xhigh vs max; compare standard vs pro</w:t>
            </w:r>
          </w:p>
        </w:tc>
        <w:tc>
          <w:tcPr>
            <w:tcW w:type="dxa" w:w="3240"/>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Only after benchmarking quality, latency, and cost.</w:t>
            </w:r>
          </w:p>
        </w:tc>
      </w:tr>
      <w:tr>
        <w:tc>
          <w:tcPr>
            <w:tcW w:type="dxa" w:w="2376"/>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High-volume repeatable workflow</w:t>
            </w:r>
          </w:p>
        </w:tc>
        <w:tc>
          <w:tcPr>
            <w:tcW w:type="dxa" w:w="2088"/>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Lower level plus fixed schema</w:t>
            </w:r>
          </w:p>
        </w:tc>
        <w:tc>
          <w:tcPr>
            <w:tcW w:type="dxa" w:w="2232"/>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low / medium; Terra or Luna may fit</w:t>
            </w:r>
          </w:p>
        </w:tc>
        <w:tc>
          <w:tcPr>
            <w:tcW w:type="dxa" w:w="3240"/>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Exceptions or review failures exceed tolerance.</w:t>
            </w:r>
          </w:p>
        </w:tc>
      </w:tr>
    </w:tbl>
    <w:p>
      <w:pPr>
        <w:spacing w:after="20"/>
      </w:pPr>
    </w:p>
    <w:p>
      <w:pPr>
        <w:keepNext/>
        <w:spacing w:before="100" w:after="60" w:line="240" w:lineRule="auto"/>
      </w:pPr>
      <w:r>
        <w:rPr>
          <w:rFonts w:ascii="Arial" w:hAnsi="Arial"/>
          <w:b/>
          <w:color w:val="081827"/>
          <w:sz w:val="21"/>
        </w:rPr>
        <w:t>Selection rule</w:t>
      </w:r>
    </w:p>
    <w:tbl>
      <w:tblPr>
        <w:tblW w:type="auto" w:w="0"/>
        <w:jc w:val="center"/>
        <w:tblLayout w:type="fixed"/>
        <w:tblLook w:firstColumn="1" w:firstRow="1" w:lastColumn="0" w:lastRow="0" w:noHBand="0" w:noVBand="1" w:val="04A0"/>
      </w:tblPr>
      <w:tblGrid>
        <w:gridCol w:w="9720"/>
      </w:tblGrid>
      <w:tr>
        <w:tc>
          <w:tcPr>
            <w:tcW w:type="dxa" w:w="10166"/>
            <w:shd w:fill="F5F7FA"/>
            <w:tcMar>
              <w:top w:w="120" w:type="dxa"/>
              <w:start w:w="150" w:type="dxa"/>
              <w:bottom w:w="120" w:type="dxa"/>
              <w:end w:w="150" w:type="dxa"/>
            </w:tcMar>
            <w:tcBorders>
              <w:top w:val="single" w:sz="6" w:color="D0D5DD"/>
              <w:start w:val="single" w:sz="6" w:color="D0D5DD"/>
              <w:bottom w:val="single" w:sz="6" w:color="D0D5DD"/>
              <w:end w:val="single" w:sz="6" w:color="D0D5DD"/>
            </w:tcBorders>
          </w:tcPr>
          <w:p>
            <w:pPr>
              <w:keepNext w:val="0"/>
              <w:spacing w:before="0" w:after="0" w:line="252" w:lineRule="auto"/>
            </w:pPr>
            <w:r>
              <w:rPr>
                <w:rFonts w:ascii="DejaVu Sans Mono" w:hAnsi="DejaVu Sans Mono"/>
                <w:color w:val="17202A"/>
                <w:sz w:val="16"/>
              </w:rPr>
              <w:t>1. Establish the lowest plausible baseline.</w:t>
            </w:r>
            <w:r>
              <w:br/>
            </w:r>
            <w:r>
              <w:rPr>
                <w:rFonts w:ascii="DejaVu Sans Mono" w:hAnsi="DejaVu Sans Mono"/>
                <w:color w:val="17202A"/>
                <w:sz w:val="16"/>
              </w:rPr>
              <w:t>2. Test representative tasks with the same configuration and one level lower.</w:t>
            </w:r>
            <w:r>
              <w:br/>
            </w:r>
            <w:r>
              <w:rPr>
                <w:rFonts w:ascii="DejaVu Sans Mono" w:hAnsi="DejaVu Sans Mono"/>
                <w:color w:val="17202A"/>
                <w:sz w:val="16"/>
              </w:rPr>
              <w:t>3. Score correctness, completeness, evidence, constraints, latency, tokens, and cost.</w:t>
            </w:r>
            <w:r>
              <w:br/>
            </w:r>
            <w:r>
              <w:rPr>
                <w:rFonts w:ascii="DejaVu Sans Mono" w:hAnsi="DejaVu Sans Mono"/>
                <w:color w:val="17202A"/>
                <w:sz w:val="16"/>
              </w:rPr>
              <w:t>4. Escalate only where the measured quality gain matters.</w:t>
            </w:r>
            <w:r>
              <w:br/>
            </w:r>
            <w:r>
              <w:rPr>
                <w:rFonts w:ascii="DejaVu Sans Mono" w:hAnsi="DejaVu Sans Mono"/>
                <w:color w:val="17202A"/>
                <w:sz w:val="16"/>
              </w:rPr>
              <w:t>5. Preserve the prompt; do not add “think harder” instructions to simulate a configuration.</w:t>
            </w:r>
          </w:p>
        </w:tc>
      </w:tr>
    </w:tbl>
    <w:p>
      <w:pPr>
        <w:spacing w:after="20"/>
      </w:pPr>
    </w:p>
    <w:tbl>
      <w:tblPr>
        <w:tblW w:type="auto" w:w="0"/>
        <w:jc w:val="center"/>
        <w:tblLayout w:type="fixed"/>
        <w:tblLook w:firstColumn="1" w:firstRow="1" w:lastColumn="0" w:lastRow="0" w:noHBand="0" w:noVBand="1" w:val="04A0"/>
      </w:tblPr>
      <w:tblGrid>
        <w:gridCol w:w="115"/>
        <w:gridCol w:w="9792"/>
      </w:tblGrid>
      <w:tr>
        <w:tc>
          <w:tcPr>
            <w:tcW w:type="dxa" w:w="5083"/>
            <w:shd w:fill="14833B"/>
            <w:tcMar>
              <w:top w:w="60" w:type="dxa"/>
              <w:start w:w="0" w:type="dxa"/>
              <w:bottom w:w="60" w:type="dxa"/>
              <w:end w:w="0" w:type="dxa"/>
            </w:tcMar>
            <w:vAlign w:val="center"/>
          </w:tcPr>
          <w:p/>
        </w:tc>
        <w:tc>
          <w:tcPr>
            <w:tcW w:type="dxa" w:w="5083"/>
            <w:shd w:fill="EAF8EF"/>
            <w:tcMar>
              <w:top w:w="110" w:type="dxa"/>
              <w:start w:w="150" w:type="dxa"/>
              <w:bottom w:w="110" w:type="dxa"/>
              <w:end w:w="150" w:type="dxa"/>
            </w:tcMar>
          </w:tcPr>
          <w:p>
            <w:pPr>
              <w:keepNext/>
              <w:spacing w:before="0" w:after="40" w:line="240" w:lineRule="auto"/>
            </w:pPr>
            <w:r>
              <w:rPr>
                <w:rFonts w:ascii="Arial" w:hAnsi="Arial"/>
                <w:b/>
                <w:color w:val="14833B"/>
                <w:sz w:val="14"/>
              </w:rPr>
              <w:t>OFFICIAL EFFICIENCY GUIDANCE</w:t>
            </w:r>
          </w:p>
          <w:p>
            <w:pPr>
              <w:keepNext w:val="0"/>
              <w:spacing w:before="0" w:after="0" w:line="259" w:lineRule="auto"/>
            </w:pPr>
            <w:r>
              <w:rPr>
                <w:rFonts w:ascii="Arial" w:hAnsi="Arial"/>
                <w:color w:val="17202A"/>
                <w:sz w:val="18"/>
              </w:rPr>
              <w:t>OpenAI recommends preserving the current effort as a baseline and testing one level lower because GPT-5.6 can often maintain or improve quality with fewer tokens. Max and Pro should be evaluated, not assumed.</w:t>
            </w:r>
          </w:p>
        </w:tc>
      </w:tr>
    </w:tbl>
    <w:p>
      <w:pPr>
        <w:spacing w:after="20"/>
      </w:pPr>
    </w:p>
    <w:p>
      <w:pPr>
        <w:keepNext w:val="0"/>
        <w:spacing w:before="60" w:after="0" w:line="240" w:lineRule="auto"/>
      </w:pPr>
      <w:r>
        <w:rPr>
          <w:rFonts w:ascii="Arial" w:hAnsi="Arial"/>
          <w:b/>
          <w:color w:val="667085"/>
          <w:sz w:val="14"/>
        </w:rPr>
        <w:t xml:space="preserve">Sources: </w:t>
      </w:r>
      <w:r>
        <w:rPr>
          <w:rFonts w:ascii="Arial" w:hAnsi="Arial"/>
          <w:color w:val="667085"/>
          <w:sz w:val="14"/>
        </w:rPr>
        <w:t>S01, S03</w:t>
      </w:r>
    </w:p>
    <w:p>
      <w:r>
        <w:br w:type="page"/>
      </w:r>
    </w:p>
    <w:p>
      <w:pPr>
        <w:keepNext/>
        <w:spacing w:before="0" w:after="40" w:line="259" w:lineRule="auto"/>
      </w:pPr>
      <w:r>
        <w:rPr>
          <w:rFonts w:ascii="Arial" w:hAnsi="Arial"/>
          <w:b/>
          <w:i w:val="0"/>
          <w:color w:val="1473E6"/>
          <w:sz w:val="14"/>
        </w:rPr>
        <w:t>MODEL CONTROL</w:t>
      </w:r>
    </w:p>
    <w:p>
      <w:pPr>
        <w:keepNext/>
        <w:spacing w:before="0" w:after="80" w:line="240" w:lineRule="auto"/>
      </w:pPr>
      <w:r>
        <w:rPr>
          <w:rFonts w:ascii="Arial" w:hAnsi="Arial"/>
          <w:b/>
          <w:color w:val="1473E6"/>
          <w:sz w:val="31"/>
        </w:rPr>
        <w:t xml:space="preserve">06  </w:t>
      </w:r>
      <w:r>
        <w:rPr>
          <w:rFonts w:ascii="Arial" w:hAnsi="Arial"/>
          <w:b/>
          <w:color w:val="081827"/>
          <w:sz w:val="31"/>
        </w:rPr>
        <w:t>Configuration decision method</w:t>
      </w:r>
    </w:p>
    <w:p>
      <w:pPr>
        <w:keepNext w:val="0"/>
        <w:spacing w:before="0" w:after="100" w:line="240" w:lineRule="auto"/>
        <w:pBdr>
          <w:bottom w:val="single" w:sz="6" w:space="1" w:color="E4E7EC"/>
        </w:pBdr>
      </w:pPr>
    </w:p>
    <w:p>
      <w:pPr>
        <w:keepNext w:val="0"/>
        <w:spacing w:before="0" w:after="120" w:line="259" w:lineRule="auto"/>
      </w:pPr>
      <w:r>
        <w:rPr>
          <w:rFonts w:ascii="Arial" w:hAnsi="Arial"/>
          <w:b w:val="0"/>
          <w:i w:val="0"/>
          <w:color w:val="17202A"/>
          <w:sz w:val="18"/>
        </w:rPr>
        <w:t>Use the following six questions before prescribing High, Extra High, max, or Pro. A high-stakes label alone does not prove that more model work improves the outcome.</w:t>
      </w:r>
    </w:p>
    <w:tbl>
      <w:tblPr>
        <w:tblW w:type="auto" w:w="0"/>
        <w:jc w:val="center"/>
        <w:tblLayout w:type="fixed"/>
        <w:tblLook w:firstColumn="1" w:firstRow="1" w:lastColumn="0" w:lastRow="0" w:noHBand="0" w:noVBand="1" w:val="04A0"/>
      </w:tblPr>
      <w:tblGrid>
        <w:gridCol w:w="2880"/>
        <w:gridCol w:w="3168"/>
        <w:gridCol w:w="3528"/>
      </w:tblGrid>
      <w:tr>
        <w:trPr>
          <w:tblHeader w:val="true"/>
        </w:trPr>
        <w:tc>
          <w:tcPr>
            <w:tcW w:type="dxa" w:w="3389"/>
            <w:shd w:fill="081827"/>
            <w:tcMar>
              <w:top w:w="90" w:type="dxa"/>
              <w:start w:w="90" w:type="dxa"/>
              <w:bottom w:w="90" w:type="dxa"/>
              <w:end w:w="90" w:type="dxa"/>
            </w:tcMar>
            <w:vAlign w:val="center"/>
          </w:tcPr>
          <w:p>
            <w:pPr>
              <w:keepNext w:val="0"/>
              <w:spacing w:before="0" w:after="0" w:line="240" w:lineRule="auto"/>
              <w:jc w:val="center"/>
            </w:pPr>
            <w:r>
              <w:rPr>
                <w:rFonts w:ascii="Arial" w:hAnsi="Arial"/>
                <w:b/>
                <w:color w:val="FFFFFF"/>
                <w:sz w:val="15"/>
              </w:rPr>
              <w:t>Question</w:t>
            </w:r>
          </w:p>
        </w:tc>
        <w:tc>
          <w:tcPr>
            <w:tcW w:type="dxa" w:w="3389"/>
            <w:shd w:fill="081827"/>
            <w:tcMar>
              <w:top w:w="90" w:type="dxa"/>
              <w:start w:w="90" w:type="dxa"/>
              <w:bottom w:w="90" w:type="dxa"/>
              <w:end w:w="90" w:type="dxa"/>
            </w:tcMar>
            <w:vAlign w:val="center"/>
          </w:tcPr>
          <w:p>
            <w:pPr>
              <w:keepNext w:val="0"/>
              <w:spacing w:before="0" w:after="0" w:line="240" w:lineRule="auto"/>
              <w:jc w:val="center"/>
            </w:pPr>
            <w:r>
              <w:rPr>
                <w:rFonts w:ascii="Arial" w:hAnsi="Arial"/>
                <w:b/>
                <w:color w:val="FFFFFF"/>
                <w:sz w:val="15"/>
              </w:rPr>
              <w:t>Low-cost answer</w:t>
            </w:r>
          </w:p>
        </w:tc>
        <w:tc>
          <w:tcPr>
            <w:tcW w:type="dxa" w:w="3389"/>
            <w:shd w:fill="081827"/>
            <w:tcMar>
              <w:top w:w="90" w:type="dxa"/>
              <w:start w:w="90" w:type="dxa"/>
              <w:bottom w:w="90" w:type="dxa"/>
              <w:end w:w="90" w:type="dxa"/>
            </w:tcMar>
            <w:vAlign w:val="center"/>
          </w:tcPr>
          <w:p>
            <w:pPr>
              <w:keepNext w:val="0"/>
              <w:spacing w:before="0" w:after="0" w:line="240" w:lineRule="auto"/>
              <w:jc w:val="center"/>
            </w:pPr>
            <w:r>
              <w:rPr>
                <w:rFonts w:ascii="Arial" w:hAnsi="Arial"/>
                <w:b/>
                <w:color w:val="FFFFFF"/>
                <w:sz w:val="15"/>
              </w:rPr>
              <w:t>Escalation signal</w:t>
            </w:r>
          </w:p>
        </w:tc>
      </w:tr>
      <w:tr>
        <w:tc>
          <w:tcPr>
            <w:tcW w:type="dxa" w:w="2880"/>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6"/>
              </w:rPr>
              <w:t>Is the output objectively testable?</w:t>
            </w:r>
          </w:p>
        </w:tc>
        <w:tc>
          <w:tcPr>
            <w:tcW w:type="dxa" w:w="3168"/>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6"/>
              </w:rPr>
              <w:t>Use schema and deterministic checks first.</w:t>
            </w:r>
          </w:p>
        </w:tc>
        <w:tc>
          <w:tcPr>
            <w:tcW w:type="dxa" w:w="3528"/>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6"/>
              </w:rPr>
              <w:t>More reasoning improves verified success rate.</w:t>
            </w:r>
          </w:p>
        </w:tc>
      </w:tr>
      <w:tr>
        <w:tc>
          <w:tcPr>
            <w:tcW w:type="dxa" w:w="2880"/>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6"/>
              </w:rPr>
              <w:t>Does the task require multi-domain synthesis?</w:t>
            </w:r>
          </w:p>
        </w:tc>
        <w:tc>
          <w:tcPr>
            <w:tcW w:type="dxa" w:w="3168"/>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6"/>
              </w:rPr>
              <w:t>Medium may be sufficient.</w:t>
            </w:r>
          </w:p>
        </w:tc>
        <w:tc>
          <w:tcPr>
            <w:tcW w:type="dxa" w:w="3528"/>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6"/>
              </w:rPr>
              <w:t>High materially reduces missed dependencies.</w:t>
            </w:r>
          </w:p>
        </w:tc>
      </w:tr>
      <w:tr>
        <w:tc>
          <w:tcPr>
            <w:tcW w:type="dxa" w:w="2880"/>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6"/>
              </w:rPr>
              <w:t>Is fresh judgment needed between tool calls?</w:t>
            </w:r>
          </w:p>
        </w:tc>
        <w:tc>
          <w:tcPr>
            <w:tcW w:type="dxa" w:w="3168"/>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6"/>
              </w:rPr>
              <w:t>Use direct or programmatic tools for bounded work.</w:t>
            </w:r>
          </w:p>
        </w:tc>
        <w:tc>
          <w:tcPr>
            <w:tcW w:type="dxa" w:w="3528"/>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6"/>
              </w:rPr>
              <w:t>Agentic reasoning is required after each result.</w:t>
            </w:r>
          </w:p>
        </w:tc>
      </w:tr>
      <w:tr>
        <w:tc>
          <w:tcPr>
            <w:tcW w:type="dxa" w:w="2880"/>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6"/>
              </w:rPr>
              <w:t>Is latency operationally important?</w:t>
            </w:r>
          </w:p>
        </w:tc>
        <w:tc>
          <w:tcPr>
            <w:tcW w:type="dxa" w:w="3168"/>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6"/>
              </w:rPr>
              <w:t>Keep a lower-effort baseline.</w:t>
            </w:r>
          </w:p>
        </w:tc>
        <w:tc>
          <w:tcPr>
            <w:tcW w:type="dxa" w:w="3528"/>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6"/>
              </w:rPr>
              <w:t>Quality gain outweighs response-time impact.</w:t>
            </w:r>
          </w:p>
        </w:tc>
      </w:tr>
      <w:tr>
        <w:tc>
          <w:tcPr>
            <w:tcW w:type="dxa" w:w="2880"/>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6"/>
              </w:rPr>
              <w:t>Will the result trigger an external action?</w:t>
            </w:r>
          </w:p>
        </w:tc>
        <w:tc>
          <w:tcPr>
            <w:tcW w:type="dxa" w:w="3168"/>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6"/>
              </w:rPr>
              <w:t>Add approval gates before escalating effort.</w:t>
            </w:r>
          </w:p>
        </w:tc>
        <w:tc>
          <w:tcPr>
            <w:tcW w:type="dxa" w:w="3528"/>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6"/>
              </w:rPr>
              <w:t>The decision value justifies deeper verification.</w:t>
            </w:r>
          </w:p>
        </w:tc>
      </w:tr>
      <w:tr>
        <w:tc>
          <w:tcPr>
            <w:tcW w:type="dxa" w:w="2880"/>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6"/>
              </w:rPr>
              <w:t>Can the task be cleanly decomposed?</w:t>
            </w:r>
          </w:p>
        </w:tc>
        <w:tc>
          <w:tcPr>
            <w:tcW w:type="dxa" w:w="3168"/>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6"/>
              </w:rPr>
              <w:t>Use a single thread when tightly coupled.</w:t>
            </w:r>
          </w:p>
        </w:tc>
        <w:tc>
          <w:tcPr>
            <w:tcW w:type="dxa" w:w="3528"/>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6"/>
              </w:rPr>
              <w:t>Parallel independent workstreams justify multi-agent beta.</w:t>
            </w:r>
          </w:p>
        </w:tc>
      </w:tr>
    </w:tbl>
    <w:p>
      <w:pPr>
        <w:spacing w:after="20"/>
      </w:pPr>
    </w:p>
    <w:p>
      <w:pPr>
        <w:keepNext/>
        <w:spacing w:before="100" w:after="60" w:line="240" w:lineRule="auto"/>
      </w:pPr>
      <w:r>
        <w:rPr>
          <w:rFonts w:ascii="Arial" w:hAnsi="Arial"/>
          <w:b/>
          <w:color w:val="081827"/>
          <w:sz w:val="21"/>
        </w:rPr>
        <w:t>Configuration record</w:t>
      </w:r>
    </w:p>
    <w:tbl>
      <w:tblPr>
        <w:tblW w:type="auto" w:w="0"/>
        <w:jc w:val="center"/>
        <w:tblLayout w:type="fixed"/>
        <w:tblLook w:firstColumn="1" w:firstRow="1" w:lastColumn="0" w:lastRow="0" w:noHBand="0" w:noVBand="1" w:val="04A0"/>
      </w:tblPr>
      <w:tblGrid>
        <w:gridCol w:w="9720"/>
      </w:tblGrid>
      <w:tr>
        <w:tc>
          <w:tcPr>
            <w:tcW w:type="dxa" w:w="10166"/>
            <w:shd w:fill="F5F7FA"/>
            <w:tcMar>
              <w:top w:w="120" w:type="dxa"/>
              <w:start w:w="150" w:type="dxa"/>
              <w:bottom w:w="120" w:type="dxa"/>
              <w:end w:w="150" w:type="dxa"/>
            </w:tcMar>
            <w:tcBorders>
              <w:top w:val="single" w:sz="6" w:color="D0D5DD"/>
              <w:start w:val="single" w:sz="6" w:color="D0D5DD"/>
              <w:bottom w:val="single" w:sz="6" w:color="D0D5DD"/>
              <w:end w:val="single" w:sz="6" w:color="D0D5DD"/>
            </w:tcBorders>
          </w:tcPr>
          <w:p>
            <w:pPr>
              <w:keepNext w:val="0"/>
              <w:spacing w:before="0" w:after="0" w:line="252" w:lineRule="auto"/>
            </w:pPr>
            <w:r>
              <w:rPr>
                <w:rFonts w:ascii="DejaVu Sans Mono" w:hAnsi="DejaVu Sans Mono"/>
                <w:color w:val="17202A"/>
                <w:sz w:val="16"/>
              </w:rPr>
              <w:t>Surface: [ChatGPT / API / Codex]</w:t>
            </w:r>
            <w:r>
              <w:br/>
            </w:r>
            <w:r>
              <w:rPr>
                <w:rFonts w:ascii="DejaVu Sans Mono" w:hAnsi="DejaVu Sans Mono"/>
                <w:color w:val="17202A"/>
                <w:sz w:val="16"/>
              </w:rPr>
              <w:t>Model or product option: [High / Extra High / Pro / gpt-5.6-sol]</w:t>
            </w:r>
            <w:r>
              <w:br/>
            </w:r>
            <w:r>
              <w:rPr>
                <w:rFonts w:ascii="DejaVu Sans Mono" w:hAnsi="DejaVu Sans Mono"/>
                <w:color w:val="17202A"/>
                <w:sz w:val="16"/>
              </w:rPr>
              <w:t>Reasoning effort: [API only: none | low | medium | high | xhigh | max]</w:t>
            </w:r>
            <w:r>
              <w:br/>
            </w:r>
            <w:r>
              <w:rPr>
                <w:rFonts w:ascii="DejaVu Sans Mono" w:hAnsi="DejaVu Sans Mono"/>
                <w:color w:val="17202A"/>
                <w:sz w:val="16"/>
              </w:rPr>
              <w:t>Reasoning mode: [API only: standard | pro]</w:t>
            </w:r>
            <w:r>
              <w:br/>
            </w:r>
            <w:r>
              <w:rPr>
                <w:rFonts w:ascii="DejaVu Sans Mono" w:hAnsi="DejaVu Sans Mono"/>
                <w:color w:val="17202A"/>
                <w:sz w:val="16"/>
              </w:rPr>
              <w:t>Verbosity: [API only: low | medium | high]</w:t>
            </w:r>
            <w:r>
              <w:br/>
            </w:r>
            <w:r>
              <w:rPr>
                <w:rFonts w:ascii="DejaVu Sans Mono" w:hAnsi="DejaVu Sans Mono"/>
                <w:color w:val="17202A"/>
                <w:sz w:val="16"/>
              </w:rPr>
              <w:t>Enabled capabilities: [only those required]</w:t>
            </w:r>
            <w:r>
              <w:br/>
            </w:r>
            <w:r>
              <w:rPr>
                <w:rFonts w:ascii="DejaVu Sans Mono" w:hAnsi="DejaVu Sans Mono"/>
                <w:color w:val="17202A"/>
                <w:sz w:val="16"/>
              </w:rPr>
              <w:t>Evaluation baseline: [task set and acceptance threshold]</w:t>
            </w:r>
            <w:r>
              <w:br/>
            </w:r>
            <w:r>
              <w:rPr>
                <w:rFonts w:ascii="DejaVu Sans Mono" w:hAnsi="DejaVu Sans Mono"/>
                <w:color w:val="17202A"/>
                <w:sz w:val="16"/>
              </w:rPr>
              <w:t>Escalation rule: [measured condition]</w:t>
            </w:r>
          </w:p>
        </w:tc>
      </w:tr>
    </w:tbl>
    <w:p>
      <w:pPr>
        <w:spacing w:after="20"/>
      </w:pPr>
    </w:p>
    <w:p>
      <w:pPr>
        <w:keepNext w:val="0"/>
        <w:spacing w:before="60" w:after="0" w:line="240" w:lineRule="auto"/>
      </w:pPr>
      <w:r>
        <w:rPr>
          <w:rFonts w:ascii="Arial" w:hAnsi="Arial"/>
          <w:b/>
          <w:color w:val="667085"/>
          <w:sz w:val="14"/>
        </w:rPr>
        <w:t xml:space="preserve">Sources: </w:t>
      </w:r>
      <w:r>
        <w:rPr>
          <w:rFonts w:ascii="Arial" w:hAnsi="Arial"/>
          <w:color w:val="667085"/>
          <w:sz w:val="14"/>
        </w:rPr>
        <w:t>S01</w:t>
      </w:r>
    </w:p>
    <w:p>
      <w:r>
        <w:br w:type="page"/>
      </w:r>
    </w:p>
    <w:p>
      <w:pPr>
        <w:keepNext/>
        <w:spacing w:before="0" w:after="40" w:line="259" w:lineRule="auto"/>
      </w:pPr>
      <w:r>
        <w:rPr>
          <w:rFonts w:ascii="Arial" w:hAnsi="Arial"/>
          <w:b/>
          <w:i w:val="0"/>
          <w:color w:val="1473E6"/>
          <w:sz w:val="14"/>
        </w:rPr>
        <w:t>PROMPT CONTROL</w:t>
      </w:r>
    </w:p>
    <w:p>
      <w:pPr>
        <w:keepNext/>
        <w:spacing w:before="0" w:after="80" w:line="240" w:lineRule="auto"/>
      </w:pPr>
      <w:r>
        <w:rPr>
          <w:rFonts w:ascii="Arial" w:hAnsi="Arial"/>
          <w:b/>
          <w:color w:val="1473E6"/>
          <w:sz w:val="31"/>
        </w:rPr>
        <w:t xml:space="preserve">07  </w:t>
      </w:r>
      <w:r>
        <w:rPr>
          <w:rFonts w:ascii="Arial" w:hAnsi="Arial"/>
          <w:b/>
          <w:color w:val="081827"/>
          <w:sz w:val="31"/>
        </w:rPr>
        <w:t>DIRECT prompt architecture</w:t>
      </w:r>
    </w:p>
    <w:p>
      <w:pPr>
        <w:keepNext w:val="0"/>
        <w:spacing w:before="0" w:after="100" w:line="240" w:lineRule="auto"/>
        <w:pBdr>
          <w:bottom w:val="single" w:sz="6" w:space="1" w:color="E4E7EC"/>
        </w:pBdr>
      </w:pPr>
    </w:p>
    <w:p>
      <w:pPr>
        <w:keepNext w:val="0"/>
        <w:spacing w:before="0" w:after="140" w:line="259" w:lineRule="auto"/>
      </w:pPr>
      <w:r>
        <w:rPr>
          <w:rFonts w:ascii="Arial" w:hAnsi="Arial"/>
          <w:b w:val="0"/>
          <w:i w:val="0"/>
          <w:color w:val="17202A"/>
          <w:sz w:val="18"/>
        </w:rPr>
        <w:t>DIRECT is the mandatory six-field control plane for production prompts. It replaces vague persona inflation with observable responsibilities, evidence, boundaries, and completion conditions.</w:t>
      </w:r>
    </w:p>
    <w:tbl>
      <w:tblPr>
        <w:tblW w:type="auto" w:w="0"/>
        <w:jc w:val="center"/>
        <w:tblLayout w:type="fixed"/>
        <w:tblLook w:firstColumn="1" w:firstRow="1" w:lastColumn="0" w:lastRow="0" w:noHBand="0" w:noVBand="1" w:val="04A0"/>
      </w:tblPr>
      <w:tblGrid>
        <w:gridCol w:w="1944"/>
        <w:gridCol w:w="3384"/>
        <w:gridCol w:w="4320"/>
      </w:tblGrid>
      <w:tr>
        <w:trPr>
          <w:tblHeader w:val="true"/>
        </w:trPr>
        <w:tc>
          <w:tcPr>
            <w:tcW w:type="dxa" w:w="3389"/>
            <w:shd w:fill="081827"/>
            <w:tcMar>
              <w:top w:w="90" w:type="dxa"/>
              <w:start w:w="90" w:type="dxa"/>
              <w:bottom w:w="90" w:type="dxa"/>
              <w:end w:w="90" w:type="dxa"/>
            </w:tcMar>
            <w:vAlign w:val="center"/>
          </w:tcPr>
          <w:p>
            <w:pPr>
              <w:keepNext w:val="0"/>
              <w:spacing w:before="0" w:after="0" w:line="240" w:lineRule="auto"/>
              <w:jc w:val="center"/>
            </w:pPr>
            <w:r>
              <w:rPr>
                <w:rFonts w:ascii="Arial" w:hAnsi="Arial"/>
                <w:b/>
                <w:color w:val="FFFFFF"/>
                <w:sz w:val="15"/>
              </w:rPr>
              <w:t>Field</w:t>
            </w:r>
          </w:p>
        </w:tc>
        <w:tc>
          <w:tcPr>
            <w:tcW w:type="dxa" w:w="3389"/>
            <w:shd w:fill="081827"/>
            <w:tcMar>
              <w:top w:w="90" w:type="dxa"/>
              <w:start w:w="90" w:type="dxa"/>
              <w:bottom w:w="90" w:type="dxa"/>
              <w:end w:w="90" w:type="dxa"/>
            </w:tcMar>
            <w:vAlign w:val="center"/>
          </w:tcPr>
          <w:p>
            <w:pPr>
              <w:keepNext w:val="0"/>
              <w:spacing w:before="0" w:after="0" w:line="240" w:lineRule="auto"/>
              <w:jc w:val="center"/>
            </w:pPr>
            <w:r>
              <w:rPr>
                <w:rFonts w:ascii="Arial" w:hAnsi="Arial"/>
                <w:b/>
                <w:color w:val="FFFFFF"/>
                <w:sz w:val="15"/>
              </w:rPr>
              <w:t>Control question</w:t>
            </w:r>
          </w:p>
        </w:tc>
        <w:tc>
          <w:tcPr>
            <w:tcW w:type="dxa" w:w="3389"/>
            <w:shd w:fill="081827"/>
            <w:tcMar>
              <w:top w:w="90" w:type="dxa"/>
              <w:start w:w="90" w:type="dxa"/>
              <w:bottom w:w="90" w:type="dxa"/>
              <w:end w:w="90" w:type="dxa"/>
            </w:tcMar>
            <w:vAlign w:val="center"/>
          </w:tcPr>
          <w:p>
            <w:pPr>
              <w:keepNext w:val="0"/>
              <w:spacing w:before="0" w:after="0" w:line="240" w:lineRule="auto"/>
              <w:jc w:val="center"/>
            </w:pPr>
            <w:r>
              <w:rPr>
                <w:rFonts w:ascii="Arial" w:hAnsi="Arial"/>
                <w:b/>
                <w:color w:val="FFFFFF"/>
                <w:sz w:val="15"/>
              </w:rPr>
              <w:t>Minimum required content</w:t>
            </w:r>
          </w:p>
        </w:tc>
      </w:tr>
      <w:tr>
        <w:tc>
          <w:tcPr>
            <w:tcW w:type="dxa" w:w="1944"/>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D — Decision objective</w:t>
            </w:r>
          </w:p>
        </w:tc>
        <w:tc>
          <w:tcPr>
            <w:tcW w:type="dxa" w:w="3384"/>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What must be decided, built, diagnosed, or verified?</w:t>
            </w:r>
          </w:p>
        </w:tc>
        <w:tc>
          <w:tcPr>
            <w:tcW w:type="dxa" w:w="4320"/>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One observable outcome; target audience or operator.</w:t>
            </w:r>
          </w:p>
        </w:tc>
      </w:tr>
      <w:tr>
        <w:tc>
          <w:tcPr>
            <w:tcW w:type="dxa" w:w="1944"/>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I — Inputs and evidence</w:t>
            </w:r>
          </w:p>
        </w:tc>
        <w:tc>
          <w:tcPr>
            <w:tcW w:type="dxa" w:w="3384"/>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What may be used, and what is authoritative?</w:t>
            </w:r>
          </w:p>
        </w:tc>
        <w:tc>
          <w:tcPr>
            <w:tcW w:type="dxa" w:w="4320"/>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Files, data, code, sources, dates, provenance, missing evidence.</w:t>
            </w:r>
          </w:p>
        </w:tc>
      </w:tr>
      <w:tr>
        <w:tc>
          <w:tcPr>
            <w:tcW w:type="dxa" w:w="1944"/>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R — Role and responsibility</w:t>
            </w:r>
          </w:p>
        </w:tc>
        <w:tc>
          <w:tcPr>
            <w:tcW w:type="dxa" w:w="3384"/>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Who is accountable, and which lenses apply?</w:t>
            </w:r>
          </w:p>
        </w:tc>
        <w:tc>
          <w:tcPr>
            <w:tcW w:type="dxa" w:w="4320"/>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One accountable role; specialist lenses; conflict priority.</w:t>
            </w:r>
          </w:p>
        </w:tc>
      </w:tr>
      <w:tr>
        <w:tc>
          <w:tcPr>
            <w:tcW w:type="dxa" w:w="1944"/>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E — Execution boundaries</w:t>
            </w:r>
          </w:p>
        </w:tc>
        <w:tc>
          <w:tcPr>
            <w:tcW w:type="dxa" w:w="3384"/>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What actions, assumptions, or changes are forbidden?</w:t>
            </w:r>
          </w:p>
        </w:tc>
        <w:tc>
          <w:tcPr>
            <w:tcW w:type="dxa" w:w="4320"/>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Scope, approvals, safe local actions, external-action gates.</w:t>
            </w:r>
          </w:p>
        </w:tc>
      </w:tr>
      <w:tr>
        <w:tc>
          <w:tcPr>
            <w:tcW w:type="dxa" w:w="1944"/>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C — Completion criteria</w:t>
            </w:r>
          </w:p>
        </w:tc>
        <w:tc>
          <w:tcPr>
            <w:tcW w:type="dxa" w:w="3384"/>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What proves the task is finished?</w:t>
            </w:r>
          </w:p>
        </w:tc>
        <w:tc>
          <w:tcPr>
            <w:tcW w:type="dxa" w:w="4320"/>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Tests, evidence, quality thresholds, residual issues.</w:t>
            </w:r>
          </w:p>
        </w:tc>
      </w:tr>
      <w:tr>
        <w:tc>
          <w:tcPr>
            <w:tcW w:type="dxa" w:w="1944"/>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T — Target output contract</w:t>
            </w:r>
          </w:p>
        </w:tc>
        <w:tc>
          <w:tcPr>
            <w:tcW w:type="dxa" w:w="3384"/>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What exact form must be returned?</w:t>
            </w:r>
          </w:p>
        </w:tc>
        <w:tc>
          <w:tcPr>
            <w:tcW w:type="dxa" w:w="4320"/>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Sections, schema, file type, length, ordering, citations.</w:t>
            </w:r>
          </w:p>
        </w:tc>
      </w:tr>
    </w:tbl>
    <w:p>
      <w:pPr>
        <w:spacing w:after="20"/>
      </w:pPr>
    </w:p>
    <w:tbl>
      <w:tblPr>
        <w:tblW w:type="auto" w:w="0"/>
        <w:jc w:val="center"/>
        <w:tblLayout w:type="fixed"/>
        <w:tblLook w:firstColumn="1" w:firstRow="1" w:lastColumn="0" w:lastRow="0" w:noHBand="0" w:noVBand="1" w:val="04A0"/>
      </w:tblPr>
      <w:tblGrid>
        <w:gridCol w:w="115"/>
        <w:gridCol w:w="9792"/>
      </w:tblGrid>
      <w:tr>
        <w:tc>
          <w:tcPr>
            <w:tcW w:type="dxa" w:w="5083"/>
            <w:shd w:fill="1473E6"/>
            <w:tcMar>
              <w:top w:w="60" w:type="dxa"/>
              <w:start w:w="0" w:type="dxa"/>
              <w:bottom w:w="60" w:type="dxa"/>
              <w:end w:w="0" w:type="dxa"/>
            </w:tcMar>
            <w:vAlign w:val="center"/>
          </w:tcPr>
          <w:p/>
        </w:tc>
        <w:tc>
          <w:tcPr>
            <w:tcW w:type="dxa" w:w="5083"/>
            <w:shd w:fill="EAF3FF"/>
            <w:tcMar>
              <w:top w:w="110" w:type="dxa"/>
              <w:start w:w="150" w:type="dxa"/>
              <w:bottom w:w="110" w:type="dxa"/>
              <w:end w:w="150" w:type="dxa"/>
            </w:tcMar>
          </w:tcPr>
          <w:p>
            <w:pPr>
              <w:keepNext/>
              <w:spacing w:before="0" w:after="40" w:line="240" w:lineRule="auto"/>
            </w:pPr>
            <w:r>
              <w:rPr>
                <w:rFonts w:ascii="Arial" w:hAnsi="Arial"/>
                <w:b/>
                <w:color w:val="1473E6"/>
                <w:sz w:val="14"/>
              </w:rPr>
              <w:t>MINIMUM VIABLE PROMPT</w:t>
            </w:r>
          </w:p>
          <w:p>
            <w:pPr>
              <w:keepNext w:val="0"/>
              <w:spacing w:before="0" w:after="0" w:line="259" w:lineRule="auto"/>
            </w:pPr>
            <w:r>
              <w:rPr>
                <w:rFonts w:ascii="Arial" w:hAnsi="Arial"/>
                <w:color w:val="17202A"/>
                <w:sz w:val="18"/>
              </w:rPr>
              <w:t>A short prompt can still be production-grade when all six controls are either explicit or safely inherited from a stable Skill, project brief, or application layer. Do not repeat inherited rules without reason.</w:t>
            </w:r>
          </w:p>
        </w:tc>
      </w:tr>
    </w:tbl>
    <w:p>
      <w:pPr>
        <w:spacing w:after="20"/>
      </w:pPr>
    </w:p>
    <w:tbl>
      <w:tblPr>
        <w:tblW w:type="auto" w:w="0"/>
        <w:jc w:val="center"/>
        <w:tblLayout w:type="fixed"/>
        <w:tblLook w:firstColumn="1" w:firstRow="1" w:lastColumn="0" w:lastRow="0" w:noHBand="0" w:noVBand="1" w:val="04A0"/>
      </w:tblPr>
      <w:tblGrid>
        <w:gridCol w:w="9720"/>
      </w:tblGrid>
      <w:tr>
        <w:tc>
          <w:tcPr>
            <w:tcW w:type="dxa" w:w="10166"/>
            <w:shd w:fill="F5F7FA"/>
            <w:tcMar>
              <w:top w:w="120" w:type="dxa"/>
              <w:start w:w="150" w:type="dxa"/>
              <w:bottom w:w="120" w:type="dxa"/>
              <w:end w:w="150" w:type="dxa"/>
            </w:tcMar>
            <w:tcBorders>
              <w:top w:val="single" w:sz="6" w:color="D0D5DD"/>
              <w:start w:val="single" w:sz="6" w:color="D0D5DD"/>
              <w:bottom w:val="single" w:sz="6" w:color="D0D5DD"/>
              <w:end w:val="single" w:sz="6" w:color="D0D5DD"/>
            </w:tcBorders>
          </w:tcPr>
          <w:p>
            <w:pPr>
              <w:keepNext w:val="0"/>
              <w:spacing w:before="0" w:after="0" w:line="252" w:lineRule="auto"/>
            </w:pPr>
            <w:r>
              <w:rPr>
                <w:rFonts w:ascii="DejaVu Sans Mono" w:hAnsi="DejaVu Sans Mono"/>
                <w:color w:val="17202A"/>
                <w:sz w:val="16"/>
              </w:rPr>
              <w:t>D: Produce [observable outcome] for [audience].</w:t>
            </w:r>
            <w:r>
              <w:br/>
            </w:r>
            <w:r>
              <w:rPr>
                <w:rFonts w:ascii="DejaVu Sans Mono" w:hAnsi="DejaVu Sans Mono"/>
                <w:color w:val="17202A"/>
                <w:sz w:val="16"/>
              </w:rPr>
              <w:t>I: Use [authoritative inputs]. State material evidence gaps.</w:t>
            </w:r>
            <w:r>
              <w:br/>
            </w:r>
            <w:r>
              <w:rPr>
                <w:rFonts w:ascii="DejaVu Sans Mono" w:hAnsi="DejaVu Sans Mono"/>
                <w:color w:val="17202A"/>
                <w:sz w:val="16"/>
              </w:rPr>
              <w:t>R: Act as the accountable [role]; apply [specialist lenses].</w:t>
            </w:r>
            <w:r>
              <w:br/>
            </w:r>
            <w:r>
              <w:rPr>
                <w:rFonts w:ascii="DejaVu Sans Mono" w:hAnsi="DejaVu Sans Mono"/>
                <w:color w:val="17202A"/>
                <w:sz w:val="16"/>
              </w:rPr>
              <w:t>E: Stay within [scope]. Do not [prohibited actions]. Confirm before [gated actions].</w:t>
            </w:r>
            <w:r>
              <w:br/>
            </w:r>
            <w:r>
              <w:rPr>
                <w:rFonts w:ascii="DejaVu Sans Mono" w:hAnsi="DejaVu Sans Mono"/>
                <w:color w:val="17202A"/>
                <w:sz w:val="16"/>
              </w:rPr>
              <w:t>C: Complete only when [tests/evidence/acceptance conditions].</w:t>
            </w:r>
            <w:r>
              <w:br/>
            </w:r>
            <w:r>
              <w:rPr>
                <w:rFonts w:ascii="DejaVu Sans Mono" w:hAnsi="DejaVu Sans Mono"/>
                <w:color w:val="17202A"/>
                <w:sz w:val="16"/>
              </w:rPr>
              <w:t>T: Return [exact structure, schema, file, length, and ordering].</w:t>
            </w:r>
          </w:p>
        </w:tc>
      </w:tr>
    </w:tbl>
    <w:p>
      <w:pPr>
        <w:spacing w:after="20"/>
      </w:pPr>
    </w:p>
    <w:p>
      <w:pPr>
        <w:keepNext w:val="0"/>
        <w:spacing w:before="60" w:after="0" w:line="240" w:lineRule="auto"/>
      </w:pPr>
      <w:r>
        <w:rPr>
          <w:rFonts w:ascii="Arial" w:hAnsi="Arial"/>
          <w:b/>
          <w:color w:val="667085"/>
          <w:sz w:val="14"/>
        </w:rPr>
        <w:t xml:space="preserve">Sources: </w:t>
      </w:r>
      <w:r>
        <w:rPr>
          <w:rFonts w:ascii="Arial" w:hAnsi="Arial"/>
          <w:color w:val="667085"/>
          <w:sz w:val="14"/>
        </w:rPr>
        <w:t>S01</w:t>
      </w:r>
    </w:p>
    <w:p>
      <w:r>
        <w:br w:type="page"/>
      </w:r>
    </w:p>
    <w:p>
      <w:pPr>
        <w:keepNext/>
        <w:spacing w:before="0" w:after="40" w:line="259" w:lineRule="auto"/>
      </w:pPr>
      <w:r>
        <w:rPr>
          <w:rFonts w:ascii="Arial" w:hAnsi="Arial"/>
          <w:b/>
          <w:i w:val="0"/>
          <w:color w:val="1473E6"/>
          <w:sz w:val="14"/>
        </w:rPr>
        <w:t>DIRECT CONTROL</w:t>
      </w:r>
    </w:p>
    <w:p>
      <w:pPr>
        <w:keepNext/>
        <w:spacing w:before="0" w:after="80" w:line="240" w:lineRule="auto"/>
      </w:pPr>
      <w:r>
        <w:rPr>
          <w:rFonts w:ascii="Arial" w:hAnsi="Arial"/>
          <w:b/>
          <w:color w:val="1473E6"/>
          <w:sz w:val="31"/>
        </w:rPr>
        <w:t xml:space="preserve">08  </w:t>
      </w:r>
      <w:r>
        <w:rPr>
          <w:rFonts w:ascii="Arial" w:hAnsi="Arial"/>
          <w:b/>
          <w:color w:val="081827"/>
          <w:sz w:val="31"/>
        </w:rPr>
        <w:t>D and I: objective, inputs, and evidence</w:t>
      </w:r>
    </w:p>
    <w:p>
      <w:pPr>
        <w:keepNext w:val="0"/>
        <w:spacing w:before="0" w:after="100" w:line="240" w:lineRule="auto"/>
        <w:pBdr>
          <w:bottom w:val="single" w:sz="6" w:space="1" w:color="E4E7EC"/>
        </w:pBdr>
      </w:pPr>
    </w:p>
    <w:p>
      <w:pPr>
        <w:keepNext/>
        <w:spacing w:before="100" w:after="60" w:line="240" w:lineRule="auto"/>
      </w:pPr>
      <w:r>
        <w:rPr>
          <w:rFonts w:ascii="Arial" w:hAnsi="Arial"/>
          <w:b/>
          <w:color w:val="081827"/>
          <w:sz w:val="21"/>
        </w:rPr>
        <w:t>D — Decision objective</w:t>
      </w:r>
    </w:p>
    <w:p>
      <w:pPr>
        <w:keepNext w:val="0"/>
        <w:spacing w:before="0" w:after="100" w:line="259" w:lineRule="auto"/>
      </w:pPr>
      <w:r>
        <w:rPr>
          <w:rFonts w:ascii="Arial" w:hAnsi="Arial"/>
          <w:b w:val="0"/>
          <w:i w:val="0"/>
          <w:color w:val="17202A"/>
          <w:sz w:val="18"/>
        </w:rPr>
        <w:t>Write the objective as a verifiable state change, artifact, or decision. “Help with the architecture” is not a completion target. “Produce a target-state architecture and ADR set that resolves the listed integration and tenancy decisions” is.</w:t>
      </w:r>
    </w:p>
    <w:tbl>
      <w:tblPr>
        <w:tblW w:type="auto" w:w="0"/>
        <w:jc w:val="center"/>
        <w:tblLayout w:type="fixed"/>
        <w:tblLook w:firstColumn="1" w:firstRow="1" w:lastColumn="0" w:lastRow="0" w:noHBand="0" w:noVBand="1" w:val="04A0"/>
      </w:tblPr>
      <w:tblGrid>
        <w:gridCol w:w="2880"/>
        <w:gridCol w:w="6912"/>
      </w:tblGrid>
      <w:tr>
        <w:trPr>
          <w:tblHeader w:val="true"/>
        </w:trPr>
        <w:tc>
          <w:tcPr>
            <w:tcW w:type="dxa" w:w="5083"/>
            <w:shd w:fill="081827"/>
            <w:tcMar>
              <w:top w:w="90" w:type="dxa"/>
              <w:start w:w="90" w:type="dxa"/>
              <w:bottom w:w="90" w:type="dxa"/>
              <w:end w:w="90" w:type="dxa"/>
            </w:tcMar>
            <w:vAlign w:val="center"/>
          </w:tcPr>
          <w:p>
            <w:pPr>
              <w:keepNext w:val="0"/>
              <w:spacing w:before="0" w:after="0" w:line="240" w:lineRule="auto"/>
              <w:jc w:val="center"/>
            </w:pPr>
            <w:r>
              <w:rPr>
                <w:rFonts w:ascii="Arial" w:hAnsi="Arial"/>
                <w:b/>
                <w:color w:val="FFFFFF"/>
                <w:sz w:val="15"/>
              </w:rPr>
              <w:t>Weak form</w:t>
            </w:r>
          </w:p>
        </w:tc>
        <w:tc>
          <w:tcPr>
            <w:tcW w:type="dxa" w:w="5083"/>
            <w:shd w:fill="081827"/>
            <w:tcMar>
              <w:top w:w="90" w:type="dxa"/>
              <w:start w:w="90" w:type="dxa"/>
              <w:bottom w:w="90" w:type="dxa"/>
              <w:end w:w="90" w:type="dxa"/>
            </w:tcMar>
            <w:vAlign w:val="center"/>
          </w:tcPr>
          <w:p>
            <w:pPr>
              <w:keepNext w:val="0"/>
              <w:spacing w:before="0" w:after="0" w:line="240" w:lineRule="auto"/>
              <w:jc w:val="center"/>
            </w:pPr>
            <w:r>
              <w:rPr>
                <w:rFonts w:ascii="Arial" w:hAnsi="Arial"/>
                <w:b/>
                <w:color w:val="FFFFFF"/>
                <w:sz w:val="15"/>
              </w:rPr>
              <w:t>Controlled form</w:t>
            </w:r>
          </w:p>
        </w:tc>
      </w:tr>
      <w:tr>
        <w:tc>
          <w:tcPr>
            <w:tcW w:type="dxa" w:w="2880"/>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6"/>
              </w:rPr>
              <w:t>Review this code.</w:t>
            </w:r>
          </w:p>
        </w:tc>
        <w:tc>
          <w:tcPr>
            <w:tcW w:type="dxa" w:w="6912"/>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6"/>
              </w:rPr>
              <w:t>Identify release-blocking security and reliability defects in the supplied repository; provide file/line evidence, patch guidance, and regression tests.</w:t>
            </w:r>
          </w:p>
        </w:tc>
      </w:tr>
      <w:tr>
        <w:tc>
          <w:tcPr>
            <w:tcW w:type="dxa" w:w="2880"/>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6"/>
              </w:rPr>
              <w:t>Make this design better.</w:t>
            </w:r>
          </w:p>
        </w:tc>
        <w:tc>
          <w:tcPr>
            <w:tcW w:type="dxa" w:w="6912"/>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6"/>
              </w:rPr>
              <w:t>Redesign the supplied onboarding screen to reduce cognitive load while preserving required fields, brand constraints, and accessibility; return annotated decisions and implementation-ready specifications.</w:t>
            </w:r>
          </w:p>
        </w:tc>
      </w:tr>
      <w:tr>
        <w:tc>
          <w:tcPr>
            <w:tcW w:type="dxa" w:w="2880"/>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6"/>
              </w:rPr>
              <w:t>Plan our integration.</w:t>
            </w:r>
          </w:p>
        </w:tc>
        <w:tc>
          <w:tcPr>
            <w:tcW w:type="dxa" w:w="6912"/>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6"/>
              </w:rPr>
              <w:t>Produce a target-state integration architecture with trust boundaries, error handling, idempotency, observability, migration stages, and decision records.</w:t>
            </w:r>
          </w:p>
        </w:tc>
      </w:tr>
    </w:tbl>
    <w:p>
      <w:pPr>
        <w:spacing w:after="20"/>
      </w:pPr>
    </w:p>
    <w:p>
      <w:pPr>
        <w:keepNext/>
        <w:spacing w:before="100" w:after="60" w:line="240" w:lineRule="auto"/>
      </w:pPr>
      <w:r>
        <w:rPr>
          <w:rFonts w:ascii="Arial" w:hAnsi="Arial"/>
          <w:b/>
          <w:color w:val="081827"/>
          <w:sz w:val="21"/>
        </w:rPr>
        <w:t>I — Inputs and evidence</w:t>
      </w:r>
    </w:p>
    <w:p>
      <w:pPr>
        <w:pStyle w:val="ListBullet"/>
        <w:keepNext w:val="0"/>
        <w:spacing w:before="0" w:after="48" w:line="254" w:lineRule="auto"/>
        <w:ind w:left="259" w:hanging="173"/>
      </w:pPr>
      <w:r>
        <w:rPr>
          <w:rFonts w:ascii="Arial" w:hAnsi="Arial"/>
          <w:color w:val="17202A"/>
          <w:sz w:val="18"/>
        </w:rPr>
        <w:t>Name authoritative sources and their order of precedence.</w:t>
      </w:r>
    </w:p>
    <w:p>
      <w:pPr>
        <w:pStyle w:val="ListBullet"/>
        <w:keepNext w:val="0"/>
        <w:spacing w:before="0" w:after="48" w:line="254" w:lineRule="auto"/>
        <w:ind w:left="259" w:hanging="173"/>
      </w:pPr>
      <w:r>
        <w:rPr>
          <w:rFonts w:ascii="Arial" w:hAnsi="Arial"/>
          <w:color w:val="17202A"/>
          <w:sz w:val="18"/>
        </w:rPr>
        <w:t>Separate supplied facts from assumptions, external research, and model inference.</w:t>
      </w:r>
    </w:p>
    <w:p>
      <w:pPr>
        <w:pStyle w:val="ListBullet"/>
        <w:keepNext w:val="0"/>
        <w:spacing w:before="0" w:after="48" w:line="254" w:lineRule="auto"/>
        <w:ind w:left="259" w:hanging="173"/>
      </w:pPr>
      <w:r>
        <w:rPr>
          <w:rFonts w:ascii="Arial" w:hAnsi="Arial"/>
          <w:color w:val="17202A"/>
          <w:sz w:val="18"/>
        </w:rPr>
        <w:t>Provide dates for volatile facts and require current verification when necessary.</w:t>
      </w:r>
    </w:p>
    <w:p>
      <w:pPr>
        <w:pStyle w:val="ListBullet"/>
        <w:keepNext w:val="0"/>
        <w:spacing w:before="0" w:after="48" w:line="254" w:lineRule="auto"/>
        <w:ind w:left="259" w:hanging="173"/>
      </w:pPr>
      <w:r>
        <w:rPr>
          <w:rFonts w:ascii="Arial" w:hAnsi="Arial"/>
          <w:color w:val="17202A"/>
          <w:sz w:val="18"/>
        </w:rPr>
        <w:t>State what evidence is unavailable; do not force a confident conclusion from incomplete inputs.</w:t>
      </w:r>
    </w:p>
    <w:p>
      <w:pPr>
        <w:pStyle w:val="ListBullet"/>
        <w:keepNext w:val="0"/>
        <w:spacing w:before="0" w:after="48" w:line="254" w:lineRule="auto"/>
        <w:ind w:left="259" w:hanging="173"/>
      </w:pPr>
      <w:r>
        <w:rPr>
          <w:rFonts w:ascii="Arial" w:hAnsi="Arial"/>
          <w:color w:val="17202A"/>
          <w:sz w:val="18"/>
        </w:rPr>
        <w:t>For files and code, require precise references such as section, page, path, symbol, or line where available.</w:t>
      </w:r>
    </w:p>
    <w:p>
      <w:pPr>
        <w:pStyle w:val="ListBullet"/>
        <w:keepNext w:val="0"/>
        <w:spacing w:before="0" w:after="48" w:line="254" w:lineRule="auto"/>
        <w:ind w:left="259" w:hanging="173"/>
      </w:pPr>
      <w:r>
        <w:rPr>
          <w:rFonts w:ascii="Arial" w:hAnsi="Arial"/>
          <w:color w:val="17202A"/>
          <w:sz w:val="18"/>
        </w:rPr>
        <w:t>Treat connected data as permission-scoped evidence, not as universal access.</w:t>
      </w:r>
    </w:p>
    <w:tbl>
      <w:tblPr>
        <w:tblW w:type="auto" w:w="0"/>
        <w:jc w:val="center"/>
        <w:tblLayout w:type="fixed"/>
        <w:tblLook w:firstColumn="1" w:firstRow="1" w:lastColumn="0" w:lastRow="0" w:noHBand="0" w:noVBand="1" w:val="04A0"/>
      </w:tblPr>
      <w:tblGrid>
        <w:gridCol w:w="115"/>
        <w:gridCol w:w="9792"/>
      </w:tblGrid>
      <w:tr>
        <w:tc>
          <w:tcPr>
            <w:tcW w:type="dxa" w:w="5083"/>
            <w:shd w:fill="6941C6"/>
            <w:tcMar>
              <w:top w:w="60" w:type="dxa"/>
              <w:start w:w="0" w:type="dxa"/>
              <w:bottom w:w="60" w:type="dxa"/>
              <w:end w:w="0" w:type="dxa"/>
            </w:tcMar>
            <w:vAlign w:val="center"/>
          </w:tcPr>
          <w:p/>
        </w:tc>
        <w:tc>
          <w:tcPr>
            <w:tcW w:type="dxa" w:w="5083"/>
            <w:shd w:fill="F2EEFF"/>
            <w:tcMar>
              <w:top w:w="110" w:type="dxa"/>
              <w:start w:w="150" w:type="dxa"/>
              <w:bottom w:w="110" w:type="dxa"/>
              <w:end w:w="150" w:type="dxa"/>
            </w:tcMar>
          </w:tcPr>
          <w:p>
            <w:pPr>
              <w:keepNext/>
              <w:spacing w:before="0" w:after="40" w:line="240" w:lineRule="auto"/>
            </w:pPr>
            <w:r>
              <w:rPr>
                <w:rFonts w:ascii="Arial" w:hAnsi="Arial"/>
                <w:b/>
                <w:color w:val="6941C6"/>
                <w:sz w:val="14"/>
              </w:rPr>
              <w:t>EVIDENCE PRIORITY</w:t>
            </w:r>
          </w:p>
          <w:p>
            <w:pPr>
              <w:keepNext w:val="0"/>
              <w:spacing w:before="0" w:after="0" w:line="259" w:lineRule="auto"/>
            </w:pPr>
            <w:r>
              <w:rPr>
                <w:rFonts w:ascii="Arial" w:hAnsi="Arial"/>
                <w:color w:val="17202A"/>
                <w:sz w:val="18"/>
              </w:rPr>
              <w:t>Primary source or supplied artifact &gt; current official documentation &gt; authoritative standard &gt; reputable secondary source &gt; clearly labeled inference.</w:t>
            </w:r>
          </w:p>
        </w:tc>
      </w:tr>
    </w:tbl>
    <w:p>
      <w:pPr>
        <w:spacing w:after="20"/>
      </w:pPr>
    </w:p>
    <w:p>
      <w:r>
        <w:br w:type="page"/>
      </w:r>
    </w:p>
    <w:p>
      <w:pPr>
        <w:keepNext/>
        <w:spacing w:before="0" w:after="40" w:line="259" w:lineRule="auto"/>
      </w:pPr>
      <w:r>
        <w:rPr>
          <w:rFonts w:ascii="Arial" w:hAnsi="Arial"/>
          <w:b/>
          <w:i w:val="0"/>
          <w:color w:val="1473E6"/>
          <w:sz w:val="14"/>
        </w:rPr>
        <w:t>DIRECT CONTROL</w:t>
      </w:r>
    </w:p>
    <w:p>
      <w:pPr>
        <w:keepNext/>
        <w:spacing w:before="0" w:after="80" w:line="240" w:lineRule="auto"/>
      </w:pPr>
      <w:r>
        <w:rPr>
          <w:rFonts w:ascii="Arial" w:hAnsi="Arial"/>
          <w:b/>
          <w:color w:val="1473E6"/>
          <w:sz w:val="31"/>
        </w:rPr>
        <w:t xml:space="preserve">09  </w:t>
      </w:r>
      <w:r>
        <w:rPr>
          <w:rFonts w:ascii="Arial" w:hAnsi="Arial"/>
          <w:b/>
          <w:color w:val="081827"/>
          <w:sz w:val="31"/>
        </w:rPr>
        <w:t>R and E: accountability and execution boundaries</w:t>
      </w:r>
    </w:p>
    <w:p>
      <w:pPr>
        <w:keepNext w:val="0"/>
        <w:spacing w:before="0" w:after="100" w:line="240" w:lineRule="auto"/>
        <w:pBdr>
          <w:bottom w:val="single" w:sz="6" w:space="1" w:color="E4E7EC"/>
        </w:pBdr>
      </w:pPr>
    </w:p>
    <w:p>
      <w:pPr>
        <w:keepNext/>
        <w:spacing w:before="100" w:after="60" w:line="240" w:lineRule="auto"/>
      </w:pPr>
      <w:r>
        <w:rPr>
          <w:rFonts w:ascii="Arial" w:hAnsi="Arial"/>
          <w:b/>
          <w:color w:val="081827"/>
          <w:sz w:val="21"/>
        </w:rPr>
        <w:t>R — Role and responsibility</w:t>
      </w:r>
    </w:p>
    <w:p>
      <w:pPr>
        <w:keepNext w:val="0"/>
        <w:spacing w:before="0" w:after="100" w:line="259" w:lineRule="auto"/>
      </w:pPr>
      <w:r>
        <w:rPr>
          <w:rFonts w:ascii="Arial" w:hAnsi="Arial"/>
          <w:b w:val="0"/>
          <w:i w:val="0"/>
          <w:color w:val="17202A"/>
          <w:sz w:val="18"/>
        </w:rPr>
        <w:t>Role prompting is useful when it specifies decision authority, review lens, risk tolerance, and professional standard. A title alone contributes little.</w:t>
      </w:r>
    </w:p>
    <w:tbl>
      <w:tblPr>
        <w:tblW w:type="auto" w:w="0"/>
        <w:jc w:val="center"/>
        <w:tblLayout w:type="fixed"/>
        <w:tblLook w:firstColumn="1" w:firstRow="1" w:lastColumn="0" w:lastRow="0" w:noHBand="0" w:noVBand="1" w:val="04A0"/>
      </w:tblPr>
      <w:tblGrid>
        <w:gridCol w:w="9720"/>
      </w:tblGrid>
      <w:tr>
        <w:tc>
          <w:tcPr>
            <w:tcW w:type="dxa" w:w="10166"/>
            <w:shd w:fill="F5F7FA"/>
            <w:tcMar>
              <w:top w:w="120" w:type="dxa"/>
              <w:start w:w="150" w:type="dxa"/>
              <w:bottom w:w="120" w:type="dxa"/>
              <w:end w:w="150" w:type="dxa"/>
            </w:tcMar>
            <w:tcBorders>
              <w:top w:val="single" w:sz="6" w:color="D0D5DD"/>
              <w:start w:val="single" w:sz="6" w:color="D0D5DD"/>
              <w:bottom w:val="single" w:sz="6" w:color="D0D5DD"/>
              <w:end w:val="single" w:sz="6" w:color="D0D5DD"/>
            </w:tcBorders>
          </w:tcPr>
          <w:p>
            <w:pPr>
              <w:keepNext w:val="0"/>
              <w:spacing w:before="0" w:after="0" w:line="252" w:lineRule="auto"/>
            </w:pPr>
            <w:r>
              <w:rPr>
                <w:rFonts w:ascii="DejaVu Sans Mono" w:hAnsi="DejaVu Sans Mono"/>
                <w:color w:val="17202A"/>
                <w:sz w:val="16"/>
              </w:rPr>
              <w:t>Accountable role: Director of Solution Architecture</w:t>
            </w:r>
            <w:r>
              <w:br/>
            </w:r>
            <w:r>
              <w:rPr>
                <w:rFonts w:ascii="DejaVu Sans Mono" w:hAnsi="DejaVu Sans Mono"/>
                <w:color w:val="17202A"/>
                <w:sz w:val="16"/>
              </w:rPr>
              <w:t>Specialist lenses: application security, data architecture, SRE, UX systems</w:t>
            </w:r>
            <w:r>
              <w:br/>
            </w:r>
            <w:r>
              <w:rPr>
                <w:rFonts w:ascii="DejaVu Sans Mono" w:hAnsi="DejaVu Sans Mono"/>
                <w:color w:val="17202A"/>
                <w:sz w:val="16"/>
              </w:rPr>
              <w:t>Decision priority: safety and data integrity &gt; correctness &gt; maintainability &gt; speed</w:t>
            </w:r>
            <w:r>
              <w:br/>
            </w:r>
            <w:r>
              <w:rPr>
                <w:rFonts w:ascii="DejaVu Sans Mono" w:hAnsi="DejaVu Sans Mono"/>
                <w:color w:val="17202A"/>
                <w:sz w:val="16"/>
              </w:rPr>
              <w:t>Conflict rule: identify unresolved tradeoffs; do not silently average incompatible requirements</w:t>
            </w:r>
            <w:r>
              <w:br/>
            </w:r>
            <w:r>
              <w:rPr>
                <w:rFonts w:ascii="DejaVu Sans Mono" w:hAnsi="DejaVu Sans Mono"/>
                <w:color w:val="17202A"/>
                <w:sz w:val="16"/>
              </w:rPr>
              <w:t>Excluded authority: legal approval, production deployment, vendor purchasing</w:t>
            </w:r>
          </w:p>
        </w:tc>
      </w:tr>
    </w:tbl>
    <w:p>
      <w:pPr>
        <w:spacing w:after="20"/>
      </w:pPr>
    </w:p>
    <w:p>
      <w:pPr>
        <w:keepNext/>
        <w:spacing w:before="100" w:after="60" w:line="240" w:lineRule="auto"/>
      </w:pPr>
      <w:r>
        <w:rPr>
          <w:rFonts w:ascii="Arial" w:hAnsi="Arial"/>
          <w:b/>
          <w:color w:val="081827"/>
          <w:sz w:val="21"/>
        </w:rPr>
        <w:t>E — Execution boundaries</w:t>
      </w:r>
    </w:p>
    <w:tbl>
      <w:tblPr>
        <w:tblW w:type="auto" w:w="0"/>
        <w:jc w:val="center"/>
        <w:tblLayout w:type="fixed"/>
        <w:tblLook w:firstColumn="1" w:firstRow="1" w:lastColumn="0" w:lastRow="0" w:noHBand="0" w:noVBand="1" w:val="04A0"/>
      </w:tblPr>
      <w:tblGrid>
        <w:gridCol w:w="2376"/>
        <w:gridCol w:w="7416"/>
      </w:tblGrid>
      <w:tr>
        <w:trPr>
          <w:tblHeader w:val="true"/>
        </w:trPr>
        <w:tc>
          <w:tcPr>
            <w:tcW w:type="dxa" w:w="5083"/>
            <w:shd w:fill="081827"/>
            <w:tcMar>
              <w:top w:w="90" w:type="dxa"/>
              <w:start w:w="90" w:type="dxa"/>
              <w:bottom w:w="90" w:type="dxa"/>
              <w:end w:w="90" w:type="dxa"/>
            </w:tcMar>
            <w:vAlign w:val="center"/>
          </w:tcPr>
          <w:p>
            <w:pPr>
              <w:keepNext w:val="0"/>
              <w:spacing w:before="0" w:after="0" w:line="240" w:lineRule="auto"/>
              <w:jc w:val="center"/>
            </w:pPr>
            <w:r>
              <w:rPr>
                <w:rFonts w:ascii="Arial" w:hAnsi="Arial"/>
                <w:b/>
                <w:color w:val="FFFFFF"/>
                <w:sz w:val="15"/>
              </w:rPr>
              <w:t>Boundary class</w:t>
            </w:r>
          </w:p>
        </w:tc>
        <w:tc>
          <w:tcPr>
            <w:tcW w:type="dxa" w:w="5083"/>
            <w:shd w:fill="081827"/>
            <w:tcMar>
              <w:top w:w="90" w:type="dxa"/>
              <w:start w:w="90" w:type="dxa"/>
              <w:bottom w:w="90" w:type="dxa"/>
              <w:end w:w="90" w:type="dxa"/>
            </w:tcMar>
            <w:vAlign w:val="center"/>
          </w:tcPr>
          <w:p>
            <w:pPr>
              <w:keepNext w:val="0"/>
              <w:spacing w:before="0" w:after="0" w:line="240" w:lineRule="auto"/>
              <w:jc w:val="center"/>
            </w:pPr>
            <w:r>
              <w:rPr>
                <w:rFonts w:ascii="Arial" w:hAnsi="Arial"/>
                <w:b/>
                <w:color w:val="FFFFFF"/>
                <w:sz w:val="15"/>
              </w:rPr>
              <w:t>Default rule</w:t>
            </w:r>
          </w:p>
        </w:tc>
      </w:tr>
      <w:tr>
        <w:tc>
          <w:tcPr>
            <w:tcW w:type="dxa" w:w="2376"/>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6"/>
              </w:rPr>
              <w:t>Read / inspect</w:t>
            </w:r>
          </w:p>
        </w:tc>
        <w:tc>
          <w:tcPr>
            <w:tcW w:type="dxa" w:w="7416"/>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6"/>
              </w:rPr>
              <w:t>Allowed when relevant to answering, reviewing, diagnosing, or planning.</w:t>
            </w:r>
          </w:p>
        </w:tc>
      </w:tr>
      <w:tr>
        <w:tc>
          <w:tcPr>
            <w:tcW w:type="dxa" w:w="2376"/>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6"/>
              </w:rPr>
              <w:t>Local build / fix</w:t>
            </w:r>
          </w:p>
        </w:tc>
        <w:tc>
          <w:tcPr>
            <w:tcW w:type="dxa" w:w="7416"/>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6"/>
              </w:rPr>
              <w:t>Allowed when explicitly requested; run relevant non-destructive validation.</w:t>
            </w:r>
          </w:p>
        </w:tc>
      </w:tr>
      <w:tr>
        <w:tc>
          <w:tcPr>
            <w:tcW w:type="dxa" w:w="2376"/>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6"/>
              </w:rPr>
              <w:t>External write</w:t>
            </w:r>
          </w:p>
        </w:tc>
        <w:tc>
          <w:tcPr>
            <w:tcW w:type="dxa" w:w="7416"/>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6"/>
              </w:rPr>
              <w:t>Require confirmation unless the user explicitly authorized the exact action and product permissions permit it.</w:t>
            </w:r>
          </w:p>
        </w:tc>
      </w:tr>
      <w:tr>
        <w:tc>
          <w:tcPr>
            <w:tcW w:type="dxa" w:w="2376"/>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6"/>
              </w:rPr>
              <w:t>Destructive / irreversible</w:t>
            </w:r>
          </w:p>
        </w:tc>
        <w:tc>
          <w:tcPr>
            <w:tcW w:type="dxa" w:w="7416"/>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6"/>
              </w:rPr>
              <w:t>Require confirmation and a rollback or recovery plan.</w:t>
            </w:r>
          </w:p>
        </w:tc>
      </w:tr>
      <w:tr>
        <w:tc>
          <w:tcPr>
            <w:tcW w:type="dxa" w:w="2376"/>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6"/>
              </w:rPr>
              <w:t>Cost / purchase</w:t>
            </w:r>
          </w:p>
        </w:tc>
        <w:tc>
          <w:tcPr>
            <w:tcW w:type="dxa" w:w="7416"/>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6"/>
              </w:rPr>
              <w:t>Require confirmation before incurring cost or committing spend.</w:t>
            </w:r>
          </w:p>
        </w:tc>
      </w:tr>
      <w:tr>
        <w:tc>
          <w:tcPr>
            <w:tcW w:type="dxa" w:w="2376"/>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6"/>
              </w:rPr>
              <w:t>Scope expansion</w:t>
            </w:r>
          </w:p>
        </w:tc>
        <w:tc>
          <w:tcPr>
            <w:tcW w:type="dxa" w:w="7416"/>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6"/>
              </w:rPr>
              <w:t>Stop or request approval when the change is material to risk, time, data, or systems.</w:t>
            </w:r>
          </w:p>
        </w:tc>
      </w:tr>
      <w:tr>
        <w:tc>
          <w:tcPr>
            <w:tcW w:type="dxa" w:w="2376"/>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6"/>
              </w:rPr>
              <w:t>Sensitive data</w:t>
            </w:r>
          </w:p>
        </w:tc>
        <w:tc>
          <w:tcPr>
            <w:tcW w:type="dxa" w:w="7416"/>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6"/>
              </w:rPr>
              <w:t>Use only what is needed; preserve access and confidentiality boundaries.</w:t>
            </w:r>
          </w:p>
        </w:tc>
      </w:tr>
    </w:tbl>
    <w:p>
      <w:pPr>
        <w:spacing w:after="20"/>
      </w:pPr>
    </w:p>
    <w:tbl>
      <w:tblPr>
        <w:tblW w:type="auto" w:w="0"/>
        <w:jc w:val="center"/>
        <w:tblLayout w:type="fixed"/>
        <w:tblLook w:firstColumn="1" w:firstRow="1" w:lastColumn="0" w:lastRow="0" w:noHBand="0" w:noVBand="1" w:val="04A0"/>
      </w:tblPr>
      <w:tblGrid>
        <w:gridCol w:w="115"/>
        <w:gridCol w:w="9792"/>
      </w:tblGrid>
      <w:tr>
        <w:tc>
          <w:tcPr>
            <w:tcW w:type="dxa" w:w="5083"/>
            <w:shd w:fill="B96800"/>
            <w:tcMar>
              <w:top w:w="60" w:type="dxa"/>
              <w:start w:w="0" w:type="dxa"/>
              <w:bottom w:w="60" w:type="dxa"/>
              <w:end w:w="0" w:type="dxa"/>
            </w:tcMar>
            <w:vAlign w:val="center"/>
          </w:tcPr>
          <w:p/>
        </w:tc>
        <w:tc>
          <w:tcPr>
            <w:tcW w:type="dxa" w:w="5083"/>
            <w:shd w:fill="FFF4DF"/>
            <w:tcMar>
              <w:top w:w="110" w:type="dxa"/>
              <w:start w:w="150" w:type="dxa"/>
              <w:bottom w:w="110" w:type="dxa"/>
              <w:end w:w="150" w:type="dxa"/>
            </w:tcMar>
          </w:tcPr>
          <w:p>
            <w:pPr>
              <w:keepNext/>
              <w:spacing w:before="0" w:after="40" w:line="240" w:lineRule="auto"/>
            </w:pPr>
            <w:r>
              <w:rPr>
                <w:rFonts w:ascii="Arial" w:hAnsi="Arial"/>
                <w:b/>
                <w:color w:val="B96800"/>
                <w:sz w:val="14"/>
              </w:rPr>
              <w:t>BOUNDARY PRECISION</w:t>
            </w:r>
          </w:p>
          <w:p>
            <w:pPr>
              <w:keepNext w:val="0"/>
              <w:spacing w:before="0" w:after="0" w:line="259" w:lineRule="auto"/>
            </w:pPr>
            <w:r>
              <w:rPr>
                <w:rFonts w:ascii="Arial" w:hAnsi="Arial"/>
                <w:color w:val="17202A"/>
                <w:sz w:val="18"/>
              </w:rPr>
              <w:t>State each approval rule once. Repeating “ask first” throughout a prompt can cause unnecessary pauses for safe local work.</w:t>
            </w:r>
          </w:p>
        </w:tc>
      </w:tr>
    </w:tbl>
    <w:p>
      <w:pPr>
        <w:spacing w:after="20"/>
      </w:pPr>
    </w:p>
    <w:p>
      <w:pPr>
        <w:keepNext w:val="0"/>
        <w:spacing w:before="60" w:after="0" w:line="240" w:lineRule="auto"/>
      </w:pPr>
      <w:r>
        <w:rPr>
          <w:rFonts w:ascii="Arial" w:hAnsi="Arial"/>
          <w:b/>
          <w:color w:val="667085"/>
          <w:sz w:val="14"/>
        </w:rPr>
        <w:t xml:space="preserve">Sources: </w:t>
      </w:r>
      <w:r>
        <w:rPr>
          <w:rFonts w:ascii="Arial" w:hAnsi="Arial"/>
          <w:color w:val="667085"/>
          <w:sz w:val="14"/>
        </w:rPr>
        <w:t>S01, S08</w:t>
      </w:r>
    </w:p>
    <w:p>
      <w:r>
        <w:br w:type="page"/>
      </w:r>
    </w:p>
    <w:p>
      <w:pPr>
        <w:keepNext/>
        <w:spacing w:before="0" w:after="40" w:line="259" w:lineRule="auto"/>
      </w:pPr>
      <w:r>
        <w:rPr>
          <w:rFonts w:ascii="Arial" w:hAnsi="Arial"/>
          <w:b/>
          <w:i w:val="0"/>
          <w:color w:val="1473E6"/>
          <w:sz w:val="14"/>
        </w:rPr>
        <w:t>DIRECT CONTROL</w:t>
      </w:r>
    </w:p>
    <w:p>
      <w:pPr>
        <w:keepNext/>
        <w:spacing w:before="0" w:after="80" w:line="240" w:lineRule="auto"/>
      </w:pPr>
      <w:r>
        <w:rPr>
          <w:rFonts w:ascii="Arial" w:hAnsi="Arial"/>
          <w:b/>
          <w:color w:val="1473E6"/>
          <w:sz w:val="31"/>
        </w:rPr>
        <w:t xml:space="preserve">10  </w:t>
      </w:r>
      <w:r>
        <w:rPr>
          <w:rFonts w:ascii="Arial" w:hAnsi="Arial"/>
          <w:b/>
          <w:color w:val="081827"/>
          <w:sz w:val="31"/>
        </w:rPr>
        <w:t>C and T: completion and output contract</w:t>
      </w:r>
    </w:p>
    <w:p>
      <w:pPr>
        <w:keepNext w:val="0"/>
        <w:spacing w:before="0" w:after="100" w:line="240" w:lineRule="auto"/>
        <w:pBdr>
          <w:bottom w:val="single" w:sz="6" w:space="1" w:color="E4E7EC"/>
        </w:pBdr>
      </w:pPr>
    </w:p>
    <w:p>
      <w:pPr>
        <w:keepNext/>
        <w:spacing w:before="100" w:after="60" w:line="240" w:lineRule="auto"/>
      </w:pPr>
      <w:r>
        <w:rPr>
          <w:rFonts w:ascii="Arial" w:hAnsi="Arial"/>
          <w:b/>
          <w:color w:val="081827"/>
          <w:sz w:val="21"/>
        </w:rPr>
        <w:t>C — Completion criteria</w:t>
      </w:r>
    </w:p>
    <w:p>
      <w:pPr>
        <w:keepNext w:val="0"/>
        <w:spacing w:before="0" w:after="80" w:line="259" w:lineRule="auto"/>
      </w:pPr>
      <w:r>
        <w:rPr>
          <w:rFonts w:ascii="Arial" w:hAnsi="Arial"/>
          <w:b w:val="0"/>
          <w:i w:val="0"/>
          <w:color w:val="17202A"/>
          <w:sz w:val="18"/>
        </w:rPr>
        <w:t>Completion must be evidence-based. Replace “make it perfect” with observable acceptance conditions.</w:t>
      </w:r>
    </w:p>
    <w:tbl>
      <w:tblPr>
        <w:tblW w:type="auto" w:w="0"/>
        <w:jc w:val="center"/>
        <w:tblLayout w:type="fixed"/>
        <w:tblLook w:firstColumn="1" w:firstRow="1" w:lastColumn="0" w:lastRow="0" w:noHBand="0" w:noVBand="1" w:val="04A0"/>
      </w:tblPr>
      <w:tblGrid>
        <w:gridCol w:w="2232"/>
        <w:gridCol w:w="7560"/>
      </w:tblGrid>
      <w:tr>
        <w:trPr>
          <w:tblHeader w:val="true"/>
        </w:trPr>
        <w:tc>
          <w:tcPr>
            <w:tcW w:type="dxa" w:w="5083"/>
            <w:shd w:fill="081827"/>
            <w:tcMar>
              <w:top w:w="90" w:type="dxa"/>
              <w:start w:w="90" w:type="dxa"/>
              <w:bottom w:w="90" w:type="dxa"/>
              <w:end w:w="90" w:type="dxa"/>
            </w:tcMar>
            <w:vAlign w:val="center"/>
          </w:tcPr>
          <w:p>
            <w:pPr>
              <w:keepNext w:val="0"/>
              <w:spacing w:before="0" w:after="0" w:line="240" w:lineRule="auto"/>
              <w:jc w:val="center"/>
            </w:pPr>
            <w:r>
              <w:rPr>
                <w:rFonts w:ascii="Arial" w:hAnsi="Arial"/>
                <w:b/>
                <w:color w:val="FFFFFF"/>
                <w:sz w:val="15"/>
              </w:rPr>
              <w:t>Artifact type</w:t>
            </w:r>
          </w:p>
        </w:tc>
        <w:tc>
          <w:tcPr>
            <w:tcW w:type="dxa" w:w="5083"/>
            <w:shd w:fill="081827"/>
            <w:tcMar>
              <w:top w:w="90" w:type="dxa"/>
              <w:start w:w="90" w:type="dxa"/>
              <w:bottom w:w="90" w:type="dxa"/>
              <w:end w:w="90" w:type="dxa"/>
            </w:tcMar>
            <w:vAlign w:val="center"/>
          </w:tcPr>
          <w:p>
            <w:pPr>
              <w:keepNext w:val="0"/>
              <w:spacing w:before="0" w:after="0" w:line="240" w:lineRule="auto"/>
              <w:jc w:val="center"/>
            </w:pPr>
            <w:r>
              <w:rPr>
                <w:rFonts w:ascii="Arial" w:hAnsi="Arial"/>
                <w:b/>
                <w:color w:val="FFFFFF"/>
                <w:sz w:val="15"/>
              </w:rPr>
              <w:t>Completion examples</w:t>
            </w:r>
          </w:p>
        </w:tc>
      </w:tr>
      <w:tr>
        <w:tc>
          <w:tcPr>
            <w:tcW w:type="dxa" w:w="2232"/>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6"/>
              </w:rPr>
              <w:t>Code change</w:t>
            </w:r>
          </w:p>
        </w:tc>
        <w:tc>
          <w:tcPr>
            <w:tcW w:type="dxa" w:w="7560"/>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6"/>
              </w:rPr>
              <w:t>Target tests pass; lint/type checks pass; no unintended diff; rollback documented; known failures disclosed.</w:t>
            </w:r>
          </w:p>
        </w:tc>
      </w:tr>
      <w:tr>
        <w:tc>
          <w:tcPr>
            <w:tcW w:type="dxa" w:w="2232"/>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6"/>
              </w:rPr>
              <w:t>Architecture</w:t>
            </w:r>
          </w:p>
        </w:tc>
        <w:tc>
          <w:tcPr>
            <w:tcW w:type="dxa" w:w="7560"/>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6"/>
              </w:rPr>
              <w:t>Requirements mapped; trust boundaries shown; failure modes addressed; decisions and unresolved risks recorded.</w:t>
            </w:r>
          </w:p>
        </w:tc>
      </w:tr>
      <w:tr>
        <w:tc>
          <w:tcPr>
            <w:tcW w:type="dxa" w:w="2232"/>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6"/>
              </w:rPr>
              <w:t>Research</w:t>
            </w:r>
          </w:p>
        </w:tc>
        <w:tc>
          <w:tcPr>
            <w:tcW w:type="dxa" w:w="7560"/>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6"/>
              </w:rPr>
              <w:t>Claims cited; freshness checked; disagreement represented; inference labeled; unanswered questions listed.</w:t>
            </w:r>
          </w:p>
        </w:tc>
      </w:tr>
      <w:tr>
        <w:tc>
          <w:tcPr>
            <w:tcW w:type="dxa" w:w="2232"/>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6"/>
              </w:rPr>
              <w:t>Design</w:t>
            </w:r>
          </w:p>
        </w:tc>
        <w:tc>
          <w:tcPr>
            <w:tcW w:type="dxa" w:w="7560"/>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6"/>
              </w:rPr>
              <w:t>Required states covered; hierarchy and accessibility reviewed; responsive behavior specified; visual QA completed.</w:t>
            </w:r>
          </w:p>
        </w:tc>
      </w:tr>
      <w:tr>
        <w:tc>
          <w:tcPr>
            <w:tcW w:type="dxa" w:w="2232"/>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6"/>
              </w:rPr>
              <w:t>Cyber review</w:t>
            </w:r>
          </w:p>
        </w:tc>
        <w:tc>
          <w:tcPr>
            <w:tcW w:type="dxa" w:w="7560"/>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6"/>
              </w:rPr>
              <w:t>Authorization documented; findings evidenced; false positives considered; remediation and regression tests supplied.</w:t>
            </w:r>
          </w:p>
        </w:tc>
      </w:tr>
    </w:tbl>
    <w:p>
      <w:pPr>
        <w:spacing w:after="20"/>
      </w:pPr>
    </w:p>
    <w:p>
      <w:pPr>
        <w:keepNext/>
        <w:spacing w:before="100" w:after="60" w:line="240" w:lineRule="auto"/>
      </w:pPr>
      <w:r>
        <w:rPr>
          <w:rFonts w:ascii="Arial" w:hAnsi="Arial"/>
          <w:b/>
          <w:color w:val="081827"/>
          <w:sz w:val="21"/>
        </w:rPr>
        <w:t>T — Target output contract</w:t>
      </w:r>
    </w:p>
    <w:tbl>
      <w:tblPr>
        <w:tblW w:type="auto" w:w="0"/>
        <w:jc w:val="center"/>
        <w:tblLayout w:type="fixed"/>
        <w:tblLook w:firstColumn="1" w:firstRow="1" w:lastColumn="0" w:lastRow="0" w:noHBand="0" w:noVBand="1" w:val="04A0"/>
      </w:tblPr>
      <w:tblGrid>
        <w:gridCol w:w="9720"/>
      </w:tblGrid>
      <w:tr>
        <w:tc>
          <w:tcPr>
            <w:tcW w:type="dxa" w:w="10166"/>
            <w:shd w:fill="F5F7FA"/>
            <w:tcMar>
              <w:top w:w="120" w:type="dxa"/>
              <w:start w:w="150" w:type="dxa"/>
              <w:bottom w:w="120" w:type="dxa"/>
              <w:end w:w="150" w:type="dxa"/>
            </w:tcMar>
            <w:tcBorders>
              <w:top w:val="single" w:sz="6" w:color="D0D5DD"/>
              <w:start w:val="single" w:sz="6" w:color="D0D5DD"/>
              <w:bottom w:val="single" w:sz="6" w:color="D0D5DD"/>
              <w:end w:val="single" w:sz="6" w:color="D0D5DD"/>
            </w:tcBorders>
          </w:tcPr>
          <w:p>
            <w:pPr>
              <w:keepNext w:val="0"/>
              <w:spacing w:before="0" w:after="0" w:line="252" w:lineRule="auto"/>
            </w:pPr>
            <w:r>
              <w:rPr>
                <w:rFonts w:ascii="DejaVu Sans Mono" w:hAnsi="DejaVu Sans Mono"/>
                <w:color w:val="17202A"/>
                <w:sz w:val="16"/>
              </w:rPr>
              <w:t>Return exactly:</w:t>
            </w:r>
            <w:r>
              <w:br/>
            </w:r>
            <w:r>
              <w:rPr>
                <w:rFonts w:ascii="DejaVu Sans Mono" w:hAnsi="DejaVu Sans Mono"/>
                <w:color w:val="17202A"/>
                <w:sz w:val="16"/>
              </w:rPr>
              <w:t>1. Executive decision — 5 sentences maximum.</w:t>
            </w:r>
            <w:r>
              <w:br/>
            </w:r>
            <w:r>
              <w:rPr>
                <w:rFonts w:ascii="DejaVu Sans Mono" w:hAnsi="DejaVu Sans Mono"/>
                <w:color w:val="17202A"/>
                <w:sz w:val="16"/>
              </w:rPr>
              <w:t>2. Findings — severity order; maximum 10; evidence required.</w:t>
            </w:r>
            <w:r>
              <w:br/>
            </w:r>
            <w:r>
              <w:rPr>
                <w:rFonts w:ascii="DejaVu Sans Mono" w:hAnsi="DejaVu Sans Mono"/>
                <w:color w:val="17202A"/>
                <w:sz w:val="16"/>
              </w:rPr>
              <w:t>3. Recommended action — owner, sequence, dependencies, rollback.</w:t>
            </w:r>
            <w:r>
              <w:br/>
            </w:r>
            <w:r>
              <w:rPr>
                <w:rFonts w:ascii="DejaVu Sans Mono" w:hAnsi="DejaVu Sans Mono"/>
                <w:color w:val="17202A"/>
                <w:sz w:val="16"/>
              </w:rPr>
              <w:t>4. Validation performed — tests, checks, and results.</w:t>
            </w:r>
            <w:r>
              <w:br/>
            </w:r>
            <w:r>
              <w:rPr>
                <w:rFonts w:ascii="DejaVu Sans Mono" w:hAnsi="DejaVu Sans Mono"/>
                <w:color w:val="17202A"/>
                <w:sz w:val="16"/>
              </w:rPr>
              <w:t>5. Open risks — assumptions, missing evidence, residual risk.</w:t>
            </w:r>
            <w:r>
              <w:br/>
            </w:r>
            <w:r>
              <w:rPr>
                <w:rFonts w:ascii="DejaVu Sans Mono" w:hAnsi="DejaVu Sans Mono"/>
                <w:color w:val="17202A"/>
                <w:sz w:val="16"/>
              </w:rPr>
              <w:t>Format: Markdown plus [requested artifact file].</w:t>
            </w:r>
            <w:r>
              <w:br/>
            </w:r>
            <w:r>
              <w:rPr>
                <w:rFonts w:ascii="DejaVu Sans Mono" w:hAnsi="DejaVu Sans Mono"/>
                <w:color w:val="17202A"/>
                <w:sz w:val="16"/>
              </w:rPr>
              <w:t>Do not include generic praise, hidden-reasoning requests, or unsupported certainty.</w:t>
            </w:r>
          </w:p>
        </w:tc>
      </w:tr>
    </w:tbl>
    <w:p>
      <w:pPr>
        <w:spacing w:after="20"/>
      </w:pPr>
    </w:p>
    <w:tbl>
      <w:tblPr>
        <w:tblW w:type="auto" w:w="0"/>
        <w:jc w:val="center"/>
        <w:tblLayout w:type="fixed"/>
        <w:tblLook w:firstColumn="1" w:firstRow="1" w:lastColumn="0" w:lastRow="0" w:noHBand="0" w:noVBand="1" w:val="04A0"/>
      </w:tblPr>
      <w:tblGrid>
        <w:gridCol w:w="115"/>
        <w:gridCol w:w="9792"/>
      </w:tblGrid>
      <w:tr>
        <w:tc>
          <w:tcPr>
            <w:tcW w:type="dxa" w:w="5083"/>
            <w:shd w:fill="1473E6"/>
            <w:tcMar>
              <w:top w:w="60" w:type="dxa"/>
              <w:start w:w="0" w:type="dxa"/>
              <w:bottom w:w="60" w:type="dxa"/>
              <w:end w:w="0" w:type="dxa"/>
            </w:tcMar>
            <w:vAlign w:val="center"/>
          </w:tcPr>
          <w:p/>
        </w:tc>
        <w:tc>
          <w:tcPr>
            <w:tcW w:type="dxa" w:w="5083"/>
            <w:shd w:fill="EAF3FF"/>
            <w:tcMar>
              <w:top w:w="110" w:type="dxa"/>
              <w:start w:w="150" w:type="dxa"/>
              <w:bottom w:w="110" w:type="dxa"/>
              <w:end w:w="150" w:type="dxa"/>
            </w:tcMar>
          </w:tcPr>
          <w:p>
            <w:pPr>
              <w:keepNext/>
              <w:spacing w:before="0" w:after="40" w:line="240" w:lineRule="auto"/>
            </w:pPr>
            <w:r>
              <w:rPr>
                <w:rFonts w:ascii="Arial" w:hAnsi="Arial"/>
                <w:b/>
                <w:color w:val="1473E6"/>
                <w:sz w:val="14"/>
              </w:rPr>
              <w:t>OUTPUT DISCIPLINE</w:t>
            </w:r>
          </w:p>
          <w:p>
            <w:pPr>
              <w:keepNext w:val="0"/>
              <w:spacing w:before="0" w:after="0" w:line="259" w:lineRule="auto"/>
            </w:pPr>
            <w:r>
              <w:rPr>
                <w:rFonts w:ascii="Arial" w:hAnsi="Arial"/>
                <w:color w:val="17202A"/>
                <w:sz w:val="18"/>
              </w:rPr>
              <w:t>The output contract controls what the user receives; it should not micromanage private reasoning. Ask for conclusions, evidence, assumptions, tests, and unresolved risks.</w:t>
            </w:r>
          </w:p>
        </w:tc>
      </w:tr>
    </w:tbl>
    <w:p>
      <w:pPr>
        <w:spacing w:after="20"/>
      </w:pPr>
    </w:p>
    <w:p>
      <w:r>
        <w:br w:type="page"/>
      </w:r>
    </w:p>
    <w:p>
      <w:pPr>
        <w:keepNext/>
        <w:spacing w:before="0" w:after="40" w:line="259" w:lineRule="auto"/>
      </w:pPr>
      <w:r>
        <w:rPr>
          <w:rFonts w:ascii="Arial" w:hAnsi="Arial"/>
          <w:b/>
          <w:i w:val="0"/>
          <w:color w:val="1473E6"/>
          <w:sz w:val="14"/>
        </w:rPr>
        <w:t>PROMPT CONTROL</w:t>
      </w:r>
    </w:p>
    <w:p>
      <w:pPr>
        <w:keepNext/>
        <w:spacing w:before="0" w:after="80" w:line="240" w:lineRule="auto"/>
      </w:pPr>
      <w:r>
        <w:rPr>
          <w:rFonts w:ascii="Arial" w:hAnsi="Arial"/>
          <w:b/>
          <w:color w:val="1473E6"/>
          <w:sz w:val="31"/>
        </w:rPr>
        <w:t xml:space="preserve">11  </w:t>
      </w:r>
      <w:r>
        <w:rPr>
          <w:rFonts w:ascii="Arial" w:hAnsi="Arial"/>
          <w:b/>
          <w:color w:val="081827"/>
          <w:sz w:val="31"/>
        </w:rPr>
        <w:t>Three prompt-depth tiers</w:t>
      </w:r>
    </w:p>
    <w:p>
      <w:pPr>
        <w:keepNext w:val="0"/>
        <w:spacing w:before="0" w:after="100" w:line="240" w:lineRule="auto"/>
        <w:pBdr>
          <w:bottom w:val="single" w:sz="6" w:space="1" w:color="E4E7EC"/>
        </w:pBdr>
      </w:pPr>
    </w:p>
    <w:tbl>
      <w:tblPr>
        <w:tblW w:type="auto" w:w="0"/>
        <w:jc w:val="center"/>
        <w:tblLayout w:type="fixed"/>
        <w:tblLook w:firstColumn="1" w:firstRow="1" w:lastColumn="0" w:lastRow="0" w:noHBand="0" w:noVBand="1" w:val="04A0"/>
      </w:tblPr>
      <w:tblGrid>
        <w:gridCol w:w="1728"/>
        <w:gridCol w:w="3024"/>
        <w:gridCol w:w="2952"/>
        <w:gridCol w:w="2376"/>
      </w:tblGrid>
      <w:tr>
        <w:trPr>
          <w:tblHeader w:val="true"/>
        </w:trPr>
        <w:tc>
          <w:tcPr>
            <w:tcW w:type="dxa" w:w="2541"/>
            <w:shd w:fill="081827"/>
            <w:tcMar>
              <w:top w:w="90" w:type="dxa"/>
              <w:start w:w="90" w:type="dxa"/>
              <w:bottom w:w="90" w:type="dxa"/>
              <w:end w:w="90" w:type="dxa"/>
            </w:tcMar>
            <w:vAlign w:val="center"/>
          </w:tcPr>
          <w:p>
            <w:pPr>
              <w:keepNext w:val="0"/>
              <w:spacing w:before="0" w:after="0" w:line="240" w:lineRule="auto"/>
              <w:jc w:val="center"/>
            </w:pPr>
            <w:r>
              <w:rPr>
                <w:rFonts w:ascii="Arial" w:hAnsi="Arial"/>
                <w:b/>
                <w:color w:val="FFFFFF"/>
                <w:sz w:val="15"/>
              </w:rPr>
              <w:t>Tier</w:t>
            </w:r>
          </w:p>
        </w:tc>
        <w:tc>
          <w:tcPr>
            <w:tcW w:type="dxa" w:w="2541"/>
            <w:shd w:fill="081827"/>
            <w:tcMar>
              <w:top w:w="90" w:type="dxa"/>
              <w:start w:w="90" w:type="dxa"/>
              <w:bottom w:w="90" w:type="dxa"/>
              <w:end w:w="90" w:type="dxa"/>
            </w:tcMar>
            <w:vAlign w:val="center"/>
          </w:tcPr>
          <w:p>
            <w:pPr>
              <w:keepNext w:val="0"/>
              <w:spacing w:before="0" w:after="0" w:line="240" w:lineRule="auto"/>
              <w:jc w:val="center"/>
            </w:pPr>
            <w:r>
              <w:rPr>
                <w:rFonts w:ascii="Arial" w:hAnsi="Arial"/>
                <w:b/>
                <w:color w:val="FFFFFF"/>
                <w:sz w:val="15"/>
              </w:rPr>
              <w:t>Best use</w:t>
            </w:r>
          </w:p>
        </w:tc>
        <w:tc>
          <w:tcPr>
            <w:tcW w:type="dxa" w:w="2541"/>
            <w:shd w:fill="081827"/>
            <w:tcMar>
              <w:top w:w="90" w:type="dxa"/>
              <w:start w:w="90" w:type="dxa"/>
              <w:bottom w:w="90" w:type="dxa"/>
              <w:end w:w="90" w:type="dxa"/>
            </w:tcMar>
            <w:vAlign w:val="center"/>
          </w:tcPr>
          <w:p>
            <w:pPr>
              <w:keepNext w:val="0"/>
              <w:spacing w:before="0" w:after="0" w:line="240" w:lineRule="auto"/>
              <w:jc w:val="center"/>
            </w:pPr>
            <w:r>
              <w:rPr>
                <w:rFonts w:ascii="Arial" w:hAnsi="Arial"/>
                <w:b/>
                <w:color w:val="FFFFFF"/>
                <w:sz w:val="15"/>
              </w:rPr>
              <w:t>Typical structure</w:t>
            </w:r>
          </w:p>
        </w:tc>
        <w:tc>
          <w:tcPr>
            <w:tcW w:type="dxa" w:w="2541"/>
            <w:shd w:fill="081827"/>
            <w:tcMar>
              <w:top w:w="90" w:type="dxa"/>
              <w:start w:w="90" w:type="dxa"/>
              <w:bottom w:w="90" w:type="dxa"/>
              <w:end w:w="90" w:type="dxa"/>
            </w:tcMar>
            <w:vAlign w:val="center"/>
          </w:tcPr>
          <w:p>
            <w:pPr>
              <w:keepNext w:val="0"/>
              <w:spacing w:before="0" w:after="0" w:line="240" w:lineRule="auto"/>
              <w:jc w:val="center"/>
            </w:pPr>
            <w:r>
              <w:rPr>
                <w:rFonts w:ascii="Arial" w:hAnsi="Arial"/>
                <w:b/>
                <w:color w:val="FFFFFF"/>
                <w:sz w:val="15"/>
              </w:rPr>
              <w:t>Configuration guidance</w:t>
            </w:r>
          </w:p>
        </w:tc>
      </w:tr>
      <w:tr>
        <w:tc>
          <w:tcPr>
            <w:tcW w:type="dxa" w:w="1728"/>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1 — Executive Compact</w:t>
            </w:r>
          </w:p>
        </w:tc>
        <w:tc>
          <w:tcPr>
            <w:tcW w:type="dxa" w:w="3024"/>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Experienced operator; stable context; low ambiguity</w:t>
            </w:r>
          </w:p>
        </w:tc>
        <w:tc>
          <w:tcPr>
            <w:tcW w:type="dxa" w:w="2952"/>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Six compact DIRECT lines</w:t>
            </w:r>
          </w:p>
        </w:tc>
        <w:tc>
          <w:tcPr>
            <w:tcW w:type="dxa" w:w="2376"/>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Medium or High; evaluate lower effort for repeat use.</w:t>
            </w:r>
          </w:p>
        </w:tc>
      </w:tr>
      <w:tr>
        <w:tc>
          <w:tcPr>
            <w:tcW w:type="dxa" w:w="1728"/>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2 — Production High</w:t>
            </w:r>
          </w:p>
        </w:tc>
        <w:tc>
          <w:tcPr>
            <w:tcW w:type="dxa" w:w="3024"/>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Complex professional task; files/tools; measurable output</w:t>
            </w:r>
          </w:p>
        </w:tc>
        <w:tc>
          <w:tcPr>
            <w:tcW w:type="dxa" w:w="2952"/>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Full DIRECT with priorities and validation</w:t>
            </w:r>
          </w:p>
        </w:tc>
        <w:tc>
          <w:tcPr>
            <w:tcW w:type="dxa" w:w="2376"/>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High starting point; Extra High/xhigh only if benchmarked.</w:t>
            </w:r>
          </w:p>
        </w:tc>
      </w:tr>
      <w:tr>
        <w:tc>
          <w:tcPr>
            <w:tcW w:type="dxa" w:w="1728"/>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3 — Audit-Grade</w:t>
            </w:r>
          </w:p>
        </w:tc>
        <w:tc>
          <w:tcPr>
            <w:tcW w:type="dxa" w:w="3024"/>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Quality-critical decision; release gate; regulated or security-sensitive work</w:t>
            </w:r>
          </w:p>
        </w:tc>
        <w:tc>
          <w:tcPr>
            <w:tcW w:type="dxa" w:w="2952"/>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DIRECT plus provenance, assumptions, risks, tests, rollback, traceability</w:t>
            </w:r>
          </w:p>
        </w:tc>
        <w:tc>
          <w:tcPr>
            <w:tcW w:type="dxa" w:w="2376"/>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Pro-eligible; compare standard/pro and xhigh/max on representative tasks.</w:t>
            </w:r>
          </w:p>
        </w:tc>
      </w:tr>
    </w:tbl>
    <w:p>
      <w:pPr>
        <w:spacing w:after="20"/>
      </w:pPr>
    </w:p>
    <w:p>
      <w:pPr>
        <w:keepNext/>
        <w:spacing w:before="100" w:after="60" w:line="240" w:lineRule="auto"/>
      </w:pPr>
      <w:r>
        <w:rPr>
          <w:rFonts w:ascii="Arial" w:hAnsi="Arial"/>
          <w:b/>
          <w:color w:val="081827"/>
          <w:sz w:val="21"/>
        </w:rPr>
        <w:t>Tier selection</w:t>
      </w:r>
    </w:p>
    <w:p>
      <w:pPr>
        <w:pStyle w:val="ListBullet"/>
        <w:keepNext w:val="0"/>
        <w:spacing w:before="0" w:after="48" w:line="254" w:lineRule="auto"/>
        <w:ind w:left="259" w:hanging="173"/>
      </w:pPr>
      <w:r>
        <w:rPr>
          <w:rFonts w:ascii="Arial" w:hAnsi="Arial"/>
          <w:color w:val="17202A"/>
          <w:sz w:val="18"/>
        </w:rPr>
        <w:t>Use the shortest tier that preserves all material controls.</w:t>
      </w:r>
    </w:p>
    <w:p>
      <w:pPr>
        <w:pStyle w:val="ListBullet"/>
        <w:keepNext w:val="0"/>
        <w:spacing w:before="0" w:after="48" w:line="254" w:lineRule="auto"/>
        <w:ind w:left="259" w:hanging="173"/>
      </w:pPr>
      <w:r>
        <w:rPr>
          <w:rFonts w:ascii="Arial" w:hAnsi="Arial"/>
          <w:color w:val="17202A"/>
          <w:sz w:val="18"/>
        </w:rPr>
        <w:t>Escalate prompt depth when ambiguity, evidence complexity, action risk, or validation burden increases.</w:t>
      </w:r>
    </w:p>
    <w:p>
      <w:pPr>
        <w:pStyle w:val="ListBullet"/>
        <w:keepNext w:val="0"/>
        <w:spacing w:before="0" w:after="48" w:line="254" w:lineRule="auto"/>
        <w:ind w:left="259" w:hanging="173"/>
      </w:pPr>
      <w:r>
        <w:rPr>
          <w:rFonts w:ascii="Arial" w:hAnsi="Arial"/>
          <w:color w:val="17202A"/>
          <w:sz w:val="18"/>
        </w:rPr>
        <w:t>Do not confuse a long prompt with a difficult task; configuration and prompt length are independent.</w:t>
      </w:r>
    </w:p>
    <w:p>
      <w:pPr>
        <w:pStyle w:val="ListBullet"/>
        <w:keepNext w:val="0"/>
        <w:spacing w:before="0" w:after="48" w:line="254" w:lineRule="auto"/>
        <w:ind w:left="259" w:hanging="173"/>
      </w:pPr>
      <w:r>
        <w:rPr>
          <w:rFonts w:ascii="Arial" w:hAnsi="Arial"/>
          <w:color w:val="17202A"/>
          <w:sz w:val="18"/>
        </w:rPr>
        <w:t>Stable instructions belong in a Skill or project brief; task prompts should reference them rather than repeat them.</w:t>
      </w:r>
    </w:p>
    <w:p>
      <w:pPr>
        <w:pStyle w:val="ListBullet"/>
        <w:keepNext w:val="0"/>
        <w:spacing w:before="0" w:after="48" w:line="254" w:lineRule="auto"/>
        <w:ind w:left="259" w:hanging="173"/>
      </w:pPr>
      <w:r>
        <w:rPr>
          <w:rFonts w:ascii="Arial" w:hAnsi="Arial"/>
          <w:color w:val="17202A"/>
          <w:sz w:val="18"/>
        </w:rPr>
        <w:t>Audit-Grade is a prompt architecture. It does not automatically require ChatGPT Pro or API pro mode.</w:t>
      </w:r>
    </w:p>
    <w:tbl>
      <w:tblPr>
        <w:tblW w:type="auto" w:w="0"/>
        <w:jc w:val="center"/>
        <w:tblLayout w:type="fixed"/>
        <w:tblLook w:firstColumn="1" w:firstRow="1" w:lastColumn="0" w:lastRow="0" w:noHBand="0" w:noVBand="1" w:val="04A0"/>
      </w:tblPr>
      <w:tblGrid>
        <w:gridCol w:w="115"/>
        <w:gridCol w:w="9792"/>
      </w:tblGrid>
      <w:tr>
        <w:tc>
          <w:tcPr>
            <w:tcW w:type="dxa" w:w="5083"/>
            <w:shd w:fill="14833B"/>
            <w:tcMar>
              <w:top w:w="60" w:type="dxa"/>
              <w:start w:w="0" w:type="dxa"/>
              <w:bottom w:w="60" w:type="dxa"/>
              <w:end w:w="0" w:type="dxa"/>
            </w:tcMar>
            <w:vAlign w:val="center"/>
          </w:tcPr>
          <w:p/>
        </w:tc>
        <w:tc>
          <w:tcPr>
            <w:tcW w:type="dxa" w:w="5083"/>
            <w:shd w:fill="EAF8EF"/>
            <w:tcMar>
              <w:top w:w="110" w:type="dxa"/>
              <w:start w:w="150" w:type="dxa"/>
              <w:bottom w:w="110" w:type="dxa"/>
              <w:end w:w="150" w:type="dxa"/>
            </w:tcMar>
          </w:tcPr>
          <w:p>
            <w:pPr>
              <w:keepNext/>
              <w:spacing w:before="0" w:after="40" w:line="240" w:lineRule="auto"/>
            </w:pPr>
            <w:r>
              <w:rPr>
                <w:rFonts w:ascii="Arial" w:hAnsi="Arial"/>
                <w:b/>
                <w:color w:val="14833B"/>
                <w:sz w:val="14"/>
              </w:rPr>
              <w:t>TOKEN-CONSERVATIVE RULE</w:t>
            </w:r>
          </w:p>
          <w:p>
            <w:pPr>
              <w:keepNext w:val="0"/>
              <w:spacing w:before="0" w:after="0" w:line="259" w:lineRule="auto"/>
            </w:pPr>
            <w:r>
              <w:rPr>
                <w:rFonts w:ascii="Arial" w:hAnsi="Arial"/>
                <w:color w:val="17202A"/>
                <w:sz w:val="18"/>
              </w:rPr>
              <w:t>A production prompt should be concise enough to audit. Repetition, decorative role language, generic warnings, and unused background consume context without improving control.</w:t>
            </w:r>
          </w:p>
        </w:tc>
      </w:tr>
    </w:tbl>
    <w:p>
      <w:pPr>
        <w:spacing w:after="20"/>
      </w:pPr>
    </w:p>
    <w:p>
      <w:r>
        <w:br w:type="page"/>
      </w:r>
    </w:p>
    <w:p>
      <w:pPr>
        <w:keepNext/>
        <w:spacing w:before="0" w:after="40" w:line="259" w:lineRule="auto"/>
      </w:pPr>
      <w:r>
        <w:rPr>
          <w:rFonts w:ascii="Arial" w:hAnsi="Arial"/>
          <w:b/>
          <w:i w:val="0"/>
          <w:color w:val="1473E6"/>
          <w:sz w:val="14"/>
        </w:rPr>
        <w:t>PROMPT TEMPLATE</w:t>
      </w:r>
    </w:p>
    <w:p>
      <w:pPr>
        <w:keepNext/>
        <w:spacing w:before="0" w:after="80" w:line="240" w:lineRule="auto"/>
      </w:pPr>
      <w:r>
        <w:rPr>
          <w:rFonts w:ascii="Arial" w:hAnsi="Arial"/>
          <w:b/>
          <w:color w:val="1473E6"/>
          <w:sz w:val="31"/>
        </w:rPr>
        <w:t xml:space="preserve">12  </w:t>
      </w:r>
      <w:r>
        <w:rPr>
          <w:rFonts w:ascii="Arial" w:hAnsi="Arial"/>
          <w:b/>
          <w:color w:val="081827"/>
          <w:sz w:val="31"/>
        </w:rPr>
        <w:t>Tier 1 — Executive Compact</w:t>
      </w:r>
    </w:p>
    <w:p>
      <w:pPr>
        <w:keepNext w:val="0"/>
        <w:spacing w:before="0" w:after="100" w:line="240" w:lineRule="auto"/>
        <w:pBdr>
          <w:bottom w:val="single" w:sz="6" w:space="1" w:color="E4E7EC"/>
        </w:pBdr>
      </w:pPr>
    </w:p>
    <w:p>
      <w:pPr>
        <w:keepNext w:val="0"/>
        <w:spacing w:before="0" w:after="100" w:line="259" w:lineRule="auto"/>
      </w:pPr>
      <w:r>
        <w:rPr>
          <w:rFonts w:ascii="Arial" w:hAnsi="Arial"/>
          <w:b w:val="0"/>
          <w:i w:val="0"/>
          <w:color w:val="17202A"/>
          <w:sz w:val="18"/>
        </w:rPr>
        <w:t>Use when the operator already has the necessary context and the task can be fully controlled in a compact form.</w:t>
      </w:r>
    </w:p>
    <w:tbl>
      <w:tblPr>
        <w:tblW w:type="auto" w:w="0"/>
        <w:jc w:val="center"/>
        <w:tblLayout w:type="fixed"/>
        <w:tblLook w:firstColumn="1" w:firstRow="1" w:lastColumn="0" w:lastRow="0" w:noHBand="0" w:noVBand="1" w:val="04A0"/>
      </w:tblPr>
      <w:tblGrid>
        <w:gridCol w:w="9720"/>
      </w:tblGrid>
      <w:tr>
        <w:tc>
          <w:tcPr>
            <w:tcW w:type="dxa" w:w="10166"/>
            <w:shd w:fill="F5F7FA"/>
            <w:tcMar>
              <w:top w:w="120" w:type="dxa"/>
              <w:start w:w="150" w:type="dxa"/>
              <w:bottom w:w="120" w:type="dxa"/>
              <w:end w:w="150" w:type="dxa"/>
            </w:tcMar>
            <w:tcBorders>
              <w:top w:val="single" w:sz="6" w:color="D0D5DD"/>
              <w:start w:val="single" w:sz="6" w:color="D0D5DD"/>
              <w:bottom w:val="single" w:sz="6" w:color="D0D5DD"/>
              <w:end w:val="single" w:sz="6" w:color="D0D5DD"/>
            </w:tcBorders>
          </w:tcPr>
          <w:p>
            <w:pPr>
              <w:keepNext w:val="0"/>
              <w:spacing w:before="0" w:after="0" w:line="252" w:lineRule="auto"/>
            </w:pPr>
            <w:r>
              <w:rPr>
                <w:rFonts w:ascii="DejaVu Sans Mono" w:hAnsi="DejaVu Sans Mono"/>
                <w:color w:val="17202A"/>
                <w:sz w:val="16"/>
              </w:rPr>
              <w:t>Act as the accountable [role].</w:t>
            </w:r>
            <w:r>
              <w:br/>
            </w:r>
            <w:r>
              <w:rPr>
                <w:rFonts w:ascii="DejaVu Sans Mono" w:hAnsi="DejaVu Sans Mono"/>
                <w:color w:val="17202A"/>
                <w:sz w:val="16"/>
              </w:rPr>
            </w:r>
            <w:r>
              <w:br/>
            </w:r>
            <w:r>
              <w:rPr>
                <w:rFonts w:ascii="DejaVu Sans Mono" w:hAnsi="DejaVu Sans Mono"/>
                <w:color w:val="17202A"/>
                <w:sz w:val="16"/>
              </w:rPr>
              <w:t>D — Objective: [observable decision or artifact].</w:t>
            </w:r>
            <w:r>
              <w:br/>
            </w:r>
            <w:r>
              <w:rPr>
                <w:rFonts w:ascii="DejaVu Sans Mono" w:hAnsi="DejaVu Sans Mono"/>
                <w:color w:val="17202A"/>
                <w:sz w:val="16"/>
              </w:rPr>
              <w:t>I — Evidence: Use [inputs]. Treat [source] as authoritative. State material gaps.</w:t>
            </w:r>
            <w:r>
              <w:br/>
            </w:r>
            <w:r>
              <w:rPr>
                <w:rFonts w:ascii="DejaVu Sans Mono" w:hAnsi="DejaVu Sans Mono"/>
                <w:color w:val="17202A"/>
                <w:sz w:val="16"/>
              </w:rPr>
              <w:t>R — Lenses: Apply [specialist lenses] in this priority order: [order].</w:t>
            </w:r>
            <w:r>
              <w:br/>
            </w:r>
            <w:r>
              <w:rPr>
                <w:rFonts w:ascii="DejaVu Sans Mono" w:hAnsi="DejaVu Sans Mono"/>
                <w:color w:val="17202A"/>
                <w:sz w:val="16"/>
              </w:rPr>
              <w:t>E — Boundaries: Stay within [scope]. Do not [prohibited actions]. Confirm before [gated actions].</w:t>
            </w:r>
            <w:r>
              <w:br/>
            </w:r>
            <w:r>
              <w:rPr>
                <w:rFonts w:ascii="DejaVu Sans Mono" w:hAnsi="DejaVu Sans Mono"/>
                <w:color w:val="17202A"/>
                <w:sz w:val="16"/>
              </w:rPr>
              <w:t>C — Complete when: [tests, evidence, acceptance threshold].</w:t>
            </w:r>
            <w:r>
              <w:br/>
            </w:r>
            <w:r>
              <w:rPr>
                <w:rFonts w:ascii="DejaVu Sans Mono" w:hAnsi="DejaVu Sans Mono"/>
                <w:color w:val="17202A"/>
                <w:sz w:val="16"/>
              </w:rPr>
              <w:t>T — Return: [exact sections, schema, length, order, and file type].</w:t>
            </w:r>
          </w:p>
        </w:tc>
      </w:tr>
    </w:tbl>
    <w:p>
      <w:pPr>
        <w:spacing w:after="20"/>
      </w:pPr>
    </w:p>
    <w:p>
      <w:pPr>
        <w:keepNext/>
        <w:spacing w:before="100" w:after="60" w:line="240" w:lineRule="auto"/>
      </w:pPr>
      <w:r>
        <w:rPr>
          <w:rFonts w:ascii="Arial" w:hAnsi="Arial"/>
          <w:b/>
          <w:color w:val="081827"/>
          <w:sz w:val="21"/>
        </w:rPr>
        <w:t>Example: architecture decision</w:t>
      </w:r>
    </w:p>
    <w:tbl>
      <w:tblPr>
        <w:tblW w:type="auto" w:w="0"/>
        <w:jc w:val="center"/>
        <w:tblLayout w:type="fixed"/>
        <w:tblLook w:firstColumn="1" w:firstRow="1" w:lastColumn="0" w:lastRow="0" w:noHBand="0" w:noVBand="1" w:val="04A0"/>
      </w:tblPr>
      <w:tblGrid>
        <w:gridCol w:w="9720"/>
      </w:tblGrid>
      <w:tr>
        <w:tc>
          <w:tcPr>
            <w:tcW w:type="dxa" w:w="10166"/>
            <w:shd w:fill="F8FAFC"/>
            <w:tcMar>
              <w:top w:w="120" w:type="dxa"/>
              <w:start w:w="150" w:type="dxa"/>
              <w:bottom w:w="120" w:type="dxa"/>
              <w:end w:w="150" w:type="dxa"/>
            </w:tcMar>
            <w:tcBorders>
              <w:top w:val="single" w:sz="6" w:color="D0D5DD"/>
              <w:start w:val="single" w:sz="6" w:color="D0D5DD"/>
              <w:bottom w:val="single" w:sz="6" w:color="D0D5DD"/>
              <w:end w:val="single" w:sz="6" w:color="D0D5DD"/>
            </w:tcBorders>
          </w:tcPr>
          <w:p>
            <w:pPr>
              <w:keepNext w:val="0"/>
              <w:spacing w:before="0" w:after="0" w:line="252" w:lineRule="auto"/>
            </w:pPr>
            <w:r>
              <w:rPr>
                <w:rFonts w:ascii="DejaVu Sans Mono" w:hAnsi="DejaVu Sans Mono"/>
                <w:color w:val="17202A"/>
                <w:sz w:val="15"/>
              </w:rPr>
              <w:t>Act as the accountable solution architect.</w:t>
            </w:r>
            <w:r>
              <w:br/>
            </w:r>
            <w:r>
              <w:rPr>
                <w:rFonts w:ascii="DejaVu Sans Mono" w:hAnsi="DejaVu Sans Mono"/>
                <w:color w:val="17202A"/>
                <w:sz w:val="15"/>
              </w:rPr>
            </w:r>
            <w:r>
              <w:br/>
            </w:r>
            <w:r>
              <w:rPr>
                <w:rFonts w:ascii="DejaVu Sans Mono" w:hAnsi="DejaVu Sans Mono"/>
                <w:color w:val="17202A"/>
                <w:sz w:val="15"/>
              </w:rPr>
              <w:t>D — Objective: Decide whether the supplied webhook workflow should remain synchronous or move to an event queue.</w:t>
            </w:r>
            <w:r>
              <w:br/>
            </w:r>
            <w:r>
              <w:rPr>
                <w:rFonts w:ascii="DejaVu Sans Mono" w:hAnsi="DejaVu Sans Mono"/>
                <w:color w:val="17202A"/>
                <w:sz w:val="15"/>
              </w:rPr>
              <w:t>I — Evidence: Use the architecture diagram, failure logs, throughput data, and current provider documentation. State missing measurements.</w:t>
            </w:r>
            <w:r>
              <w:br/>
            </w:r>
            <w:r>
              <w:rPr>
                <w:rFonts w:ascii="DejaVu Sans Mono" w:hAnsi="DejaVu Sans Mono"/>
                <w:color w:val="17202A"/>
                <w:sz w:val="15"/>
              </w:rPr>
              <w:t>R — Lenses: Data integrity &gt; reliability &gt; operability &gt; cost.</w:t>
            </w:r>
            <w:r>
              <w:br/>
            </w:r>
            <w:r>
              <w:rPr>
                <w:rFonts w:ascii="DejaVu Sans Mono" w:hAnsi="DejaVu Sans Mono"/>
                <w:color w:val="17202A"/>
                <w:sz w:val="15"/>
              </w:rPr>
              <w:t>E — Boundaries: Do not change production or invent provider guarantees.</w:t>
            </w:r>
            <w:r>
              <w:br/>
            </w:r>
            <w:r>
              <w:rPr>
                <w:rFonts w:ascii="DejaVu Sans Mono" w:hAnsi="DejaVu Sans Mono"/>
                <w:color w:val="17202A"/>
                <w:sz w:val="15"/>
              </w:rPr>
              <w:t>C — Complete when: The recommendation addresses idempotency, retries, ordering, dead letters, observability, migration, and rollback.</w:t>
            </w:r>
            <w:r>
              <w:br/>
            </w:r>
            <w:r>
              <w:rPr>
                <w:rFonts w:ascii="DejaVu Sans Mono" w:hAnsi="DejaVu Sans Mono"/>
                <w:color w:val="17202A"/>
                <w:sz w:val="15"/>
              </w:rPr>
              <w:t>T — Return: One-page decision memo plus an ADR in Markdown.</w:t>
            </w:r>
          </w:p>
        </w:tc>
      </w:tr>
    </w:tbl>
    <w:p>
      <w:pPr>
        <w:spacing w:after="20"/>
      </w:pPr>
    </w:p>
    <w:tbl>
      <w:tblPr>
        <w:tblW w:type="auto" w:w="0"/>
        <w:jc w:val="center"/>
        <w:tblLayout w:type="fixed"/>
        <w:tblLook w:firstColumn="1" w:firstRow="1" w:lastColumn="0" w:lastRow="0" w:noHBand="0" w:noVBand="1" w:val="04A0"/>
      </w:tblPr>
      <w:tblGrid>
        <w:gridCol w:w="115"/>
        <w:gridCol w:w="9792"/>
      </w:tblGrid>
      <w:tr>
        <w:tc>
          <w:tcPr>
            <w:tcW w:type="dxa" w:w="5083"/>
            <w:shd w:fill="1473E6"/>
            <w:tcMar>
              <w:top w:w="60" w:type="dxa"/>
              <w:start w:w="0" w:type="dxa"/>
              <w:bottom w:w="60" w:type="dxa"/>
              <w:end w:w="0" w:type="dxa"/>
            </w:tcMar>
            <w:vAlign w:val="center"/>
          </w:tcPr>
          <w:p/>
        </w:tc>
        <w:tc>
          <w:tcPr>
            <w:tcW w:type="dxa" w:w="5083"/>
            <w:shd w:fill="EAF3FF"/>
            <w:tcMar>
              <w:top w:w="110" w:type="dxa"/>
              <w:start w:w="150" w:type="dxa"/>
              <w:bottom w:w="110" w:type="dxa"/>
              <w:end w:w="150" w:type="dxa"/>
            </w:tcMar>
          </w:tcPr>
          <w:p>
            <w:pPr>
              <w:keepNext/>
              <w:spacing w:before="0" w:after="40" w:line="240" w:lineRule="auto"/>
            </w:pPr>
            <w:r>
              <w:rPr>
                <w:rFonts w:ascii="Arial" w:hAnsi="Arial"/>
                <w:b/>
                <w:color w:val="1473E6"/>
                <w:sz w:val="14"/>
              </w:rPr>
              <w:t>COMPACT DOES NOT MEAN VAGUE</w:t>
            </w:r>
          </w:p>
          <w:p>
            <w:pPr>
              <w:keepNext w:val="0"/>
              <w:spacing w:before="0" w:after="0" w:line="259" w:lineRule="auto"/>
            </w:pPr>
            <w:r>
              <w:rPr>
                <w:rFonts w:ascii="Arial" w:hAnsi="Arial"/>
                <w:color w:val="17202A"/>
                <w:sz w:val="18"/>
              </w:rPr>
              <w:t>Every line does control work. Remove any line only when the rule is safely inherited from a stable context layer.</w:t>
            </w:r>
          </w:p>
        </w:tc>
      </w:tr>
    </w:tbl>
    <w:p>
      <w:pPr>
        <w:spacing w:after="20"/>
      </w:pPr>
    </w:p>
    <w:p>
      <w:r>
        <w:br w:type="page"/>
      </w:r>
    </w:p>
    <w:p>
      <w:pPr>
        <w:keepNext/>
        <w:spacing w:before="0" w:after="40" w:line="259" w:lineRule="auto"/>
      </w:pPr>
      <w:r>
        <w:rPr>
          <w:rFonts w:ascii="Arial" w:hAnsi="Arial"/>
          <w:b/>
          <w:i w:val="0"/>
          <w:color w:val="1473E6"/>
          <w:sz w:val="14"/>
        </w:rPr>
        <w:t>PROMPT TEMPLATE</w:t>
      </w:r>
    </w:p>
    <w:p>
      <w:pPr>
        <w:keepNext/>
        <w:spacing w:before="0" w:after="80" w:line="240" w:lineRule="auto"/>
      </w:pPr>
      <w:r>
        <w:rPr>
          <w:rFonts w:ascii="Arial" w:hAnsi="Arial"/>
          <w:b/>
          <w:color w:val="1473E6"/>
          <w:sz w:val="31"/>
        </w:rPr>
        <w:t xml:space="preserve">13  </w:t>
      </w:r>
      <w:r>
        <w:rPr>
          <w:rFonts w:ascii="Arial" w:hAnsi="Arial"/>
          <w:b/>
          <w:color w:val="081827"/>
          <w:sz w:val="31"/>
        </w:rPr>
        <w:t>Tier 2 — Production High</w:t>
      </w:r>
    </w:p>
    <w:p>
      <w:pPr>
        <w:keepNext w:val="0"/>
        <w:spacing w:before="0" w:after="100" w:line="240" w:lineRule="auto"/>
        <w:pBdr>
          <w:bottom w:val="single" w:sz="6" w:space="1" w:color="E4E7EC"/>
        </w:pBdr>
      </w:pPr>
    </w:p>
    <w:tbl>
      <w:tblPr>
        <w:tblW w:type="auto" w:w="0"/>
        <w:jc w:val="center"/>
        <w:tblLayout w:type="fixed"/>
        <w:tblLook w:firstColumn="1" w:firstRow="1" w:lastColumn="0" w:lastRow="0" w:noHBand="0" w:noVBand="1" w:val="04A0"/>
      </w:tblPr>
      <w:tblGrid>
        <w:gridCol w:w="9720"/>
      </w:tblGrid>
      <w:tr>
        <w:tc>
          <w:tcPr>
            <w:tcW w:type="dxa" w:w="10166"/>
            <w:shd w:fill="F5F7FA"/>
            <w:tcMar>
              <w:top w:w="120" w:type="dxa"/>
              <w:start w:w="150" w:type="dxa"/>
              <w:bottom w:w="120" w:type="dxa"/>
              <w:end w:w="150" w:type="dxa"/>
            </w:tcMar>
            <w:tcBorders>
              <w:top w:val="single" w:sz="6" w:color="D0D5DD"/>
              <w:start w:val="single" w:sz="6" w:color="D0D5DD"/>
              <w:bottom w:val="single" w:sz="6" w:color="D0D5DD"/>
              <w:end w:val="single" w:sz="6" w:color="D0D5DD"/>
            </w:tcBorders>
          </w:tcPr>
          <w:p>
            <w:pPr>
              <w:keepNext w:val="0"/>
              <w:spacing w:before="0" w:after="0" w:line="252" w:lineRule="auto"/>
            </w:pPr>
            <w:r>
              <w:rPr>
                <w:rFonts w:ascii="DejaVu Sans Mono" w:hAnsi="DejaVu Sans Mono"/>
                <w:color w:val="17202A"/>
                <w:sz w:val="15"/>
              </w:rPr>
              <w:t>ROLE</w:t>
            </w:r>
            <w:r>
              <w:br/>
            </w:r>
            <w:r>
              <w:rPr>
                <w:rFonts w:ascii="DejaVu Sans Mono" w:hAnsi="DejaVu Sans Mono"/>
                <w:color w:val="17202A"/>
                <w:sz w:val="15"/>
              </w:rPr>
              <w:t>You are the accountable [role] for this work. Apply [specialist lenses]. When priorities conflict, use: [priority order].</w:t>
            </w:r>
            <w:r>
              <w:br/>
            </w:r>
            <w:r>
              <w:rPr>
                <w:rFonts w:ascii="DejaVu Sans Mono" w:hAnsi="DejaVu Sans Mono"/>
                <w:color w:val="17202A"/>
                <w:sz w:val="15"/>
              </w:rPr>
            </w:r>
            <w:r>
              <w:br/>
            </w:r>
            <w:r>
              <w:rPr>
                <w:rFonts w:ascii="DejaVu Sans Mono" w:hAnsi="DejaVu Sans Mono"/>
                <w:color w:val="17202A"/>
                <w:sz w:val="15"/>
              </w:rPr>
              <w:t>MISSION</w:t>
            </w:r>
            <w:r>
              <w:br/>
            </w:r>
            <w:r>
              <w:rPr>
                <w:rFonts w:ascii="DejaVu Sans Mono" w:hAnsi="DejaVu Sans Mono"/>
                <w:color w:val="17202A"/>
                <w:sz w:val="15"/>
              </w:rPr>
              <w:t>Produce [observable artifact or decision] for [audience/operator].</w:t>
            </w:r>
            <w:r>
              <w:br/>
            </w:r>
            <w:r>
              <w:rPr>
                <w:rFonts w:ascii="DejaVu Sans Mono" w:hAnsi="DejaVu Sans Mono"/>
                <w:color w:val="17202A"/>
                <w:sz w:val="15"/>
              </w:rPr>
            </w:r>
            <w:r>
              <w:br/>
            </w:r>
            <w:r>
              <w:rPr>
                <w:rFonts w:ascii="DejaVu Sans Mono" w:hAnsi="DejaVu Sans Mono"/>
                <w:color w:val="17202A"/>
                <w:sz w:val="15"/>
              </w:rPr>
              <w:t>CONTEXT AND AUTHORIZED EVIDENCE</w:t>
            </w:r>
            <w:r>
              <w:br/>
            </w:r>
            <w:r>
              <w:rPr>
                <w:rFonts w:ascii="DejaVu Sans Mono" w:hAnsi="DejaVu Sans Mono"/>
                <w:color w:val="17202A"/>
                <w:sz w:val="15"/>
              </w:rPr>
              <w:t>Use [files, code, data, official sources, connected systems]. Treat [sources] as authoritative. Distinguish evidence, assumptions, and inference.</w:t>
            </w:r>
            <w:r>
              <w:br/>
            </w:r>
            <w:r>
              <w:rPr>
                <w:rFonts w:ascii="DejaVu Sans Mono" w:hAnsi="DejaVu Sans Mono"/>
                <w:color w:val="17202A"/>
                <w:sz w:val="15"/>
              </w:rPr>
            </w:r>
            <w:r>
              <w:br/>
            </w:r>
            <w:r>
              <w:rPr>
                <w:rFonts w:ascii="DejaVu Sans Mono" w:hAnsi="DejaVu Sans Mono"/>
                <w:color w:val="17202A"/>
                <w:sz w:val="15"/>
              </w:rPr>
              <w:t>EXECUTION BOUNDARIES</w:t>
            </w:r>
            <w:r>
              <w:br/>
            </w:r>
            <w:r>
              <w:rPr>
                <w:rFonts w:ascii="DejaVu Sans Mono" w:hAnsi="DejaVu Sans Mono"/>
                <w:color w:val="17202A"/>
                <w:sz w:val="15"/>
              </w:rPr>
              <w:t>Stay within [scope]. You may [safe reads/local actions/tests]. Do not [prohibited actions]. Require confirmation before [external, destructive, costly, or scope-expanding actions].</w:t>
            </w:r>
            <w:r>
              <w:br/>
            </w:r>
            <w:r>
              <w:rPr>
                <w:rFonts w:ascii="DejaVu Sans Mono" w:hAnsi="DejaVu Sans Mono"/>
                <w:color w:val="17202A"/>
                <w:sz w:val="15"/>
              </w:rPr>
            </w:r>
            <w:r>
              <w:br/>
            </w:r>
            <w:r>
              <w:rPr>
                <w:rFonts w:ascii="DejaVu Sans Mono" w:hAnsi="DejaVu Sans Mono"/>
                <w:color w:val="17202A"/>
                <w:sz w:val="15"/>
              </w:rPr>
              <w:t>DECISION REQUIREMENTS</w:t>
            </w:r>
            <w:r>
              <w:br/>
            </w:r>
            <w:r>
              <w:rPr>
                <w:rFonts w:ascii="DejaVu Sans Mono" w:hAnsi="DejaVu Sans Mono"/>
                <w:color w:val="17202A"/>
                <w:sz w:val="15"/>
              </w:rPr>
              <w:t>Address: [required dimensions]. Rank findings by [method].</w:t>
            </w:r>
            <w:r>
              <w:br/>
            </w:r>
            <w:r>
              <w:rPr>
                <w:rFonts w:ascii="DejaVu Sans Mono" w:hAnsi="DejaVu Sans Mono"/>
                <w:color w:val="17202A"/>
                <w:sz w:val="15"/>
              </w:rPr>
            </w:r>
            <w:r>
              <w:br/>
            </w:r>
            <w:r>
              <w:rPr>
                <w:rFonts w:ascii="DejaVu Sans Mono" w:hAnsi="DejaVu Sans Mono"/>
                <w:color w:val="17202A"/>
                <w:sz w:val="15"/>
              </w:rPr>
              <w:t>VALIDATION</w:t>
            </w:r>
            <w:r>
              <w:br/>
            </w:r>
            <w:r>
              <w:rPr>
                <w:rFonts w:ascii="DejaVu Sans Mono" w:hAnsi="DejaVu Sans Mono"/>
                <w:color w:val="17202A"/>
                <w:sz w:val="15"/>
              </w:rPr>
              <w:t>Verify with [tests, render, citations, calculations, diff, source check]. Report failures and residual uncertainty.</w:t>
            </w:r>
            <w:r>
              <w:br/>
            </w:r>
            <w:r>
              <w:rPr>
                <w:rFonts w:ascii="DejaVu Sans Mono" w:hAnsi="DejaVu Sans Mono"/>
                <w:color w:val="17202A"/>
                <w:sz w:val="15"/>
              </w:rPr>
            </w:r>
            <w:r>
              <w:br/>
            </w:r>
            <w:r>
              <w:rPr>
                <w:rFonts w:ascii="DejaVu Sans Mono" w:hAnsi="DejaVu Sans Mono"/>
                <w:color w:val="17202A"/>
                <w:sz w:val="15"/>
              </w:rPr>
              <w:t>AMBIGUITY POLICY</w:t>
            </w:r>
            <w:r>
              <w:br/>
            </w:r>
            <w:r>
              <w:rPr>
                <w:rFonts w:ascii="DejaVu Sans Mono" w:hAnsi="DejaVu Sans Mono"/>
                <w:color w:val="17202A"/>
                <w:sz w:val="15"/>
              </w:rPr>
              <w:t>Ask only when a missing fact would materially change the result or authorization. Otherwise state the assumption and continue.</w:t>
            </w:r>
            <w:r>
              <w:br/>
            </w:r>
            <w:r>
              <w:rPr>
                <w:rFonts w:ascii="DejaVu Sans Mono" w:hAnsi="DejaVu Sans Mono"/>
                <w:color w:val="17202A"/>
                <w:sz w:val="15"/>
              </w:rPr>
            </w:r>
            <w:r>
              <w:br/>
            </w:r>
            <w:r>
              <w:rPr>
                <w:rFonts w:ascii="DejaVu Sans Mono" w:hAnsi="DejaVu Sans Mono"/>
                <w:color w:val="17202A"/>
                <w:sz w:val="15"/>
              </w:rPr>
              <w:t>OUTPUT CONTRACT</w:t>
            </w:r>
            <w:r>
              <w:br/>
            </w:r>
            <w:r>
              <w:rPr>
                <w:rFonts w:ascii="DejaVu Sans Mono" w:hAnsi="DejaVu Sans Mono"/>
                <w:color w:val="17202A"/>
                <w:sz w:val="15"/>
              </w:rPr>
              <w:t>Return [exact structure, schema, length, order, artifact files].</w:t>
            </w:r>
            <w:r>
              <w:br/>
            </w:r>
            <w:r>
              <w:rPr>
                <w:rFonts w:ascii="DejaVu Sans Mono" w:hAnsi="DejaVu Sans Mono"/>
                <w:color w:val="17202A"/>
                <w:sz w:val="15"/>
              </w:rPr>
            </w:r>
            <w:r>
              <w:br/>
            </w:r>
            <w:r>
              <w:rPr>
                <w:rFonts w:ascii="DejaVu Sans Mono" w:hAnsi="DejaVu Sans Mono"/>
                <w:color w:val="17202A"/>
                <w:sz w:val="15"/>
              </w:rPr>
              <w:t>COMPLETION RULE</w:t>
            </w:r>
            <w:r>
              <w:br/>
            </w:r>
            <w:r>
              <w:rPr>
                <w:rFonts w:ascii="DejaVu Sans Mono" w:hAnsi="DejaVu Sans Mono"/>
                <w:color w:val="17202A"/>
                <w:sz w:val="15"/>
              </w:rPr>
              <w:t>Do not declare completion until [objective criteria].</w:t>
            </w:r>
          </w:p>
        </w:tc>
      </w:tr>
    </w:tbl>
    <w:p>
      <w:pPr>
        <w:spacing w:after="20"/>
      </w:pPr>
    </w:p>
    <w:tbl>
      <w:tblPr>
        <w:tblW w:type="auto" w:w="0"/>
        <w:jc w:val="center"/>
        <w:tblLayout w:type="fixed"/>
        <w:tblLook w:firstColumn="1" w:firstRow="1" w:lastColumn="0" w:lastRow="0" w:noHBand="0" w:noVBand="1" w:val="04A0"/>
      </w:tblPr>
      <w:tblGrid>
        <w:gridCol w:w="115"/>
        <w:gridCol w:w="9792"/>
      </w:tblGrid>
      <w:tr>
        <w:tc>
          <w:tcPr>
            <w:tcW w:type="dxa" w:w="5083"/>
            <w:shd w:fill="B96800"/>
            <w:tcMar>
              <w:top w:w="60" w:type="dxa"/>
              <w:start w:w="0" w:type="dxa"/>
              <w:bottom w:w="60" w:type="dxa"/>
              <w:end w:w="0" w:type="dxa"/>
            </w:tcMar>
            <w:vAlign w:val="center"/>
          </w:tcPr>
          <w:p/>
        </w:tc>
        <w:tc>
          <w:tcPr>
            <w:tcW w:type="dxa" w:w="5083"/>
            <w:shd w:fill="FFF4DF"/>
            <w:tcMar>
              <w:top w:w="110" w:type="dxa"/>
              <w:start w:w="150" w:type="dxa"/>
              <w:bottom w:w="110" w:type="dxa"/>
              <w:end w:w="150" w:type="dxa"/>
            </w:tcMar>
          </w:tcPr>
          <w:p>
            <w:pPr>
              <w:keepNext/>
              <w:spacing w:before="0" w:after="40" w:line="240" w:lineRule="auto"/>
            </w:pPr>
            <w:r>
              <w:rPr>
                <w:rFonts w:ascii="Arial" w:hAnsi="Arial"/>
                <w:b/>
                <w:color w:val="B96800"/>
                <w:sz w:val="14"/>
              </w:rPr>
              <w:t>HIGH REASONING USE</w:t>
            </w:r>
          </w:p>
          <w:p>
            <w:pPr>
              <w:keepNext w:val="0"/>
              <w:spacing w:before="0" w:after="0" w:line="259" w:lineRule="auto"/>
            </w:pPr>
            <w:r>
              <w:rPr>
                <w:rFonts w:ascii="Arial" w:hAnsi="Arial"/>
                <w:color w:val="17202A"/>
                <w:sz w:val="18"/>
              </w:rPr>
              <w:t>Select High because the workload benefits from extended reasoning, not because the prompt contains the word “High.” Configuration is chosen in the product or API.</w:t>
            </w:r>
          </w:p>
        </w:tc>
      </w:tr>
    </w:tbl>
    <w:p>
      <w:pPr>
        <w:spacing w:after="20"/>
      </w:pPr>
    </w:p>
    <w:p>
      <w:pPr>
        <w:keepNext w:val="0"/>
        <w:spacing w:before="60" w:after="0" w:line="240" w:lineRule="auto"/>
      </w:pPr>
      <w:r>
        <w:rPr>
          <w:rFonts w:ascii="Arial" w:hAnsi="Arial"/>
          <w:b/>
          <w:color w:val="667085"/>
          <w:sz w:val="14"/>
        </w:rPr>
        <w:t xml:space="preserve">Sources: </w:t>
      </w:r>
      <w:r>
        <w:rPr>
          <w:rFonts w:ascii="Arial" w:hAnsi="Arial"/>
          <w:color w:val="667085"/>
          <w:sz w:val="14"/>
        </w:rPr>
        <w:t>S01, S03</w:t>
      </w:r>
    </w:p>
    <w:p>
      <w:r>
        <w:br w:type="page"/>
      </w:r>
    </w:p>
    <w:p>
      <w:pPr>
        <w:keepNext/>
        <w:spacing w:before="0" w:after="40" w:line="259" w:lineRule="auto"/>
      </w:pPr>
      <w:r>
        <w:rPr>
          <w:rFonts w:ascii="Arial" w:hAnsi="Arial"/>
          <w:b/>
          <w:i w:val="0"/>
          <w:color w:val="1473E6"/>
          <w:sz w:val="14"/>
        </w:rPr>
        <w:t>PROMPT TEMPLATE</w:t>
      </w:r>
    </w:p>
    <w:p>
      <w:pPr>
        <w:keepNext/>
        <w:spacing w:before="0" w:after="80" w:line="240" w:lineRule="auto"/>
      </w:pPr>
      <w:r>
        <w:rPr>
          <w:rFonts w:ascii="Arial" w:hAnsi="Arial"/>
          <w:b/>
          <w:color w:val="1473E6"/>
          <w:sz w:val="31"/>
        </w:rPr>
        <w:t xml:space="preserve">14  </w:t>
      </w:r>
      <w:r>
        <w:rPr>
          <w:rFonts w:ascii="Arial" w:hAnsi="Arial"/>
          <w:b/>
          <w:color w:val="081827"/>
          <w:sz w:val="31"/>
        </w:rPr>
        <w:t>Tier 3 — Audit-Grade, Pro-eligible</w:t>
      </w:r>
    </w:p>
    <w:p>
      <w:pPr>
        <w:keepNext w:val="0"/>
        <w:spacing w:before="0" w:after="100" w:line="240" w:lineRule="auto"/>
        <w:pBdr>
          <w:bottom w:val="single" w:sz="6" w:space="1" w:color="E4E7EC"/>
        </w:pBdr>
      </w:pPr>
    </w:p>
    <w:p>
      <w:pPr>
        <w:keepNext w:val="0"/>
        <w:spacing w:before="0" w:after="80" w:line="259" w:lineRule="auto"/>
      </w:pPr>
      <w:r>
        <w:rPr>
          <w:rFonts w:ascii="Arial" w:hAnsi="Arial"/>
          <w:b w:val="0"/>
          <w:i w:val="0"/>
          <w:color w:val="17202A"/>
          <w:sz w:val="18"/>
        </w:rPr>
        <w:t>Use for quality-critical architecture, release, security, due-diligence, compliance, and high-value engineering decisions. Add only controls that can be verified.</w:t>
      </w:r>
    </w:p>
    <w:tbl>
      <w:tblPr>
        <w:tblW w:type="auto" w:w="0"/>
        <w:jc w:val="center"/>
        <w:tblLayout w:type="fixed"/>
        <w:tblLook w:firstColumn="1" w:firstRow="1" w:lastColumn="0" w:lastRow="0" w:noHBand="0" w:noVBand="1" w:val="04A0"/>
      </w:tblPr>
      <w:tblGrid>
        <w:gridCol w:w="9720"/>
      </w:tblGrid>
      <w:tr>
        <w:tc>
          <w:tcPr>
            <w:tcW w:type="dxa" w:w="10166"/>
            <w:shd w:fill="F5F7FA"/>
            <w:tcMar>
              <w:top w:w="120" w:type="dxa"/>
              <w:start w:w="150" w:type="dxa"/>
              <w:bottom w:w="120" w:type="dxa"/>
              <w:end w:w="150" w:type="dxa"/>
            </w:tcMar>
            <w:tcBorders>
              <w:top w:val="single" w:sz="6" w:color="D0D5DD"/>
              <w:start w:val="single" w:sz="6" w:color="D0D5DD"/>
              <w:bottom w:val="single" w:sz="6" w:color="D0D5DD"/>
              <w:end w:val="single" w:sz="6" w:color="D0D5DD"/>
            </w:tcBorders>
          </w:tcPr>
          <w:p>
            <w:pPr>
              <w:keepNext w:val="0"/>
              <w:spacing w:before="0" w:after="0" w:line="252" w:lineRule="auto"/>
            </w:pPr>
            <w:r>
              <w:rPr>
                <w:rFonts w:ascii="DejaVu Sans Mono" w:hAnsi="DejaVu Sans Mono"/>
                <w:color w:val="17202A"/>
                <w:sz w:val="14"/>
              </w:rPr>
              <w:t>ACCOUNTABILITY</w:t>
            </w:r>
            <w:r>
              <w:br/>
            </w:r>
            <w:r>
              <w:rPr>
                <w:rFonts w:ascii="DejaVu Sans Mono" w:hAnsi="DejaVu Sans Mono"/>
                <w:color w:val="17202A"/>
                <w:sz w:val="14"/>
              </w:rPr>
              <w:t>Accountable role: [role]. Review lenses: [lenses]. Decision authority and exclusions: [authority].</w:t>
            </w:r>
            <w:r>
              <w:br/>
            </w:r>
            <w:r>
              <w:rPr>
                <w:rFonts w:ascii="DejaVu Sans Mono" w:hAnsi="DejaVu Sans Mono"/>
                <w:color w:val="17202A"/>
                <w:sz w:val="14"/>
              </w:rPr>
            </w:r>
            <w:r>
              <w:br/>
            </w:r>
            <w:r>
              <w:rPr>
                <w:rFonts w:ascii="DejaVu Sans Mono" w:hAnsi="DejaVu Sans Mono"/>
                <w:color w:val="17202A"/>
                <w:sz w:val="14"/>
              </w:rPr>
              <w:t>DECISION OBJECTIVE</w:t>
            </w:r>
            <w:r>
              <w:br/>
            </w:r>
            <w:r>
              <w:rPr>
                <w:rFonts w:ascii="DejaVu Sans Mono" w:hAnsi="DejaVu Sans Mono"/>
                <w:color w:val="17202A"/>
                <w:sz w:val="14"/>
              </w:rPr>
              <w:t>[Observable outcome, audience, decision deadline, and consequence of error.]</w:t>
            </w:r>
            <w:r>
              <w:br/>
            </w:r>
            <w:r>
              <w:rPr>
                <w:rFonts w:ascii="DejaVu Sans Mono" w:hAnsi="DejaVu Sans Mono"/>
                <w:color w:val="17202A"/>
                <w:sz w:val="14"/>
              </w:rPr>
            </w:r>
            <w:r>
              <w:br/>
            </w:r>
            <w:r>
              <w:rPr>
                <w:rFonts w:ascii="DejaVu Sans Mono" w:hAnsi="DejaVu Sans Mono"/>
                <w:color w:val="17202A"/>
                <w:sz w:val="14"/>
              </w:rPr>
              <w:t>EVIDENCE REGISTER</w:t>
            </w:r>
            <w:r>
              <w:br/>
            </w:r>
            <w:r>
              <w:rPr>
                <w:rFonts w:ascii="DejaVu Sans Mono" w:hAnsi="DejaVu Sans Mono"/>
                <w:color w:val="17202A"/>
                <w:sz w:val="14"/>
              </w:rPr>
              <w:t>Authorized sources: [list]. Authority order: [order]. Freshness requirement: [date/rule]. Missing evidence: [known gaps].</w:t>
            </w:r>
            <w:r>
              <w:br/>
            </w:r>
            <w:r>
              <w:rPr>
                <w:rFonts w:ascii="DejaVu Sans Mono" w:hAnsi="DejaVu Sans Mono"/>
                <w:color w:val="17202A"/>
                <w:sz w:val="14"/>
              </w:rPr>
            </w:r>
            <w:r>
              <w:br/>
            </w:r>
            <w:r>
              <w:rPr>
                <w:rFonts w:ascii="DejaVu Sans Mono" w:hAnsi="DejaVu Sans Mono"/>
                <w:color w:val="17202A"/>
                <w:sz w:val="14"/>
              </w:rPr>
              <w:t>SCOPE AND APPROVALS</w:t>
            </w:r>
            <w:r>
              <w:br/>
            </w:r>
            <w:r>
              <w:rPr>
                <w:rFonts w:ascii="DejaVu Sans Mono" w:hAnsi="DejaVu Sans Mono"/>
                <w:color w:val="17202A"/>
                <w:sz w:val="14"/>
              </w:rPr>
              <w:t>In scope: [assets/actions]. Out of scope: [exclusions]. Safe local actions: [list]. Approval required for: [external/destructive/cost/scope].</w:t>
            </w:r>
            <w:r>
              <w:br/>
            </w:r>
            <w:r>
              <w:rPr>
                <w:rFonts w:ascii="DejaVu Sans Mono" w:hAnsi="DejaVu Sans Mono"/>
                <w:color w:val="17202A"/>
                <w:sz w:val="14"/>
              </w:rPr>
            </w:r>
            <w:r>
              <w:br/>
            </w:r>
            <w:r>
              <w:rPr>
                <w:rFonts w:ascii="DejaVu Sans Mono" w:hAnsi="DejaVu Sans Mono"/>
                <w:color w:val="17202A"/>
                <w:sz w:val="14"/>
              </w:rPr>
              <w:t>METHOD AND TRACEABILITY</w:t>
            </w:r>
            <w:r>
              <w:br/>
            </w:r>
            <w:r>
              <w:rPr>
                <w:rFonts w:ascii="DejaVu Sans Mono" w:hAnsi="DejaVu Sans Mono"/>
                <w:color w:val="17202A"/>
                <w:sz w:val="14"/>
              </w:rPr>
              <w:t>Map every material conclusion to evidence. Maintain an assumption register, risk register, and decision log. Identify conflicting evidence.</w:t>
            </w:r>
            <w:r>
              <w:br/>
            </w:r>
            <w:r>
              <w:rPr>
                <w:rFonts w:ascii="DejaVu Sans Mono" w:hAnsi="DejaVu Sans Mono"/>
                <w:color w:val="17202A"/>
                <w:sz w:val="14"/>
              </w:rPr>
            </w:r>
            <w:r>
              <w:br/>
            </w:r>
            <w:r>
              <w:rPr>
                <w:rFonts w:ascii="DejaVu Sans Mono" w:hAnsi="DejaVu Sans Mono"/>
                <w:color w:val="17202A"/>
                <w:sz w:val="14"/>
              </w:rPr>
              <w:t>FAILURE-MODE REVIEW</w:t>
            </w:r>
            <w:r>
              <w:br/>
            </w:r>
            <w:r>
              <w:rPr>
                <w:rFonts w:ascii="DejaVu Sans Mono" w:hAnsi="DejaVu Sans Mono"/>
                <w:color w:val="17202A"/>
                <w:sz w:val="14"/>
              </w:rPr>
              <w:t>Evaluate [technical, operational, security, compliance, data, human, and rollback failure modes].</w:t>
            </w:r>
            <w:r>
              <w:br/>
            </w:r>
            <w:r>
              <w:rPr>
                <w:rFonts w:ascii="DejaVu Sans Mono" w:hAnsi="DejaVu Sans Mono"/>
                <w:color w:val="17202A"/>
                <w:sz w:val="14"/>
              </w:rPr>
            </w:r>
            <w:r>
              <w:br/>
            </w:r>
            <w:r>
              <w:rPr>
                <w:rFonts w:ascii="DejaVu Sans Mono" w:hAnsi="DejaVu Sans Mono"/>
                <w:color w:val="17202A"/>
                <w:sz w:val="14"/>
              </w:rPr>
              <w:t>VALIDATION PLAN</w:t>
            </w:r>
            <w:r>
              <w:br/>
            </w:r>
            <w:r>
              <w:rPr>
                <w:rFonts w:ascii="DejaVu Sans Mono" w:hAnsi="DejaVu Sans Mono"/>
                <w:color w:val="17202A"/>
                <w:sz w:val="14"/>
              </w:rPr>
              <w:t>Run [tests/checks]. Define pass/fail thresholds. Record actual results, exceptions, and untested areas.</w:t>
            </w:r>
            <w:r>
              <w:br/>
            </w:r>
            <w:r>
              <w:rPr>
                <w:rFonts w:ascii="DejaVu Sans Mono" w:hAnsi="DejaVu Sans Mono"/>
                <w:color w:val="17202A"/>
                <w:sz w:val="14"/>
              </w:rPr>
            </w:r>
            <w:r>
              <w:br/>
            </w:r>
            <w:r>
              <w:rPr>
                <w:rFonts w:ascii="DejaVu Sans Mono" w:hAnsi="DejaVu Sans Mono"/>
                <w:color w:val="17202A"/>
                <w:sz w:val="14"/>
              </w:rPr>
              <w:t>RELEASE CONTRACT</w:t>
            </w:r>
            <w:r>
              <w:br/>
            </w:r>
            <w:r>
              <w:rPr>
                <w:rFonts w:ascii="DejaVu Sans Mono" w:hAnsi="DejaVu Sans Mono"/>
                <w:color w:val="17202A"/>
                <w:sz w:val="14"/>
              </w:rPr>
              <w:t>Return: executive decision; evidence map; prioritized findings; recommended plan; validation record; residual risks; rollback; unresolved decisions.</w:t>
            </w:r>
            <w:r>
              <w:br/>
            </w:r>
            <w:r>
              <w:rPr>
                <w:rFonts w:ascii="DejaVu Sans Mono" w:hAnsi="DejaVu Sans Mono"/>
                <w:color w:val="17202A"/>
                <w:sz w:val="14"/>
              </w:rPr>
            </w:r>
            <w:r>
              <w:br/>
            </w:r>
            <w:r>
              <w:rPr>
                <w:rFonts w:ascii="DejaVu Sans Mono" w:hAnsi="DejaVu Sans Mono"/>
                <w:color w:val="17202A"/>
                <w:sz w:val="14"/>
              </w:rPr>
              <w:t>COMPLETION</w:t>
            </w:r>
            <w:r>
              <w:br/>
            </w:r>
            <w:r>
              <w:rPr>
                <w:rFonts w:ascii="DejaVu Sans Mono" w:hAnsi="DejaVu Sans Mono"/>
                <w:color w:val="17202A"/>
                <w:sz w:val="14"/>
              </w:rPr>
              <w:t>Status must be PASS, CONDITIONAL PASS, REWORK, or FAIL. Never report PASS with an unmet mandatory criterion.</w:t>
            </w:r>
          </w:p>
        </w:tc>
      </w:tr>
    </w:tbl>
    <w:p>
      <w:pPr>
        <w:spacing w:after="20"/>
      </w:pPr>
    </w:p>
    <w:tbl>
      <w:tblPr>
        <w:tblW w:type="auto" w:w="0"/>
        <w:jc w:val="center"/>
        <w:tblLayout w:type="fixed"/>
        <w:tblLook w:firstColumn="1" w:firstRow="1" w:lastColumn="0" w:lastRow="0" w:noHBand="0" w:noVBand="1" w:val="04A0"/>
      </w:tblPr>
      <w:tblGrid>
        <w:gridCol w:w="115"/>
        <w:gridCol w:w="9792"/>
      </w:tblGrid>
      <w:tr>
        <w:tc>
          <w:tcPr>
            <w:tcW w:type="dxa" w:w="5083"/>
            <w:shd w:fill="14833B"/>
            <w:tcMar>
              <w:top w:w="60" w:type="dxa"/>
              <w:start w:w="0" w:type="dxa"/>
              <w:bottom w:w="60" w:type="dxa"/>
              <w:end w:w="0" w:type="dxa"/>
            </w:tcMar>
            <w:vAlign w:val="center"/>
          </w:tcPr>
          <w:p/>
        </w:tc>
        <w:tc>
          <w:tcPr>
            <w:tcW w:type="dxa" w:w="5083"/>
            <w:shd w:fill="EAF8EF"/>
            <w:tcMar>
              <w:top w:w="110" w:type="dxa"/>
              <w:start w:w="150" w:type="dxa"/>
              <w:bottom w:w="110" w:type="dxa"/>
              <w:end w:w="150" w:type="dxa"/>
            </w:tcMar>
          </w:tcPr>
          <w:p>
            <w:pPr>
              <w:keepNext/>
              <w:spacing w:before="0" w:after="40" w:line="240" w:lineRule="auto"/>
            </w:pPr>
            <w:r>
              <w:rPr>
                <w:rFonts w:ascii="Arial" w:hAnsi="Arial"/>
                <w:b/>
                <w:color w:val="14833B"/>
                <w:sz w:val="14"/>
              </w:rPr>
              <w:t>PRO-ELIGIBLE, NOT PRO-REQUIRED</w:t>
            </w:r>
          </w:p>
          <w:p>
            <w:pPr>
              <w:keepNext w:val="0"/>
              <w:spacing w:before="0" w:after="0" w:line="259" w:lineRule="auto"/>
            </w:pPr>
            <w:r>
              <w:rPr>
                <w:rFonts w:ascii="Arial" w:hAnsi="Arial"/>
                <w:color w:val="17202A"/>
                <w:sz w:val="18"/>
              </w:rPr>
              <w:t>Benchmark the same prompt in standard and Pro configurations. Use Pro only when its measured reliability gain justifies additional latency and token use.</w:t>
            </w:r>
          </w:p>
        </w:tc>
      </w:tr>
    </w:tbl>
    <w:p>
      <w:pPr>
        <w:spacing w:after="20"/>
      </w:pPr>
    </w:p>
    <w:p>
      <w:pPr>
        <w:keepNext w:val="0"/>
        <w:spacing w:before="60" w:after="0" w:line="240" w:lineRule="auto"/>
      </w:pPr>
      <w:r>
        <w:rPr>
          <w:rFonts w:ascii="Arial" w:hAnsi="Arial"/>
          <w:b/>
          <w:color w:val="667085"/>
          <w:sz w:val="14"/>
        </w:rPr>
        <w:t xml:space="preserve">Sources: </w:t>
      </w:r>
      <w:r>
        <w:rPr>
          <w:rFonts w:ascii="Arial" w:hAnsi="Arial"/>
          <w:color w:val="667085"/>
          <w:sz w:val="14"/>
        </w:rPr>
        <w:t>S01</w:t>
      </w:r>
    </w:p>
    <w:p>
      <w:r>
        <w:br w:type="page"/>
      </w:r>
    </w:p>
    <w:p>
      <w:pPr>
        <w:keepNext/>
        <w:spacing w:before="0" w:after="40" w:line="259" w:lineRule="auto"/>
      </w:pPr>
      <w:r>
        <w:rPr>
          <w:rFonts w:ascii="Arial" w:hAnsi="Arial"/>
          <w:b/>
          <w:i w:val="0"/>
          <w:color w:val="1473E6"/>
          <w:sz w:val="14"/>
        </w:rPr>
        <w:t>PROMPT CONTROL</w:t>
      </w:r>
    </w:p>
    <w:p>
      <w:pPr>
        <w:keepNext/>
        <w:spacing w:before="0" w:after="80" w:line="240" w:lineRule="auto"/>
      </w:pPr>
      <w:r>
        <w:rPr>
          <w:rFonts w:ascii="Arial" w:hAnsi="Arial"/>
          <w:b/>
          <w:color w:val="1473E6"/>
          <w:sz w:val="31"/>
        </w:rPr>
        <w:t xml:space="preserve">15  </w:t>
      </w:r>
      <w:r>
        <w:rPr>
          <w:rFonts w:ascii="Arial" w:hAnsi="Arial"/>
          <w:b/>
          <w:color w:val="081827"/>
          <w:sz w:val="31"/>
        </w:rPr>
        <w:t>Role architecture</w:t>
      </w:r>
    </w:p>
    <w:p>
      <w:pPr>
        <w:keepNext w:val="0"/>
        <w:spacing w:before="0" w:after="100" w:line="240" w:lineRule="auto"/>
        <w:pBdr>
          <w:bottom w:val="single" w:sz="6" w:space="1" w:color="E4E7EC"/>
        </w:pBdr>
      </w:pPr>
    </w:p>
    <w:p>
      <w:pPr>
        <w:keepNext w:val="0"/>
        <w:spacing w:before="0" w:after="100" w:line="259" w:lineRule="auto"/>
      </w:pPr>
      <w:r>
        <w:rPr>
          <w:rFonts w:ascii="Arial" w:hAnsi="Arial"/>
          <w:b w:val="0"/>
          <w:i w:val="0"/>
          <w:color w:val="17202A"/>
          <w:sz w:val="18"/>
        </w:rPr>
        <w:t>The role field is an accountability model. It should tell the model whose decision it is producing, which disciplines must be applied, and how conflicts are resolved.</w:t>
      </w:r>
    </w:p>
    <w:tbl>
      <w:tblPr>
        <w:tblW w:type="auto" w:w="0"/>
        <w:jc w:val="center"/>
        <w:tblLayout w:type="fixed"/>
        <w:tblLook w:firstColumn="1" w:firstRow="1" w:lastColumn="0" w:lastRow="0" w:noHBand="0" w:noVBand="1" w:val="04A0"/>
      </w:tblPr>
      <w:tblGrid>
        <w:gridCol w:w="2016"/>
        <w:gridCol w:w="3888"/>
        <w:gridCol w:w="3888"/>
      </w:tblGrid>
      <w:tr>
        <w:trPr>
          <w:tblHeader w:val="true"/>
        </w:trPr>
        <w:tc>
          <w:tcPr>
            <w:tcW w:type="dxa" w:w="3389"/>
            <w:shd w:fill="081827"/>
            <w:tcMar>
              <w:top w:w="90" w:type="dxa"/>
              <w:start w:w="90" w:type="dxa"/>
              <w:bottom w:w="90" w:type="dxa"/>
              <w:end w:w="90" w:type="dxa"/>
            </w:tcMar>
            <w:vAlign w:val="center"/>
          </w:tcPr>
          <w:p>
            <w:pPr>
              <w:keepNext w:val="0"/>
              <w:spacing w:before="0" w:after="0" w:line="240" w:lineRule="auto"/>
              <w:jc w:val="center"/>
            </w:pPr>
            <w:r>
              <w:rPr>
                <w:rFonts w:ascii="Arial" w:hAnsi="Arial"/>
                <w:b/>
                <w:color w:val="FFFFFF"/>
                <w:sz w:val="15"/>
              </w:rPr>
              <w:t>Component</w:t>
            </w:r>
          </w:p>
        </w:tc>
        <w:tc>
          <w:tcPr>
            <w:tcW w:type="dxa" w:w="3389"/>
            <w:shd w:fill="081827"/>
            <w:tcMar>
              <w:top w:w="90" w:type="dxa"/>
              <w:start w:w="90" w:type="dxa"/>
              <w:bottom w:w="90" w:type="dxa"/>
              <w:end w:w="90" w:type="dxa"/>
            </w:tcMar>
            <w:vAlign w:val="center"/>
          </w:tcPr>
          <w:p>
            <w:pPr>
              <w:keepNext w:val="0"/>
              <w:spacing w:before="0" w:after="0" w:line="240" w:lineRule="auto"/>
              <w:jc w:val="center"/>
            </w:pPr>
            <w:r>
              <w:rPr>
                <w:rFonts w:ascii="Arial" w:hAnsi="Arial"/>
                <w:b/>
                <w:color w:val="FFFFFF"/>
                <w:sz w:val="15"/>
              </w:rPr>
              <w:t>Required definition</w:t>
            </w:r>
          </w:p>
        </w:tc>
        <w:tc>
          <w:tcPr>
            <w:tcW w:type="dxa" w:w="3389"/>
            <w:shd w:fill="081827"/>
            <w:tcMar>
              <w:top w:w="90" w:type="dxa"/>
              <w:start w:w="90" w:type="dxa"/>
              <w:bottom w:w="90" w:type="dxa"/>
              <w:end w:w="90" w:type="dxa"/>
            </w:tcMar>
            <w:vAlign w:val="center"/>
          </w:tcPr>
          <w:p>
            <w:pPr>
              <w:keepNext w:val="0"/>
              <w:spacing w:before="0" w:after="0" w:line="240" w:lineRule="auto"/>
              <w:jc w:val="center"/>
            </w:pPr>
            <w:r>
              <w:rPr>
                <w:rFonts w:ascii="Arial" w:hAnsi="Arial"/>
                <w:b/>
                <w:color w:val="FFFFFF"/>
                <w:sz w:val="15"/>
              </w:rPr>
              <w:t>Failure prevented</w:t>
            </w:r>
          </w:p>
        </w:tc>
      </w:tr>
      <w:tr>
        <w:tc>
          <w:tcPr>
            <w:tcW w:type="dxa" w:w="2016"/>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6"/>
              </w:rPr>
              <w:t>Accountable role</w:t>
            </w:r>
          </w:p>
        </w:tc>
        <w:tc>
          <w:tcPr>
            <w:tcW w:type="dxa" w:w="3888"/>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6"/>
              </w:rPr>
              <w:t>Single owner of the decision or artifact</w:t>
            </w:r>
          </w:p>
        </w:tc>
        <w:tc>
          <w:tcPr>
            <w:tcW w:type="dxa" w:w="3888"/>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6"/>
              </w:rPr>
              <w:t>Competing voices and unfocused output.</w:t>
            </w:r>
          </w:p>
        </w:tc>
      </w:tr>
      <w:tr>
        <w:tc>
          <w:tcPr>
            <w:tcW w:type="dxa" w:w="2016"/>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6"/>
              </w:rPr>
              <w:t>Specialist lenses</w:t>
            </w:r>
          </w:p>
        </w:tc>
        <w:tc>
          <w:tcPr>
            <w:tcW w:type="dxa" w:w="3888"/>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6"/>
              </w:rPr>
              <w:t>Named disciplines that review the work</w:t>
            </w:r>
          </w:p>
        </w:tc>
        <w:tc>
          <w:tcPr>
            <w:tcW w:type="dxa" w:w="3888"/>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6"/>
              </w:rPr>
              <w:t>Missing cross-functional constraints.</w:t>
            </w:r>
          </w:p>
        </w:tc>
      </w:tr>
      <w:tr>
        <w:tc>
          <w:tcPr>
            <w:tcW w:type="dxa" w:w="2016"/>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6"/>
              </w:rPr>
              <w:t>Priority order</w:t>
            </w:r>
          </w:p>
        </w:tc>
        <w:tc>
          <w:tcPr>
            <w:tcW w:type="dxa" w:w="3888"/>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6"/>
              </w:rPr>
              <w:t>Explicit order for tradeoffs</w:t>
            </w:r>
          </w:p>
        </w:tc>
        <w:tc>
          <w:tcPr>
            <w:tcW w:type="dxa" w:w="3888"/>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6"/>
              </w:rPr>
              <w:t>Silent averaging of incompatible goals.</w:t>
            </w:r>
          </w:p>
        </w:tc>
      </w:tr>
      <w:tr>
        <w:tc>
          <w:tcPr>
            <w:tcW w:type="dxa" w:w="2016"/>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6"/>
              </w:rPr>
              <w:t>Decision rights</w:t>
            </w:r>
          </w:p>
        </w:tc>
        <w:tc>
          <w:tcPr>
            <w:tcW w:type="dxa" w:w="3888"/>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6"/>
              </w:rPr>
              <w:t>What the model may recommend, edit, or execute</w:t>
            </w:r>
          </w:p>
        </w:tc>
        <w:tc>
          <w:tcPr>
            <w:tcW w:type="dxa" w:w="3888"/>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6"/>
              </w:rPr>
              <w:t>Unauthorized action or overreach.</w:t>
            </w:r>
          </w:p>
        </w:tc>
      </w:tr>
      <w:tr>
        <w:tc>
          <w:tcPr>
            <w:tcW w:type="dxa" w:w="2016"/>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6"/>
              </w:rPr>
              <w:t>Exclusions</w:t>
            </w:r>
          </w:p>
        </w:tc>
        <w:tc>
          <w:tcPr>
            <w:tcW w:type="dxa" w:w="3888"/>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6"/>
              </w:rPr>
              <w:t>What still requires human/legal/production approval</w:t>
            </w:r>
          </w:p>
        </w:tc>
        <w:tc>
          <w:tcPr>
            <w:tcW w:type="dxa" w:w="3888"/>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6"/>
              </w:rPr>
              <w:t>False authority and compliance claims.</w:t>
            </w:r>
          </w:p>
        </w:tc>
      </w:tr>
      <w:tr>
        <w:tc>
          <w:tcPr>
            <w:tcW w:type="dxa" w:w="2016"/>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6"/>
              </w:rPr>
              <w:t>Audience</w:t>
            </w:r>
          </w:p>
        </w:tc>
        <w:tc>
          <w:tcPr>
            <w:tcW w:type="dxa" w:w="3888"/>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6"/>
              </w:rPr>
              <w:t>Who will consume or operate the result</w:t>
            </w:r>
          </w:p>
        </w:tc>
        <w:tc>
          <w:tcPr>
            <w:tcW w:type="dxa" w:w="3888"/>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6"/>
              </w:rPr>
              <w:t>Wrong level of detail or unusable format.</w:t>
            </w:r>
          </w:p>
        </w:tc>
      </w:tr>
    </w:tbl>
    <w:p>
      <w:pPr>
        <w:spacing w:after="20"/>
      </w:pPr>
    </w:p>
    <w:p>
      <w:pPr>
        <w:keepNext/>
        <w:spacing w:before="100" w:after="60" w:line="240" w:lineRule="auto"/>
      </w:pPr>
      <w:r>
        <w:rPr>
          <w:rFonts w:ascii="Arial" w:hAnsi="Arial"/>
          <w:b/>
          <w:color w:val="081827"/>
          <w:sz w:val="21"/>
        </w:rPr>
        <w:t>Recommended pattern</w:t>
      </w:r>
    </w:p>
    <w:tbl>
      <w:tblPr>
        <w:tblW w:type="auto" w:w="0"/>
        <w:jc w:val="center"/>
        <w:tblLayout w:type="fixed"/>
        <w:tblLook w:firstColumn="1" w:firstRow="1" w:lastColumn="0" w:lastRow="0" w:noHBand="0" w:noVBand="1" w:val="04A0"/>
      </w:tblPr>
      <w:tblGrid>
        <w:gridCol w:w="9720"/>
      </w:tblGrid>
      <w:tr>
        <w:tc>
          <w:tcPr>
            <w:tcW w:type="dxa" w:w="10166"/>
            <w:shd w:fill="F5F7FA"/>
            <w:tcMar>
              <w:top w:w="120" w:type="dxa"/>
              <w:start w:w="150" w:type="dxa"/>
              <w:bottom w:w="120" w:type="dxa"/>
              <w:end w:w="150" w:type="dxa"/>
            </w:tcMar>
            <w:tcBorders>
              <w:top w:val="single" w:sz="6" w:color="D0D5DD"/>
              <w:start w:val="single" w:sz="6" w:color="D0D5DD"/>
              <w:bottom w:val="single" w:sz="6" w:color="D0D5DD"/>
              <w:end w:val="single" w:sz="6" w:color="D0D5DD"/>
            </w:tcBorders>
          </w:tcPr>
          <w:p>
            <w:pPr>
              <w:keepNext w:val="0"/>
              <w:spacing w:before="0" w:after="0" w:line="252" w:lineRule="auto"/>
            </w:pPr>
            <w:r>
              <w:rPr>
                <w:rFonts w:ascii="DejaVu Sans Mono" w:hAnsi="DejaVu Sans Mono"/>
                <w:color w:val="17202A"/>
                <w:sz w:val="16"/>
              </w:rPr>
              <w:t>Accountable role: Director of [discipline]</w:t>
            </w:r>
            <w:r>
              <w:br/>
            </w:r>
            <w:r>
              <w:rPr>
                <w:rFonts w:ascii="DejaVu Sans Mono" w:hAnsi="DejaVu Sans Mono"/>
                <w:color w:val="17202A"/>
                <w:sz w:val="16"/>
              </w:rPr>
              <w:t>Specialist lenses: [2–5 relevant disciplines]</w:t>
            </w:r>
            <w:r>
              <w:br/>
            </w:r>
            <w:r>
              <w:rPr>
                <w:rFonts w:ascii="DejaVu Sans Mono" w:hAnsi="DejaVu Sans Mono"/>
                <w:color w:val="17202A"/>
                <w:sz w:val="16"/>
              </w:rPr>
              <w:t>Priority order: [non-negotiable safety/correctness priorities first]</w:t>
            </w:r>
            <w:r>
              <w:br/>
            </w:r>
            <w:r>
              <w:rPr>
                <w:rFonts w:ascii="DejaVu Sans Mono" w:hAnsi="DejaVu Sans Mono"/>
                <w:color w:val="17202A"/>
                <w:sz w:val="16"/>
              </w:rPr>
              <w:t>Decision rights: [recommend / edit local artifact / test / no external write]</w:t>
            </w:r>
            <w:r>
              <w:br/>
            </w:r>
            <w:r>
              <w:rPr>
                <w:rFonts w:ascii="DejaVu Sans Mono" w:hAnsi="DejaVu Sans Mono"/>
                <w:color w:val="17202A"/>
                <w:sz w:val="16"/>
              </w:rPr>
              <w:t>Excluded authority: [legal approval / production deployment / purchase / policy waiver]</w:t>
            </w:r>
            <w:r>
              <w:br/>
            </w:r>
            <w:r>
              <w:rPr>
                <w:rFonts w:ascii="DejaVu Sans Mono" w:hAnsi="DejaVu Sans Mono"/>
                <w:color w:val="17202A"/>
                <w:sz w:val="16"/>
              </w:rPr>
              <w:t>Audience: [executive / engineer / operator / customer / auditor]</w:t>
            </w:r>
          </w:p>
        </w:tc>
      </w:tr>
    </w:tbl>
    <w:p>
      <w:pPr>
        <w:spacing w:after="20"/>
      </w:pPr>
    </w:p>
    <w:tbl>
      <w:tblPr>
        <w:tblW w:type="auto" w:w="0"/>
        <w:jc w:val="center"/>
        <w:tblLayout w:type="fixed"/>
        <w:tblLook w:firstColumn="1" w:firstRow="1" w:lastColumn="0" w:lastRow="0" w:noHBand="0" w:noVBand="1" w:val="04A0"/>
      </w:tblPr>
      <w:tblGrid>
        <w:gridCol w:w="115"/>
        <w:gridCol w:w="9792"/>
      </w:tblGrid>
      <w:tr>
        <w:tc>
          <w:tcPr>
            <w:tcW w:type="dxa" w:w="5083"/>
            <w:shd w:fill="B96800"/>
            <w:tcMar>
              <w:top w:w="60" w:type="dxa"/>
              <w:start w:w="0" w:type="dxa"/>
              <w:bottom w:w="60" w:type="dxa"/>
              <w:end w:w="0" w:type="dxa"/>
            </w:tcMar>
            <w:vAlign w:val="center"/>
          </w:tcPr>
          <w:p/>
        </w:tc>
        <w:tc>
          <w:tcPr>
            <w:tcW w:type="dxa" w:w="5083"/>
            <w:shd w:fill="FFF4DF"/>
            <w:tcMar>
              <w:top w:w="110" w:type="dxa"/>
              <w:start w:w="150" w:type="dxa"/>
              <w:bottom w:w="110" w:type="dxa"/>
              <w:end w:w="150" w:type="dxa"/>
            </w:tcMar>
          </w:tcPr>
          <w:p>
            <w:pPr>
              <w:keepNext/>
              <w:spacing w:before="0" w:after="40" w:line="240" w:lineRule="auto"/>
            </w:pPr>
            <w:r>
              <w:rPr>
                <w:rFonts w:ascii="Arial" w:hAnsi="Arial"/>
                <w:b/>
                <w:color w:val="B96800"/>
                <w:sz w:val="14"/>
              </w:rPr>
              <w:t>AVOID TITLE INFLATION</w:t>
            </w:r>
          </w:p>
          <w:p>
            <w:pPr>
              <w:keepNext w:val="0"/>
              <w:spacing w:before="0" w:after="0" w:line="259" w:lineRule="auto"/>
            </w:pPr>
            <w:r>
              <w:rPr>
                <w:rFonts w:ascii="Arial" w:hAnsi="Arial"/>
                <w:color w:val="17202A"/>
                <w:sz w:val="18"/>
              </w:rPr>
              <w:t>“Director, architect, engineer, designer, compliance officer, and hacker” is not a role contract. Use one accountable role and assign the others as review lenses with explicit priorities.</w:t>
            </w:r>
          </w:p>
        </w:tc>
      </w:tr>
    </w:tbl>
    <w:p>
      <w:pPr>
        <w:spacing w:after="20"/>
      </w:pPr>
    </w:p>
    <w:p>
      <w:r>
        <w:br w:type="page"/>
      </w:r>
    </w:p>
    <w:p>
      <w:pPr>
        <w:keepNext/>
        <w:spacing w:before="0" w:after="40" w:line="259" w:lineRule="auto"/>
      </w:pPr>
      <w:r>
        <w:rPr>
          <w:rFonts w:ascii="Arial" w:hAnsi="Arial"/>
          <w:b/>
          <w:i w:val="0"/>
          <w:color w:val="1473E6"/>
          <w:sz w:val="14"/>
        </w:rPr>
        <w:t>PROMPT TEMPLATE</w:t>
      </w:r>
    </w:p>
    <w:p>
      <w:pPr>
        <w:keepNext/>
        <w:spacing w:before="0" w:after="80" w:line="240" w:lineRule="auto"/>
      </w:pPr>
      <w:r>
        <w:rPr>
          <w:rFonts w:ascii="Arial" w:hAnsi="Arial"/>
          <w:b/>
          <w:color w:val="1473E6"/>
          <w:sz w:val="31"/>
        </w:rPr>
        <w:t xml:space="preserve">16  </w:t>
      </w:r>
      <w:r>
        <w:rPr>
          <w:rFonts w:ascii="Arial" w:hAnsi="Arial"/>
          <w:b/>
          <w:color w:val="081827"/>
          <w:sz w:val="31"/>
        </w:rPr>
        <w:t>Role-stack composer</w:t>
      </w:r>
    </w:p>
    <w:p>
      <w:pPr>
        <w:keepNext w:val="0"/>
        <w:spacing w:before="0" w:after="100" w:line="240" w:lineRule="auto"/>
        <w:pBdr>
          <w:bottom w:val="single" w:sz="6" w:space="1" w:color="E4E7EC"/>
        </w:pBdr>
      </w:pPr>
    </w:p>
    <w:tbl>
      <w:tblPr>
        <w:tblW w:type="auto" w:w="0"/>
        <w:jc w:val="center"/>
        <w:tblLayout w:type="fixed"/>
        <w:tblLook w:firstColumn="1" w:firstRow="1" w:lastColumn="0" w:lastRow="0" w:noHBand="0" w:noVBand="1" w:val="04A0"/>
      </w:tblPr>
      <w:tblGrid>
        <w:gridCol w:w="1800"/>
        <w:gridCol w:w="2376"/>
        <w:gridCol w:w="3168"/>
        <w:gridCol w:w="3024"/>
      </w:tblGrid>
      <w:tr>
        <w:trPr>
          <w:tblHeader w:val="true"/>
        </w:trPr>
        <w:tc>
          <w:tcPr>
            <w:tcW w:type="dxa" w:w="2541"/>
            <w:shd w:fill="081827"/>
            <w:tcMar>
              <w:top w:w="90" w:type="dxa"/>
              <w:start w:w="90" w:type="dxa"/>
              <w:bottom w:w="90" w:type="dxa"/>
              <w:end w:w="90" w:type="dxa"/>
            </w:tcMar>
            <w:vAlign w:val="center"/>
          </w:tcPr>
          <w:p>
            <w:pPr>
              <w:keepNext w:val="0"/>
              <w:spacing w:before="0" w:after="0" w:line="240" w:lineRule="auto"/>
              <w:jc w:val="center"/>
            </w:pPr>
            <w:r>
              <w:rPr>
                <w:rFonts w:ascii="Arial" w:hAnsi="Arial"/>
                <w:b/>
                <w:color w:val="FFFFFF"/>
                <w:sz w:val="15"/>
              </w:rPr>
              <w:t>Workload</w:t>
            </w:r>
          </w:p>
        </w:tc>
        <w:tc>
          <w:tcPr>
            <w:tcW w:type="dxa" w:w="2541"/>
            <w:shd w:fill="081827"/>
            <w:tcMar>
              <w:top w:w="90" w:type="dxa"/>
              <w:start w:w="90" w:type="dxa"/>
              <w:bottom w:w="90" w:type="dxa"/>
              <w:end w:w="90" w:type="dxa"/>
            </w:tcMar>
            <w:vAlign w:val="center"/>
          </w:tcPr>
          <w:p>
            <w:pPr>
              <w:keepNext w:val="0"/>
              <w:spacing w:before="0" w:after="0" w:line="240" w:lineRule="auto"/>
              <w:jc w:val="center"/>
            </w:pPr>
            <w:r>
              <w:rPr>
                <w:rFonts w:ascii="Arial" w:hAnsi="Arial"/>
                <w:b/>
                <w:color w:val="FFFFFF"/>
                <w:sz w:val="15"/>
              </w:rPr>
              <w:t>Accountable role</w:t>
            </w:r>
          </w:p>
        </w:tc>
        <w:tc>
          <w:tcPr>
            <w:tcW w:type="dxa" w:w="2541"/>
            <w:shd w:fill="081827"/>
            <w:tcMar>
              <w:top w:w="90" w:type="dxa"/>
              <w:start w:w="90" w:type="dxa"/>
              <w:bottom w:w="90" w:type="dxa"/>
              <w:end w:w="90" w:type="dxa"/>
            </w:tcMar>
            <w:vAlign w:val="center"/>
          </w:tcPr>
          <w:p>
            <w:pPr>
              <w:keepNext w:val="0"/>
              <w:spacing w:before="0" w:after="0" w:line="240" w:lineRule="auto"/>
              <w:jc w:val="center"/>
            </w:pPr>
            <w:r>
              <w:rPr>
                <w:rFonts w:ascii="Arial" w:hAnsi="Arial"/>
                <w:b/>
                <w:color w:val="FFFFFF"/>
                <w:sz w:val="15"/>
              </w:rPr>
              <w:t>Useful lenses</w:t>
            </w:r>
          </w:p>
        </w:tc>
        <w:tc>
          <w:tcPr>
            <w:tcW w:type="dxa" w:w="2541"/>
            <w:shd w:fill="081827"/>
            <w:tcMar>
              <w:top w:w="90" w:type="dxa"/>
              <w:start w:w="90" w:type="dxa"/>
              <w:bottom w:w="90" w:type="dxa"/>
              <w:end w:w="90" w:type="dxa"/>
            </w:tcMar>
            <w:vAlign w:val="center"/>
          </w:tcPr>
          <w:p>
            <w:pPr>
              <w:keepNext w:val="0"/>
              <w:spacing w:before="0" w:after="0" w:line="240" w:lineRule="auto"/>
              <w:jc w:val="center"/>
            </w:pPr>
            <w:r>
              <w:rPr>
                <w:rFonts w:ascii="Arial" w:hAnsi="Arial"/>
                <w:b/>
                <w:color w:val="FFFFFF"/>
                <w:sz w:val="15"/>
              </w:rPr>
              <w:t>Default priority order</w:t>
            </w:r>
          </w:p>
        </w:tc>
      </w:tr>
      <w:tr>
        <w:tc>
          <w:tcPr>
            <w:tcW w:type="dxa" w:w="1800"/>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4"/>
              </w:rPr>
              <w:t>Solution architecture</w:t>
            </w:r>
          </w:p>
        </w:tc>
        <w:tc>
          <w:tcPr>
            <w:tcW w:type="dxa" w:w="2376"/>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4"/>
              </w:rPr>
              <w:t>Director of Solution Architecture</w:t>
            </w:r>
          </w:p>
        </w:tc>
        <w:tc>
          <w:tcPr>
            <w:tcW w:type="dxa" w:w="3168"/>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4"/>
              </w:rPr>
              <w:t>AppSec, data, SRE, integration, FinOps</w:t>
            </w:r>
          </w:p>
        </w:tc>
        <w:tc>
          <w:tcPr>
            <w:tcW w:type="dxa" w:w="3024"/>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4"/>
              </w:rPr>
              <w:t>Safety/data integrity &gt; correctness &gt; reliability &gt; maintainability &gt; cost</w:t>
            </w:r>
          </w:p>
        </w:tc>
      </w:tr>
      <w:tr>
        <w:tc>
          <w:tcPr>
            <w:tcW w:type="dxa" w:w="1800"/>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4"/>
              </w:rPr>
              <w:t>Code remediation</w:t>
            </w:r>
          </w:p>
        </w:tc>
        <w:tc>
          <w:tcPr>
            <w:tcW w:type="dxa" w:w="2376"/>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4"/>
              </w:rPr>
              <w:t>Engineering lead</w:t>
            </w:r>
          </w:p>
        </w:tc>
        <w:tc>
          <w:tcPr>
            <w:tcW w:type="dxa" w:w="3168"/>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4"/>
              </w:rPr>
              <w:t>Secure coding, testing, performance, operability</w:t>
            </w:r>
          </w:p>
        </w:tc>
        <w:tc>
          <w:tcPr>
            <w:tcW w:type="dxa" w:w="3024"/>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4"/>
              </w:rPr>
              <w:t>Correctness &gt; security &gt; regression safety &gt; maintainability &gt; speed</w:t>
            </w:r>
          </w:p>
        </w:tc>
      </w:tr>
      <w:tr>
        <w:tc>
          <w:tcPr>
            <w:tcW w:type="dxa" w:w="1800"/>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4"/>
              </w:rPr>
              <w:t>Product design</w:t>
            </w:r>
          </w:p>
        </w:tc>
        <w:tc>
          <w:tcPr>
            <w:tcW w:type="dxa" w:w="2376"/>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4"/>
              </w:rPr>
              <w:t>Design director</w:t>
            </w:r>
          </w:p>
        </w:tc>
        <w:tc>
          <w:tcPr>
            <w:tcW w:type="dxa" w:w="3168"/>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4"/>
              </w:rPr>
              <w:t>UX research, accessibility, frontend, conversion</w:t>
            </w:r>
          </w:p>
        </w:tc>
        <w:tc>
          <w:tcPr>
            <w:tcW w:type="dxa" w:w="3024"/>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4"/>
              </w:rPr>
              <w:t>User safety &gt; task success &gt; accessibility &gt; clarity &gt; aesthetics</w:t>
            </w:r>
          </w:p>
        </w:tc>
      </w:tr>
      <w:tr>
        <w:tc>
          <w:tcPr>
            <w:tcW w:type="dxa" w:w="1800"/>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4"/>
              </w:rPr>
              <w:t>Cyber review</w:t>
            </w:r>
          </w:p>
        </w:tc>
        <w:tc>
          <w:tcPr>
            <w:tcW w:type="dxa" w:w="2376"/>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4"/>
              </w:rPr>
              <w:t>Security architecture lead</w:t>
            </w:r>
          </w:p>
        </w:tc>
        <w:tc>
          <w:tcPr>
            <w:tcW w:type="dxa" w:w="3168"/>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4"/>
              </w:rPr>
              <w:t>AppSec, cloud/IAM, detection, incident response</w:t>
            </w:r>
          </w:p>
        </w:tc>
        <w:tc>
          <w:tcPr>
            <w:tcW w:type="dxa" w:w="3024"/>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4"/>
              </w:rPr>
              <w:t>Authorization &gt; containment &gt; evidence &gt; remediation &gt; speed</w:t>
            </w:r>
          </w:p>
        </w:tc>
      </w:tr>
      <w:tr>
        <w:tc>
          <w:tcPr>
            <w:tcW w:type="dxa" w:w="1800"/>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4"/>
              </w:rPr>
              <w:t>Executive decision</w:t>
            </w:r>
          </w:p>
        </w:tc>
        <w:tc>
          <w:tcPr>
            <w:tcW w:type="dxa" w:w="2376"/>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4"/>
              </w:rPr>
              <w:t>CTO or CISO delegate</w:t>
            </w:r>
          </w:p>
        </w:tc>
        <w:tc>
          <w:tcPr>
            <w:tcW w:type="dxa" w:w="3168"/>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4"/>
              </w:rPr>
              <w:t>Architecture, finance, operations, compliance</w:t>
            </w:r>
          </w:p>
        </w:tc>
        <w:tc>
          <w:tcPr>
            <w:tcW w:type="dxa" w:w="3024"/>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4"/>
              </w:rPr>
              <w:t>Risk-adjusted value &gt; feasibility &gt; time &gt; cost</w:t>
            </w:r>
          </w:p>
        </w:tc>
      </w:tr>
    </w:tbl>
    <w:p>
      <w:pPr>
        <w:spacing w:after="20"/>
      </w:pPr>
    </w:p>
    <w:p>
      <w:pPr>
        <w:keepNext/>
        <w:spacing w:before="100" w:after="60" w:line="240" w:lineRule="auto"/>
      </w:pPr>
      <w:r>
        <w:rPr>
          <w:rFonts w:ascii="Arial" w:hAnsi="Arial"/>
          <w:b/>
          <w:color w:val="081827"/>
          <w:sz w:val="21"/>
        </w:rPr>
        <w:t>Conflict-handling clause</w:t>
      </w:r>
    </w:p>
    <w:tbl>
      <w:tblPr>
        <w:tblW w:type="auto" w:w="0"/>
        <w:jc w:val="center"/>
        <w:tblLayout w:type="fixed"/>
        <w:tblLook w:firstColumn="1" w:firstRow="1" w:lastColumn="0" w:lastRow="0" w:noHBand="0" w:noVBand="1" w:val="04A0"/>
      </w:tblPr>
      <w:tblGrid>
        <w:gridCol w:w="9720"/>
      </w:tblGrid>
      <w:tr>
        <w:tc>
          <w:tcPr>
            <w:tcW w:type="dxa" w:w="10166"/>
            <w:shd w:fill="F5F7FA"/>
            <w:tcMar>
              <w:top w:w="120" w:type="dxa"/>
              <w:start w:w="150" w:type="dxa"/>
              <w:bottom w:w="120" w:type="dxa"/>
              <w:end w:w="150" w:type="dxa"/>
            </w:tcMar>
            <w:tcBorders>
              <w:top w:val="single" w:sz="6" w:color="D0D5DD"/>
              <w:start w:val="single" w:sz="6" w:color="D0D5DD"/>
              <w:bottom w:val="single" w:sz="6" w:color="D0D5DD"/>
              <w:end w:val="single" w:sz="6" w:color="D0D5DD"/>
            </w:tcBorders>
          </w:tcPr>
          <w:p>
            <w:pPr>
              <w:keepNext w:val="0"/>
              <w:spacing w:before="0" w:after="0" w:line="252" w:lineRule="auto"/>
            </w:pPr>
            <w:r>
              <w:rPr>
                <w:rFonts w:ascii="DejaVu Sans Mono" w:hAnsi="DejaVu Sans Mono"/>
                <w:color w:val="17202A"/>
                <w:sz w:val="16"/>
              </w:rPr>
              <w:t>When specialist lenses disagree:</w:t>
            </w:r>
            <w:r>
              <w:br/>
            </w:r>
            <w:r>
              <w:rPr>
                <w:rFonts w:ascii="DejaVu Sans Mono" w:hAnsi="DejaVu Sans Mono"/>
                <w:color w:val="17202A"/>
                <w:sz w:val="16"/>
              </w:rPr>
              <w:t>1. Identify the conflict explicitly.</w:t>
            </w:r>
            <w:r>
              <w:br/>
            </w:r>
            <w:r>
              <w:rPr>
                <w:rFonts w:ascii="DejaVu Sans Mono" w:hAnsi="DejaVu Sans Mono"/>
                <w:color w:val="17202A"/>
                <w:sz w:val="16"/>
              </w:rPr>
              <w:t>2. Apply the stated priority order.</w:t>
            </w:r>
            <w:r>
              <w:br/>
            </w:r>
            <w:r>
              <w:rPr>
                <w:rFonts w:ascii="DejaVu Sans Mono" w:hAnsi="DejaVu Sans Mono"/>
                <w:color w:val="17202A"/>
                <w:sz w:val="16"/>
              </w:rPr>
              <w:t>3. Preserve non-negotiable constraints.</w:t>
            </w:r>
            <w:r>
              <w:br/>
            </w:r>
            <w:r>
              <w:rPr>
                <w:rFonts w:ascii="DejaVu Sans Mono" w:hAnsi="DejaVu Sans Mono"/>
                <w:color w:val="17202A"/>
                <w:sz w:val="16"/>
              </w:rPr>
              <w:t>4. Quantify or characterize the tradeoff.</w:t>
            </w:r>
            <w:r>
              <w:br/>
            </w:r>
            <w:r>
              <w:rPr>
                <w:rFonts w:ascii="DejaVu Sans Mono" w:hAnsi="DejaVu Sans Mono"/>
                <w:color w:val="17202A"/>
                <w:sz w:val="16"/>
              </w:rPr>
              <w:t>5. Escalate only when the choice exceeds the role’s authority or materially changes scope.</w:t>
            </w:r>
          </w:p>
        </w:tc>
      </w:tr>
    </w:tbl>
    <w:p>
      <w:pPr>
        <w:spacing w:after="20"/>
      </w:pPr>
    </w:p>
    <w:p>
      <w:pPr>
        <w:keepNext/>
        <w:spacing w:before="100" w:after="60" w:line="240" w:lineRule="auto"/>
      </w:pPr>
      <w:r>
        <w:rPr>
          <w:rFonts w:ascii="Arial" w:hAnsi="Arial"/>
          <w:b/>
          <w:color w:val="081827"/>
          <w:sz w:val="21"/>
        </w:rPr>
        <w:t>Role-stack prompt fragment</w:t>
      </w:r>
    </w:p>
    <w:tbl>
      <w:tblPr>
        <w:tblW w:type="auto" w:w="0"/>
        <w:jc w:val="center"/>
        <w:tblLayout w:type="fixed"/>
        <w:tblLook w:firstColumn="1" w:firstRow="1" w:lastColumn="0" w:lastRow="0" w:noHBand="0" w:noVBand="1" w:val="04A0"/>
      </w:tblPr>
      <w:tblGrid>
        <w:gridCol w:w="9720"/>
      </w:tblGrid>
      <w:tr>
        <w:tc>
          <w:tcPr>
            <w:tcW w:type="dxa" w:w="10166"/>
            <w:shd w:fill="F8FAFC"/>
            <w:tcMar>
              <w:top w:w="120" w:type="dxa"/>
              <w:start w:w="150" w:type="dxa"/>
              <w:bottom w:w="120" w:type="dxa"/>
              <w:end w:w="150" w:type="dxa"/>
            </w:tcMar>
            <w:tcBorders>
              <w:top w:val="single" w:sz="6" w:color="D0D5DD"/>
              <w:start w:val="single" w:sz="6" w:color="D0D5DD"/>
              <w:bottom w:val="single" w:sz="6" w:color="D0D5DD"/>
              <w:end w:val="single" w:sz="6" w:color="D0D5DD"/>
            </w:tcBorders>
          </w:tcPr>
          <w:p>
            <w:pPr>
              <w:keepNext w:val="0"/>
              <w:spacing w:before="0" w:after="0" w:line="252" w:lineRule="auto"/>
            </w:pPr>
            <w:r>
              <w:rPr>
                <w:rFonts w:ascii="DejaVu Sans Mono" w:hAnsi="DejaVu Sans Mono"/>
                <w:color w:val="17202A"/>
                <w:sz w:val="16"/>
              </w:rPr>
              <w:t>You are the accountable [role]. Consult the work through [lens 1], [lens 2], and [lens 3]. Do not simulate separate personalities or produce redundant opinions. Synthesize one decision. Resolve conflicts using [priority order], and flag any decision that remains outside your stated authority.</w:t>
            </w:r>
          </w:p>
        </w:tc>
      </w:tr>
    </w:tbl>
    <w:p>
      <w:pPr>
        <w:spacing w:after="20"/>
      </w:pPr>
    </w:p>
    <w:p>
      <w:r>
        <w:br w:type="page"/>
      </w:r>
    </w:p>
    <w:p>
      <w:pPr>
        <w:keepNext/>
        <w:spacing w:before="0" w:after="40" w:line="259" w:lineRule="auto"/>
      </w:pPr>
      <w:r>
        <w:rPr>
          <w:rFonts w:ascii="Arial" w:hAnsi="Arial"/>
          <w:b/>
          <w:i w:val="0"/>
          <w:color w:val="1473E6"/>
          <w:sz w:val="14"/>
        </w:rPr>
        <w:t>EFFICIENCY CONTROL</w:t>
      </w:r>
    </w:p>
    <w:p>
      <w:pPr>
        <w:keepNext/>
        <w:spacing w:before="0" w:after="80" w:line="240" w:lineRule="auto"/>
      </w:pPr>
      <w:r>
        <w:rPr>
          <w:rFonts w:ascii="Arial" w:hAnsi="Arial"/>
          <w:b/>
          <w:color w:val="1473E6"/>
          <w:sz w:val="31"/>
        </w:rPr>
        <w:t xml:space="preserve">17  </w:t>
      </w:r>
      <w:r>
        <w:rPr>
          <w:rFonts w:ascii="Arial" w:hAnsi="Arial"/>
          <w:b/>
          <w:color w:val="081827"/>
          <w:sz w:val="31"/>
        </w:rPr>
        <w:t>Context and token architecture</w:t>
      </w:r>
    </w:p>
    <w:p>
      <w:pPr>
        <w:keepNext w:val="0"/>
        <w:spacing w:before="0" w:after="100" w:line="240" w:lineRule="auto"/>
        <w:pBdr>
          <w:bottom w:val="single" w:sz="6" w:space="1" w:color="E4E7EC"/>
        </w:pBdr>
      </w:pPr>
    </w:p>
    <w:p>
      <w:pPr>
        <w:keepNext w:val="0"/>
        <w:spacing w:before="0" w:after="100" w:line="259" w:lineRule="auto"/>
      </w:pPr>
      <w:r>
        <w:rPr>
          <w:rFonts w:ascii="Arial" w:hAnsi="Arial"/>
          <w:b w:val="0"/>
          <w:i w:val="0"/>
          <w:color w:val="17202A"/>
          <w:sz w:val="18"/>
        </w:rPr>
        <w:t>Keep stable controls separate from changing task evidence. This improves auditability, reduces repetition, and makes prompt caching and reusable Skills more effective.</w:t>
      </w:r>
    </w:p>
    <w:tbl>
      <w:tblPr>
        <w:tblW w:type="auto" w:w="0"/>
        <w:jc w:val="center"/>
        <w:tblLayout w:type="fixed"/>
        <w:tblLook w:firstColumn="1" w:firstRow="1" w:lastColumn="0" w:lastRow="0" w:noHBand="0" w:noVBand="1" w:val="04A0"/>
      </w:tblPr>
      <w:tblGrid>
        <w:gridCol w:w="1944"/>
        <w:gridCol w:w="3168"/>
        <w:gridCol w:w="1440"/>
        <w:gridCol w:w="3528"/>
      </w:tblGrid>
      <w:tr>
        <w:trPr>
          <w:tblHeader w:val="true"/>
        </w:trPr>
        <w:tc>
          <w:tcPr>
            <w:tcW w:type="dxa" w:w="2541"/>
            <w:shd w:fill="081827"/>
            <w:tcMar>
              <w:top w:w="90" w:type="dxa"/>
              <w:start w:w="90" w:type="dxa"/>
              <w:bottom w:w="90" w:type="dxa"/>
              <w:end w:w="90" w:type="dxa"/>
            </w:tcMar>
            <w:vAlign w:val="center"/>
          </w:tcPr>
          <w:p>
            <w:pPr>
              <w:keepNext w:val="0"/>
              <w:spacing w:before="0" w:after="0" w:line="240" w:lineRule="auto"/>
              <w:jc w:val="center"/>
            </w:pPr>
            <w:r>
              <w:rPr>
                <w:rFonts w:ascii="Arial" w:hAnsi="Arial"/>
                <w:b/>
                <w:color w:val="FFFFFF"/>
                <w:sz w:val="15"/>
              </w:rPr>
              <w:t>Layer</w:t>
            </w:r>
          </w:p>
        </w:tc>
        <w:tc>
          <w:tcPr>
            <w:tcW w:type="dxa" w:w="2541"/>
            <w:shd w:fill="081827"/>
            <w:tcMar>
              <w:top w:w="90" w:type="dxa"/>
              <w:start w:w="90" w:type="dxa"/>
              <w:bottom w:w="90" w:type="dxa"/>
              <w:end w:w="90" w:type="dxa"/>
            </w:tcMar>
            <w:vAlign w:val="center"/>
          </w:tcPr>
          <w:p>
            <w:pPr>
              <w:keepNext w:val="0"/>
              <w:spacing w:before="0" w:after="0" w:line="240" w:lineRule="auto"/>
              <w:jc w:val="center"/>
            </w:pPr>
            <w:r>
              <w:rPr>
                <w:rFonts w:ascii="Arial" w:hAnsi="Arial"/>
                <w:b/>
                <w:color w:val="FFFFFF"/>
                <w:sz w:val="15"/>
              </w:rPr>
              <w:t>Contents</w:t>
            </w:r>
          </w:p>
        </w:tc>
        <w:tc>
          <w:tcPr>
            <w:tcW w:type="dxa" w:w="2541"/>
            <w:shd w:fill="081827"/>
            <w:tcMar>
              <w:top w:w="90" w:type="dxa"/>
              <w:start w:w="90" w:type="dxa"/>
              <w:bottom w:w="90" w:type="dxa"/>
              <w:end w:w="90" w:type="dxa"/>
            </w:tcMar>
            <w:vAlign w:val="center"/>
          </w:tcPr>
          <w:p>
            <w:pPr>
              <w:keepNext w:val="0"/>
              <w:spacing w:before="0" w:after="0" w:line="240" w:lineRule="auto"/>
              <w:jc w:val="center"/>
            </w:pPr>
            <w:r>
              <w:rPr>
                <w:rFonts w:ascii="Arial" w:hAnsi="Arial"/>
                <w:b/>
                <w:color w:val="FFFFFF"/>
                <w:sz w:val="15"/>
              </w:rPr>
              <w:t>Change rate</w:t>
            </w:r>
          </w:p>
        </w:tc>
        <w:tc>
          <w:tcPr>
            <w:tcW w:type="dxa" w:w="2541"/>
            <w:shd w:fill="081827"/>
            <w:tcMar>
              <w:top w:w="90" w:type="dxa"/>
              <w:start w:w="90" w:type="dxa"/>
              <w:bottom w:w="90" w:type="dxa"/>
              <w:end w:w="90" w:type="dxa"/>
            </w:tcMar>
            <w:vAlign w:val="center"/>
          </w:tcPr>
          <w:p>
            <w:pPr>
              <w:keepNext w:val="0"/>
              <w:spacing w:before="0" w:after="0" w:line="240" w:lineRule="auto"/>
              <w:jc w:val="center"/>
            </w:pPr>
            <w:r>
              <w:rPr>
                <w:rFonts w:ascii="Arial" w:hAnsi="Arial"/>
                <w:b/>
                <w:color w:val="FFFFFF"/>
                <w:sz w:val="15"/>
              </w:rPr>
              <w:t>Efficiency rule</w:t>
            </w:r>
          </w:p>
        </w:tc>
      </w:tr>
      <w:tr>
        <w:tc>
          <w:tcPr>
            <w:tcW w:type="dxa" w:w="1944"/>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1. System / workspace</w:t>
            </w:r>
          </w:p>
        </w:tc>
        <w:tc>
          <w:tcPr>
            <w:tcW w:type="dxa" w:w="3168"/>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Safety, product, organization, and access controls</w:t>
            </w:r>
          </w:p>
        </w:tc>
        <w:tc>
          <w:tcPr>
            <w:tcW w:type="dxa" w:w="1440"/>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Rare</w:t>
            </w:r>
          </w:p>
        </w:tc>
        <w:tc>
          <w:tcPr>
            <w:tcW w:type="dxa" w:w="3528"/>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Do not restate or attempt to override.</w:t>
            </w:r>
          </w:p>
        </w:tc>
      </w:tr>
      <w:tr>
        <w:tc>
          <w:tcPr>
            <w:tcW w:type="dxa" w:w="1944"/>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2. Skill / reusable workflow</w:t>
            </w:r>
          </w:p>
        </w:tc>
        <w:tc>
          <w:tcPr>
            <w:tcW w:type="dxa" w:w="3168"/>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Stable procedure, standards, templates, validation</w:t>
            </w:r>
          </w:p>
        </w:tc>
        <w:tc>
          <w:tcPr>
            <w:tcW w:type="dxa" w:w="1440"/>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Low</w:t>
            </w:r>
          </w:p>
        </w:tc>
        <w:tc>
          <w:tcPr>
            <w:tcW w:type="dxa" w:w="3528"/>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Load only when relevant; keep core instructions compact.</w:t>
            </w:r>
          </w:p>
        </w:tc>
      </w:tr>
      <w:tr>
        <w:tc>
          <w:tcPr>
            <w:tcW w:type="dxa" w:w="1944"/>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3. Project brief</w:t>
            </w:r>
          </w:p>
        </w:tc>
        <w:tc>
          <w:tcPr>
            <w:tcW w:type="dxa" w:w="3168"/>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Architecture, brand, repository, definitions, long-lived decisions</w:t>
            </w:r>
          </w:p>
        </w:tc>
        <w:tc>
          <w:tcPr>
            <w:tcW w:type="dxa" w:w="1440"/>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Medium</w:t>
            </w:r>
          </w:p>
        </w:tc>
        <w:tc>
          <w:tcPr>
            <w:tcW w:type="dxa" w:w="3528"/>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Reference a maintained source of truth.</w:t>
            </w:r>
          </w:p>
        </w:tc>
      </w:tr>
      <w:tr>
        <w:tc>
          <w:tcPr>
            <w:tcW w:type="dxa" w:w="1944"/>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4. Task evidence</w:t>
            </w:r>
          </w:p>
        </w:tc>
        <w:tc>
          <w:tcPr>
            <w:tcW w:type="dxa" w:w="3168"/>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Files, logs, code, data, current research</w:t>
            </w:r>
          </w:p>
        </w:tc>
        <w:tc>
          <w:tcPr>
            <w:tcW w:type="dxa" w:w="1440"/>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High</w:t>
            </w:r>
          </w:p>
        </w:tc>
        <w:tc>
          <w:tcPr>
            <w:tcW w:type="dxa" w:w="3528"/>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Include only evidence that can change the result.</w:t>
            </w:r>
          </w:p>
        </w:tc>
      </w:tr>
      <w:tr>
        <w:tc>
          <w:tcPr>
            <w:tcW w:type="dxa" w:w="1944"/>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5. Output contract</w:t>
            </w:r>
          </w:p>
        </w:tc>
        <w:tc>
          <w:tcPr>
            <w:tcW w:type="dxa" w:w="3168"/>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Schema, length, ordering, artifact requirements</w:t>
            </w:r>
          </w:p>
        </w:tc>
        <w:tc>
          <w:tcPr>
            <w:tcW w:type="dxa" w:w="1440"/>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High</w:t>
            </w:r>
          </w:p>
        </w:tc>
        <w:tc>
          <w:tcPr>
            <w:tcW w:type="dxa" w:w="3528"/>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State once and make it testable.</w:t>
            </w:r>
          </w:p>
        </w:tc>
      </w:tr>
      <w:tr>
        <w:tc>
          <w:tcPr>
            <w:tcW w:type="dxa" w:w="1944"/>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6. Validation state</w:t>
            </w:r>
          </w:p>
        </w:tc>
        <w:tc>
          <w:tcPr>
            <w:tcW w:type="dxa" w:w="3168"/>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Tests, render results, failed checks, open risks</w:t>
            </w:r>
          </w:p>
        </w:tc>
        <w:tc>
          <w:tcPr>
            <w:tcW w:type="dxa" w:w="1440"/>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High</w:t>
            </w:r>
          </w:p>
        </w:tc>
        <w:tc>
          <w:tcPr>
            <w:tcW w:type="dxa" w:w="3528"/>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Carry forward only what remains relevant.</w:t>
            </w:r>
          </w:p>
        </w:tc>
      </w:tr>
    </w:tbl>
    <w:p>
      <w:pPr>
        <w:spacing w:after="20"/>
      </w:pPr>
    </w:p>
    <w:p>
      <w:pPr>
        <w:keepNext/>
        <w:spacing w:before="100" w:after="60" w:line="240" w:lineRule="auto"/>
      </w:pPr>
      <w:r>
        <w:rPr>
          <w:rFonts w:ascii="Arial" w:hAnsi="Arial"/>
          <w:b/>
          <w:color w:val="081827"/>
          <w:sz w:val="21"/>
        </w:rPr>
        <w:t>Token waste to remove</w:t>
      </w:r>
    </w:p>
    <w:p>
      <w:pPr>
        <w:pStyle w:val="ListBullet"/>
        <w:keepNext w:val="0"/>
        <w:spacing w:before="0" w:after="48" w:line="254" w:lineRule="auto"/>
        <w:ind w:left="259" w:hanging="173"/>
      </w:pPr>
      <w:r>
        <w:rPr>
          <w:rFonts w:ascii="Arial" w:hAnsi="Arial"/>
          <w:color w:val="17202A"/>
          <w:sz w:val="18"/>
        </w:rPr>
        <w:t>Repeated persona titles and motivational language.</w:t>
      </w:r>
    </w:p>
    <w:p>
      <w:pPr>
        <w:pStyle w:val="ListBullet"/>
        <w:keepNext w:val="0"/>
        <w:spacing w:before="0" w:after="48" w:line="254" w:lineRule="auto"/>
        <w:ind w:left="259" w:hanging="173"/>
      </w:pPr>
      <w:r>
        <w:rPr>
          <w:rFonts w:ascii="Arial" w:hAnsi="Arial"/>
          <w:color w:val="17202A"/>
          <w:sz w:val="18"/>
        </w:rPr>
        <w:t>Duplicated constraints expressed in multiple sections.</w:t>
      </w:r>
    </w:p>
    <w:p>
      <w:pPr>
        <w:pStyle w:val="ListBullet"/>
        <w:keepNext w:val="0"/>
        <w:spacing w:before="0" w:after="48" w:line="254" w:lineRule="auto"/>
        <w:ind w:left="259" w:hanging="173"/>
      </w:pPr>
      <w:r>
        <w:rPr>
          <w:rFonts w:ascii="Arial" w:hAnsi="Arial"/>
          <w:color w:val="17202A"/>
          <w:sz w:val="18"/>
        </w:rPr>
        <w:t>Generic background that does not affect the decision.</w:t>
      </w:r>
    </w:p>
    <w:p>
      <w:pPr>
        <w:pStyle w:val="ListBullet"/>
        <w:keepNext w:val="0"/>
        <w:spacing w:before="0" w:after="48" w:line="254" w:lineRule="auto"/>
        <w:ind w:left="259" w:hanging="173"/>
      </w:pPr>
      <w:r>
        <w:rPr>
          <w:rFonts w:ascii="Arial" w:hAnsi="Arial"/>
          <w:color w:val="17202A"/>
          <w:sz w:val="18"/>
        </w:rPr>
        <w:t>Full logs or files when a bounded relevant range is sufficient.</w:t>
      </w:r>
    </w:p>
    <w:p>
      <w:pPr>
        <w:pStyle w:val="ListBullet"/>
        <w:keepNext w:val="0"/>
        <w:spacing w:before="0" w:after="48" w:line="254" w:lineRule="auto"/>
        <w:ind w:left="259" w:hanging="173"/>
      </w:pPr>
      <w:r>
        <w:rPr>
          <w:rFonts w:ascii="Arial" w:hAnsi="Arial"/>
          <w:color w:val="17202A"/>
          <w:sz w:val="18"/>
        </w:rPr>
        <w:t>Requesting multiple drafts when one answer plus a validation gate is enough.</w:t>
      </w:r>
    </w:p>
    <w:p>
      <w:pPr>
        <w:pStyle w:val="ListBullet"/>
        <w:keepNext w:val="0"/>
        <w:spacing w:before="0" w:after="48" w:line="254" w:lineRule="auto"/>
        <w:ind w:left="259" w:hanging="173"/>
      </w:pPr>
      <w:r>
        <w:rPr>
          <w:rFonts w:ascii="Arial" w:hAnsi="Arial"/>
          <w:color w:val="17202A"/>
          <w:sz w:val="18"/>
        </w:rPr>
        <w:t>Long explanations of obvious formatting rules instead of an explicit schema.</w:t>
      </w:r>
    </w:p>
    <w:tbl>
      <w:tblPr>
        <w:tblW w:type="auto" w:w="0"/>
        <w:jc w:val="center"/>
        <w:tblLayout w:type="fixed"/>
        <w:tblLook w:firstColumn="1" w:firstRow="1" w:lastColumn="0" w:lastRow="0" w:noHBand="0" w:noVBand="1" w:val="04A0"/>
      </w:tblPr>
      <w:tblGrid>
        <w:gridCol w:w="115"/>
        <w:gridCol w:w="9792"/>
      </w:tblGrid>
      <w:tr>
        <w:tc>
          <w:tcPr>
            <w:tcW w:type="dxa" w:w="5083"/>
            <w:shd w:fill="1473E6"/>
            <w:tcMar>
              <w:top w:w="60" w:type="dxa"/>
              <w:start w:w="0" w:type="dxa"/>
              <w:bottom w:w="60" w:type="dxa"/>
              <w:end w:w="0" w:type="dxa"/>
            </w:tcMar>
            <w:vAlign w:val="center"/>
          </w:tcPr>
          <w:p/>
        </w:tc>
        <w:tc>
          <w:tcPr>
            <w:tcW w:type="dxa" w:w="5083"/>
            <w:shd w:fill="EAF3FF"/>
            <w:tcMar>
              <w:top w:w="110" w:type="dxa"/>
              <w:start w:w="150" w:type="dxa"/>
              <w:bottom w:w="110" w:type="dxa"/>
              <w:end w:w="150" w:type="dxa"/>
            </w:tcMar>
          </w:tcPr>
          <w:p>
            <w:pPr>
              <w:keepNext/>
              <w:spacing w:before="0" w:after="40" w:line="240" w:lineRule="auto"/>
            </w:pPr>
            <w:r>
              <w:rPr>
                <w:rFonts w:ascii="Arial" w:hAnsi="Arial"/>
                <w:b/>
                <w:color w:val="1473E6"/>
                <w:sz w:val="14"/>
              </w:rPr>
              <w:t>PROGRESSIVE LOADING</w:t>
            </w:r>
          </w:p>
          <w:p>
            <w:pPr>
              <w:keepNext w:val="0"/>
              <w:spacing w:before="0" w:after="0" w:line="259" w:lineRule="auto"/>
            </w:pPr>
            <w:r>
              <w:rPr>
                <w:rFonts w:ascii="Arial" w:hAnsi="Arial"/>
                <w:color w:val="17202A"/>
                <w:sz w:val="18"/>
              </w:rPr>
              <w:t>Skills are designed to carry reusable instructions and supporting resources, allowing detailed references or code to be used only when the task requires them.</w:t>
            </w:r>
          </w:p>
        </w:tc>
      </w:tr>
    </w:tbl>
    <w:p>
      <w:pPr>
        <w:spacing w:after="20"/>
      </w:pPr>
    </w:p>
    <w:p>
      <w:pPr>
        <w:keepNext w:val="0"/>
        <w:spacing w:before="60" w:after="0" w:line="240" w:lineRule="auto"/>
      </w:pPr>
      <w:r>
        <w:rPr>
          <w:rFonts w:ascii="Arial" w:hAnsi="Arial"/>
          <w:b/>
          <w:color w:val="667085"/>
          <w:sz w:val="14"/>
        </w:rPr>
        <w:t xml:space="preserve">Sources: </w:t>
      </w:r>
      <w:r>
        <w:rPr>
          <w:rFonts w:ascii="Arial" w:hAnsi="Arial"/>
          <w:color w:val="667085"/>
          <w:sz w:val="14"/>
        </w:rPr>
        <w:t>S01, S04</w:t>
      </w:r>
    </w:p>
    <w:p>
      <w:r>
        <w:br w:type="page"/>
      </w:r>
    </w:p>
    <w:p>
      <w:pPr>
        <w:keepNext/>
        <w:spacing w:before="0" w:after="40" w:line="259" w:lineRule="auto"/>
      </w:pPr>
      <w:r>
        <w:rPr>
          <w:rFonts w:ascii="Arial" w:hAnsi="Arial"/>
          <w:b/>
          <w:i w:val="0"/>
          <w:color w:val="1473E6"/>
          <w:sz w:val="14"/>
        </w:rPr>
        <w:t>EFFICIENCY CONTROL</w:t>
      </w:r>
    </w:p>
    <w:p>
      <w:pPr>
        <w:keepNext/>
        <w:spacing w:before="0" w:after="80" w:line="240" w:lineRule="auto"/>
      </w:pPr>
      <w:r>
        <w:rPr>
          <w:rFonts w:ascii="Arial" w:hAnsi="Arial"/>
          <w:b/>
          <w:color w:val="1473E6"/>
          <w:sz w:val="31"/>
        </w:rPr>
        <w:t xml:space="preserve">18  </w:t>
      </w:r>
      <w:r>
        <w:rPr>
          <w:rFonts w:ascii="Arial" w:hAnsi="Arial"/>
          <w:b/>
          <w:color w:val="081827"/>
          <w:sz w:val="31"/>
        </w:rPr>
        <w:t>API efficiency controls</w:t>
      </w:r>
    </w:p>
    <w:p>
      <w:pPr>
        <w:keepNext w:val="0"/>
        <w:spacing w:before="0" w:after="100" w:line="240" w:lineRule="auto"/>
        <w:pBdr>
          <w:bottom w:val="single" w:sz="6" w:space="1" w:color="E4E7EC"/>
        </w:pBdr>
      </w:pPr>
    </w:p>
    <w:p>
      <w:pPr>
        <w:keepNext w:val="0"/>
        <w:spacing w:before="0" w:after="100" w:line="259" w:lineRule="auto"/>
      </w:pPr>
      <w:r>
        <w:rPr>
          <w:rFonts w:ascii="Arial" w:hAnsi="Arial"/>
          <w:b w:val="0"/>
          <w:i w:val="0"/>
          <w:color w:val="17202A"/>
          <w:sz w:val="18"/>
        </w:rPr>
        <w:t>These controls are API-specific. They must not be presented as ordinary ChatGPT prompt syntax.</w:t>
      </w:r>
    </w:p>
    <w:tbl>
      <w:tblPr>
        <w:tblW w:type="auto" w:w="0"/>
        <w:jc w:val="center"/>
        <w:tblLayout w:type="fixed"/>
        <w:tblLook w:firstColumn="1" w:firstRow="1" w:lastColumn="0" w:lastRow="0" w:noHBand="0" w:noVBand="1" w:val="04A0"/>
      </w:tblPr>
      <w:tblGrid>
        <w:gridCol w:w="2232"/>
        <w:gridCol w:w="3384"/>
        <w:gridCol w:w="4176"/>
      </w:tblGrid>
      <w:tr>
        <w:trPr>
          <w:tblHeader w:val="true"/>
        </w:trPr>
        <w:tc>
          <w:tcPr>
            <w:tcW w:type="dxa" w:w="3389"/>
            <w:shd w:fill="081827"/>
            <w:tcMar>
              <w:top w:w="90" w:type="dxa"/>
              <w:start w:w="90" w:type="dxa"/>
              <w:bottom w:w="90" w:type="dxa"/>
              <w:end w:w="90" w:type="dxa"/>
            </w:tcMar>
            <w:vAlign w:val="center"/>
          </w:tcPr>
          <w:p>
            <w:pPr>
              <w:keepNext w:val="0"/>
              <w:spacing w:before="0" w:after="0" w:line="240" w:lineRule="auto"/>
              <w:jc w:val="center"/>
            </w:pPr>
            <w:r>
              <w:rPr>
                <w:rFonts w:ascii="Arial" w:hAnsi="Arial"/>
                <w:b/>
                <w:color w:val="FFFFFF"/>
                <w:sz w:val="15"/>
              </w:rPr>
              <w:t>Control</w:t>
            </w:r>
          </w:p>
        </w:tc>
        <w:tc>
          <w:tcPr>
            <w:tcW w:type="dxa" w:w="3389"/>
            <w:shd w:fill="081827"/>
            <w:tcMar>
              <w:top w:w="90" w:type="dxa"/>
              <w:start w:w="90" w:type="dxa"/>
              <w:bottom w:w="90" w:type="dxa"/>
              <w:end w:w="90" w:type="dxa"/>
            </w:tcMar>
            <w:vAlign w:val="center"/>
          </w:tcPr>
          <w:p>
            <w:pPr>
              <w:keepNext w:val="0"/>
              <w:spacing w:before="0" w:after="0" w:line="240" w:lineRule="auto"/>
              <w:jc w:val="center"/>
            </w:pPr>
            <w:r>
              <w:rPr>
                <w:rFonts w:ascii="Arial" w:hAnsi="Arial"/>
                <w:b/>
                <w:color w:val="FFFFFF"/>
                <w:sz w:val="15"/>
              </w:rPr>
              <w:t>Use when</w:t>
            </w:r>
          </w:p>
        </w:tc>
        <w:tc>
          <w:tcPr>
            <w:tcW w:type="dxa" w:w="3389"/>
            <w:shd w:fill="081827"/>
            <w:tcMar>
              <w:top w:w="90" w:type="dxa"/>
              <w:start w:w="90" w:type="dxa"/>
              <w:bottom w:w="90" w:type="dxa"/>
              <w:end w:w="90" w:type="dxa"/>
            </w:tcMar>
            <w:vAlign w:val="center"/>
          </w:tcPr>
          <w:p>
            <w:pPr>
              <w:keepNext w:val="0"/>
              <w:spacing w:before="0" w:after="0" w:line="240" w:lineRule="auto"/>
              <w:jc w:val="center"/>
            </w:pPr>
            <w:r>
              <w:rPr>
                <w:rFonts w:ascii="Arial" w:hAnsi="Arial"/>
                <w:b/>
                <w:color w:val="FFFFFF"/>
                <w:sz w:val="15"/>
              </w:rPr>
              <w:t>Guardrail</w:t>
            </w:r>
          </w:p>
        </w:tc>
      </w:tr>
      <w:tr>
        <w:tc>
          <w:tcPr>
            <w:tcW w:type="dxa" w:w="2232"/>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reasoning.effort</w:t>
            </w:r>
          </w:p>
        </w:tc>
        <w:tc>
          <w:tcPr>
            <w:tcW w:type="dxa" w:w="3384"/>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The task benefits from measured additional reasoning</w:t>
            </w:r>
          </w:p>
        </w:tc>
        <w:tc>
          <w:tcPr>
            <w:tcW w:type="dxa" w:w="4176"/>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Compare the same level and one lower; reserve max for hardest workloads.</w:t>
            </w:r>
          </w:p>
        </w:tc>
      </w:tr>
      <w:tr>
        <w:tc>
          <w:tcPr>
            <w:tcW w:type="dxa" w:w="2232"/>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reasoning.mode: pro</w:t>
            </w:r>
          </w:p>
        </w:tc>
        <w:tc>
          <w:tcPr>
            <w:tcW w:type="dxa" w:w="3384"/>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A marginal reliability gain materially affects a difficult outcome</w:t>
            </w:r>
          </w:p>
        </w:tc>
        <w:tc>
          <w:tcPr>
            <w:tcW w:type="dxa" w:w="4176"/>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Benchmark against standard mode; tokens and latency increase.</w:t>
            </w:r>
          </w:p>
        </w:tc>
      </w:tr>
      <w:tr>
        <w:tc>
          <w:tcPr>
            <w:tcW w:type="dxa" w:w="2232"/>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text.verbosity</w:t>
            </w:r>
          </w:p>
        </w:tc>
        <w:tc>
          <w:tcPr>
            <w:tcW w:type="dxa" w:w="3384"/>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A stable default detail level is useful across requests</w:t>
            </w:r>
          </w:p>
        </w:tc>
        <w:tc>
          <w:tcPr>
            <w:tcW w:type="dxa" w:w="4176"/>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Prompt still states mandatory content and structure.</w:t>
            </w:r>
          </w:p>
        </w:tc>
      </w:tr>
      <w:tr>
        <w:tc>
          <w:tcPr>
            <w:tcW w:type="dxa" w:w="2232"/>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reasoning.context: all_turns</w:t>
            </w:r>
          </w:p>
        </w:tc>
        <w:tc>
          <w:tcPr>
            <w:tcW w:type="dxa" w:w="3384"/>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Goals, assumptions, and priorities remain stable across turns</w:t>
            </w:r>
          </w:p>
        </w:tc>
        <w:tc>
          <w:tcPr>
            <w:tcW w:type="dxa" w:w="4176"/>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Do not carry obsolete reasoning into a changed task.</w:t>
            </w:r>
          </w:p>
        </w:tc>
      </w:tr>
      <w:tr>
        <w:tc>
          <w:tcPr>
            <w:tcW w:type="dxa" w:w="2232"/>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reasoning.context: current_turn</w:t>
            </w:r>
          </w:p>
        </w:tc>
        <w:tc>
          <w:tcPr>
            <w:tcW w:type="dxa" w:w="3384"/>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Earlier reasoning is no longer relevant</w:t>
            </w:r>
          </w:p>
        </w:tc>
        <w:tc>
          <w:tcPr>
            <w:tcW w:type="dxa" w:w="4176"/>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Preserve needed evidence explicitly.</w:t>
            </w:r>
          </w:p>
        </w:tc>
      </w:tr>
      <w:tr>
        <w:tc>
          <w:tcPr>
            <w:tcW w:type="dxa" w:w="2232"/>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Prompt caching</w:t>
            </w:r>
          </w:p>
        </w:tc>
        <w:tc>
          <w:tcPr>
            <w:tcW w:type="dxa" w:w="3384"/>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A reusable prefix is stable and repeated</w:t>
            </w:r>
          </w:p>
        </w:tc>
        <w:tc>
          <w:tcPr>
            <w:tcW w:type="dxa" w:w="4176"/>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Track cache writes/reads; avoid unnecessary writes.</w:t>
            </w:r>
          </w:p>
        </w:tc>
      </w:tr>
      <w:tr>
        <w:tc>
          <w:tcPr>
            <w:tcW w:type="dxa" w:w="2232"/>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Programmatic Tool Calling</w:t>
            </w:r>
          </w:p>
        </w:tc>
        <w:tc>
          <w:tcPr>
            <w:tcW w:type="dxa" w:w="3384"/>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Bounded tool-heavy processing needs little fresh judgment between calls</w:t>
            </w:r>
          </w:p>
        </w:tc>
        <w:tc>
          <w:tcPr>
            <w:tcW w:type="dxa" w:w="4176"/>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Measure final-answer completeness, not just fewer calls.</w:t>
            </w:r>
          </w:p>
        </w:tc>
      </w:tr>
      <w:tr>
        <w:tc>
          <w:tcPr>
            <w:tcW w:type="dxa" w:w="2232"/>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Multi-agent beta</w:t>
            </w:r>
          </w:p>
        </w:tc>
        <w:tc>
          <w:tcPr>
            <w:tcW w:type="dxa" w:w="3384"/>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Independent workstreams can run in parallel and be synthesized</w:t>
            </w:r>
          </w:p>
        </w:tc>
        <w:tc>
          <w:tcPr>
            <w:tcW w:type="dxa" w:w="4176"/>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Avoid for tightly coupled decisions or shared mutable state.</w:t>
            </w:r>
          </w:p>
        </w:tc>
      </w:tr>
    </w:tbl>
    <w:p>
      <w:pPr>
        <w:spacing w:after="20"/>
      </w:pPr>
    </w:p>
    <w:tbl>
      <w:tblPr>
        <w:tblW w:type="auto" w:w="0"/>
        <w:jc w:val="center"/>
        <w:tblLayout w:type="fixed"/>
        <w:tblLook w:firstColumn="1" w:firstRow="1" w:lastColumn="0" w:lastRow="0" w:noHBand="0" w:noVBand="1" w:val="04A0"/>
      </w:tblPr>
      <w:tblGrid>
        <w:gridCol w:w="115"/>
        <w:gridCol w:w="9792"/>
      </w:tblGrid>
      <w:tr>
        <w:tc>
          <w:tcPr>
            <w:tcW w:type="dxa" w:w="5083"/>
            <w:shd w:fill="14833B"/>
            <w:tcMar>
              <w:top w:w="60" w:type="dxa"/>
              <w:start w:w="0" w:type="dxa"/>
              <w:bottom w:w="60" w:type="dxa"/>
              <w:end w:w="0" w:type="dxa"/>
            </w:tcMar>
            <w:vAlign w:val="center"/>
          </w:tcPr>
          <w:p/>
        </w:tc>
        <w:tc>
          <w:tcPr>
            <w:tcW w:type="dxa" w:w="5083"/>
            <w:shd w:fill="EAF8EF"/>
            <w:tcMar>
              <w:top w:w="110" w:type="dxa"/>
              <w:start w:w="150" w:type="dxa"/>
              <w:bottom w:w="110" w:type="dxa"/>
              <w:end w:w="150" w:type="dxa"/>
            </w:tcMar>
          </w:tcPr>
          <w:p>
            <w:pPr>
              <w:keepNext/>
              <w:spacing w:before="0" w:after="40" w:line="240" w:lineRule="auto"/>
            </w:pPr>
            <w:r>
              <w:rPr>
                <w:rFonts w:ascii="Arial" w:hAnsi="Arial"/>
                <w:b/>
                <w:color w:val="14833B"/>
                <w:sz w:val="14"/>
              </w:rPr>
              <w:t>EFFICIENCY METRIC</w:t>
            </w:r>
          </w:p>
          <w:p>
            <w:pPr>
              <w:keepNext w:val="0"/>
              <w:spacing w:before="0" w:after="0" w:line="259" w:lineRule="auto"/>
            </w:pPr>
            <w:r>
              <w:rPr>
                <w:rFonts w:ascii="Arial" w:hAnsi="Arial"/>
                <w:color w:val="17202A"/>
                <w:sz w:val="18"/>
              </w:rPr>
              <w:t>Fewer tokens or tool calls are improvements only when the final answer still satisfies correctness, evidence, and completion requirements.</w:t>
            </w:r>
          </w:p>
        </w:tc>
      </w:tr>
    </w:tbl>
    <w:p>
      <w:pPr>
        <w:spacing w:after="20"/>
      </w:pPr>
    </w:p>
    <w:p>
      <w:pPr>
        <w:keepNext w:val="0"/>
        <w:spacing w:before="60" w:after="0" w:line="240" w:lineRule="auto"/>
      </w:pPr>
      <w:r>
        <w:rPr>
          <w:rFonts w:ascii="Arial" w:hAnsi="Arial"/>
          <w:b/>
          <w:color w:val="667085"/>
          <w:sz w:val="14"/>
        </w:rPr>
        <w:t xml:space="preserve">Sources: </w:t>
      </w:r>
      <w:r>
        <w:rPr>
          <w:rFonts w:ascii="Arial" w:hAnsi="Arial"/>
          <w:color w:val="667085"/>
          <w:sz w:val="14"/>
        </w:rPr>
        <w:t>S01</w:t>
      </w:r>
    </w:p>
    <w:p>
      <w:r>
        <w:br w:type="page"/>
      </w:r>
    </w:p>
    <w:p>
      <w:pPr>
        <w:keepNext/>
        <w:spacing w:before="0" w:after="40" w:line="259" w:lineRule="auto"/>
      </w:pPr>
      <w:r>
        <w:rPr>
          <w:rFonts w:ascii="Arial" w:hAnsi="Arial"/>
          <w:b/>
          <w:i w:val="0"/>
          <w:color w:val="1473E6"/>
          <w:sz w:val="14"/>
        </w:rPr>
        <w:t>GROUNDING CONTROL</w:t>
      </w:r>
    </w:p>
    <w:p>
      <w:pPr>
        <w:keepNext/>
        <w:spacing w:before="0" w:after="80" w:line="240" w:lineRule="auto"/>
      </w:pPr>
      <w:r>
        <w:rPr>
          <w:rFonts w:ascii="Arial" w:hAnsi="Arial"/>
          <w:b/>
          <w:color w:val="1473E6"/>
          <w:sz w:val="31"/>
        </w:rPr>
        <w:t xml:space="preserve">19  </w:t>
      </w:r>
      <w:r>
        <w:rPr>
          <w:rFonts w:ascii="Arial" w:hAnsi="Arial"/>
          <w:b/>
          <w:color w:val="081827"/>
          <w:sz w:val="31"/>
        </w:rPr>
        <w:t>Evidence and source protocol</w:t>
      </w:r>
    </w:p>
    <w:p>
      <w:pPr>
        <w:keepNext w:val="0"/>
        <w:spacing w:before="0" w:after="100" w:line="240" w:lineRule="auto"/>
        <w:pBdr>
          <w:bottom w:val="single" w:sz="6" w:space="1" w:color="E4E7EC"/>
        </w:pBdr>
      </w:pPr>
    </w:p>
    <w:tbl>
      <w:tblPr>
        <w:tblW w:type="auto" w:w="0"/>
        <w:jc w:val="center"/>
        <w:tblLayout w:type="fixed"/>
        <w:tblLook w:firstColumn="1" w:firstRow="1" w:lastColumn="0" w:lastRow="0" w:noHBand="0" w:noVBand="1" w:val="04A0"/>
      </w:tblPr>
      <w:tblGrid>
        <w:gridCol w:w="2088"/>
        <w:gridCol w:w="3528"/>
        <w:gridCol w:w="4176"/>
      </w:tblGrid>
      <w:tr>
        <w:trPr>
          <w:tblHeader w:val="true"/>
        </w:trPr>
        <w:tc>
          <w:tcPr>
            <w:tcW w:type="dxa" w:w="3389"/>
            <w:shd w:fill="081827"/>
            <w:tcMar>
              <w:top w:w="90" w:type="dxa"/>
              <w:start w:w="90" w:type="dxa"/>
              <w:bottom w:w="90" w:type="dxa"/>
              <w:end w:w="90" w:type="dxa"/>
            </w:tcMar>
            <w:vAlign w:val="center"/>
          </w:tcPr>
          <w:p>
            <w:pPr>
              <w:keepNext w:val="0"/>
              <w:spacing w:before="0" w:after="0" w:line="240" w:lineRule="auto"/>
              <w:jc w:val="center"/>
            </w:pPr>
            <w:r>
              <w:rPr>
                <w:rFonts w:ascii="Arial" w:hAnsi="Arial"/>
                <w:b/>
                <w:color w:val="FFFFFF"/>
                <w:sz w:val="15"/>
              </w:rPr>
              <w:t>Evidence class</w:t>
            </w:r>
          </w:p>
        </w:tc>
        <w:tc>
          <w:tcPr>
            <w:tcW w:type="dxa" w:w="3389"/>
            <w:shd w:fill="081827"/>
            <w:tcMar>
              <w:top w:w="90" w:type="dxa"/>
              <w:start w:w="90" w:type="dxa"/>
              <w:bottom w:w="90" w:type="dxa"/>
              <w:end w:w="90" w:type="dxa"/>
            </w:tcMar>
            <w:vAlign w:val="center"/>
          </w:tcPr>
          <w:p>
            <w:pPr>
              <w:keepNext w:val="0"/>
              <w:spacing w:before="0" w:after="0" w:line="240" w:lineRule="auto"/>
              <w:jc w:val="center"/>
            </w:pPr>
            <w:r>
              <w:rPr>
                <w:rFonts w:ascii="Arial" w:hAnsi="Arial"/>
                <w:b/>
                <w:color w:val="FFFFFF"/>
                <w:sz w:val="15"/>
              </w:rPr>
              <w:t>Examples</w:t>
            </w:r>
          </w:p>
        </w:tc>
        <w:tc>
          <w:tcPr>
            <w:tcW w:type="dxa" w:w="3389"/>
            <w:shd w:fill="081827"/>
            <w:tcMar>
              <w:top w:w="90" w:type="dxa"/>
              <w:start w:w="90" w:type="dxa"/>
              <w:bottom w:w="90" w:type="dxa"/>
              <w:end w:w="90" w:type="dxa"/>
            </w:tcMar>
            <w:vAlign w:val="center"/>
          </w:tcPr>
          <w:p>
            <w:pPr>
              <w:keepNext w:val="0"/>
              <w:spacing w:before="0" w:after="0" w:line="240" w:lineRule="auto"/>
              <w:jc w:val="center"/>
            </w:pPr>
            <w:r>
              <w:rPr>
                <w:rFonts w:ascii="Arial" w:hAnsi="Arial"/>
                <w:b/>
                <w:color w:val="FFFFFF"/>
                <w:sz w:val="15"/>
              </w:rPr>
              <w:t>Required treatment</w:t>
            </w:r>
          </w:p>
        </w:tc>
      </w:tr>
      <w:tr>
        <w:tc>
          <w:tcPr>
            <w:tcW w:type="dxa" w:w="2088"/>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Supplied primary artifact</w:t>
            </w:r>
          </w:p>
        </w:tc>
        <w:tc>
          <w:tcPr>
            <w:tcW w:type="dxa" w:w="3528"/>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Code, contract, logs, architecture, spreadsheet, PDF</w:t>
            </w:r>
          </w:p>
        </w:tc>
        <w:tc>
          <w:tcPr>
            <w:tcW w:type="dxa" w:w="4176"/>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Inspect directly; cite precise location; do not substitute web summaries.</w:t>
            </w:r>
          </w:p>
        </w:tc>
      </w:tr>
      <w:tr>
        <w:tc>
          <w:tcPr>
            <w:tcW w:type="dxa" w:w="2088"/>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Current official source</w:t>
            </w:r>
          </w:p>
        </w:tc>
        <w:tc>
          <w:tcPr>
            <w:tcW w:type="dxa" w:w="3528"/>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OpenAI docs, vendor docs, laws, standards publisher</w:t>
            </w:r>
          </w:p>
        </w:tc>
        <w:tc>
          <w:tcPr>
            <w:tcW w:type="dxa" w:w="4176"/>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Verify freshness; capture date/version; cite claim inline.</w:t>
            </w:r>
          </w:p>
        </w:tc>
      </w:tr>
      <w:tr>
        <w:tc>
          <w:tcPr>
            <w:tcW w:type="dxa" w:w="2088"/>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Connected internal source</w:t>
            </w:r>
          </w:p>
        </w:tc>
        <w:tc>
          <w:tcPr>
            <w:tcW w:type="dxa" w:w="3528"/>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Drive file, email, calendar, CRM, repository</w:t>
            </w:r>
          </w:p>
        </w:tc>
        <w:tc>
          <w:tcPr>
            <w:tcW w:type="dxa" w:w="4176"/>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Respect source permissions; distinguish retrieved content from inference.</w:t>
            </w:r>
          </w:p>
        </w:tc>
      </w:tr>
      <w:tr>
        <w:tc>
          <w:tcPr>
            <w:tcW w:type="dxa" w:w="2088"/>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Deterministic output</w:t>
            </w:r>
          </w:p>
        </w:tc>
        <w:tc>
          <w:tcPr>
            <w:tcW w:type="dxa" w:w="3528"/>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Test result, calculation, render, diff, parser output</w:t>
            </w:r>
          </w:p>
        </w:tc>
        <w:tc>
          <w:tcPr>
            <w:tcW w:type="dxa" w:w="4176"/>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Record command/method and actual result.</w:t>
            </w:r>
          </w:p>
        </w:tc>
      </w:tr>
      <w:tr>
        <w:tc>
          <w:tcPr>
            <w:tcW w:type="dxa" w:w="2088"/>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Secondary source</w:t>
            </w:r>
          </w:p>
        </w:tc>
        <w:tc>
          <w:tcPr>
            <w:tcW w:type="dxa" w:w="3528"/>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News, analysis, community content</w:t>
            </w:r>
          </w:p>
        </w:tc>
        <w:tc>
          <w:tcPr>
            <w:tcW w:type="dxa" w:w="4176"/>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Use for context; do not outrank primary sources without explanation.</w:t>
            </w:r>
          </w:p>
        </w:tc>
      </w:tr>
      <w:tr>
        <w:tc>
          <w:tcPr>
            <w:tcW w:type="dxa" w:w="2088"/>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Inference</w:t>
            </w:r>
          </w:p>
        </w:tc>
        <w:tc>
          <w:tcPr>
            <w:tcW w:type="dxa" w:w="3528"/>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Conclusion derived from multiple facts</w:t>
            </w:r>
          </w:p>
        </w:tc>
        <w:tc>
          <w:tcPr>
            <w:tcW w:type="dxa" w:w="4176"/>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Label explicitly; cite supporting evidence; state uncertainty.</w:t>
            </w:r>
          </w:p>
        </w:tc>
      </w:tr>
      <w:tr>
        <w:tc>
          <w:tcPr>
            <w:tcW w:type="dxa" w:w="2088"/>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Assumption</w:t>
            </w:r>
          </w:p>
        </w:tc>
        <w:tc>
          <w:tcPr>
            <w:tcW w:type="dxa" w:w="3528"/>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Unverified condition needed to proceed</w:t>
            </w:r>
          </w:p>
        </w:tc>
        <w:tc>
          <w:tcPr>
            <w:tcW w:type="dxa" w:w="4176"/>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Record it; explain impact; validate if material.</w:t>
            </w:r>
          </w:p>
        </w:tc>
      </w:tr>
    </w:tbl>
    <w:p>
      <w:pPr>
        <w:spacing w:after="20"/>
      </w:pPr>
    </w:p>
    <w:p>
      <w:pPr>
        <w:keepNext/>
        <w:spacing w:before="100" w:after="60" w:line="240" w:lineRule="auto"/>
      </w:pPr>
      <w:r>
        <w:rPr>
          <w:rFonts w:ascii="Arial" w:hAnsi="Arial"/>
          <w:b/>
          <w:color w:val="081827"/>
          <w:sz w:val="21"/>
        </w:rPr>
        <w:t>Evidence clause</w:t>
      </w:r>
    </w:p>
    <w:tbl>
      <w:tblPr>
        <w:tblW w:type="auto" w:w="0"/>
        <w:jc w:val="center"/>
        <w:tblLayout w:type="fixed"/>
        <w:tblLook w:firstColumn="1" w:firstRow="1" w:lastColumn="0" w:lastRow="0" w:noHBand="0" w:noVBand="1" w:val="04A0"/>
      </w:tblPr>
      <w:tblGrid>
        <w:gridCol w:w="9720"/>
      </w:tblGrid>
      <w:tr>
        <w:tc>
          <w:tcPr>
            <w:tcW w:type="dxa" w:w="10166"/>
            <w:shd w:fill="F5F7FA"/>
            <w:tcMar>
              <w:top w:w="120" w:type="dxa"/>
              <w:start w:w="150" w:type="dxa"/>
              <w:bottom w:w="120" w:type="dxa"/>
              <w:end w:w="150" w:type="dxa"/>
            </w:tcMar>
            <w:tcBorders>
              <w:top w:val="single" w:sz="6" w:color="D0D5DD"/>
              <w:start w:val="single" w:sz="6" w:color="D0D5DD"/>
              <w:bottom w:val="single" w:sz="6" w:color="D0D5DD"/>
              <w:end w:val="single" w:sz="6" w:color="D0D5DD"/>
            </w:tcBorders>
          </w:tcPr>
          <w:p>
            <w:pPr>
              <w:keepNext w:val="0"/>
              <w:spacing w:before="0" w:after="0" w:line="252" w:lineRule="auto"/>
            </w:pPr>
            <w:r>
              <w:rPr>
                <w:rFonts w:ascii="DejaVu Sans Mono" w:hAnsi="DejaVu Sans Mono"/>
                <w:color w:val="17202A"/>
                <w:sz w:val="16"/>
              </w:rPr>
              <w:t>For every material claim, identify whether it is: supplied fact, current official source, deterministic test result, connected internal evidence, inference, or assumption. Cite the smallest useful source location. When evidence conflicts, present the conflict and explain the decision rule. Do not convert missing evidence into confidence.</w:t>
            </w:r>
          </w:p>
        </w:tc>
      </w:tr>
    </w:tbl>
    <w:p>
      <w:pPr>
        <w:spacing w:after="20"/>
      </w:pPr>
    </w:p>
    <w:tbl>
      <w:tblPr>
        <w:tblW w:type="auto" w:w="0"/>
        <w:jc w:val="center"/>
        <w:tblLayout w:type="fixed"/>
        <w:tblLook w:firstColumn="1" w:firstRow="1" w:lastColumn="0" w:lastRow="0" w:noHBand="0" w:noVBand="1" w:val="04A0"/>
      </w:tblPr>
      <w:tblGrid>
        <w:gridCol w:w="115"/>
        <w:gridCol w:w="9792"/>
      </w:tblGrid>
      <w:tr>
        <w:tc>
          <w:tcPr>
            <w:tcW w:type="dxa" w:w="5083"/>
            <w:shd w:fill="B96800"/>
            <w:tcMar>
              <w:top w:w="60" w:type="dxa"/>
              <w:start w:w="0" w:type="dxa"/>
              <w:bottom w:w="60" w:type="dxa"/>
              <w:end w:w="0" w:type="dxa"/>
            </w:tcMar>
            <w:vAlign w:val="center"/>
          </w:tcPr>
          <w:p/>
        </w:tc>
        <w:tc>
          <w:tcPr>
            <w:tcW w:type="dxa" w:w="5083"/>
            <w:shd w:fill="FFF4DF"/>
            <w:tcMar>
              <w:top w:w="110" w:type="dxa"/>
              <w:start w:w="150" w:type="dxa"/>
              <w:bottom w:w="110" w:type="dxa"/>
              <w:end w:w="150" w:type="dxa"/>
            </w:tcMar>
          </w:tcPr>
          <w:p>
            <w:pPr>
              <w:keepNext/>
              <w:spacing w:before="0" w:after="40" w:line="240" w:lineRule="auto"/>
            </w:pPr>
            <w:r>
              <w:rPr>
                <w:rFonts w:ascii="Arial" w:hAnsi="Arial"/>
                <w:b/>
                <w:color w:val="B96800"/>
                <w:sz w:val="14"/>
              </w:rPr>
              <w:t>CURRENT-INFORMATION RULE</w:t>
            </w:r>
          </w:p>
          <w:p>
            <w:pPr>
              <w:keepNext w:val="0"/>
              <w:spacing w:before="0" w:after="0" w:line="259" w:lineRule="auto"/>
            </w:pPr>
            <w:r>
              <w:rPr>
                <w:rFonts w:ascii="Arial" w:hAnsi="Arial"/>
                <w:color w:val="17202A"/>
                <w:sz w:val="18"/>
              </w:rPr>
              <w:t>Model knowledge is not a substitute for current verification when facts may have changed. Use current official sources for product behavior, policies, software documentation, and standards.</w:t>
            </w:r>
          </w:p>
        </w:tc>
      </w:tr>
    </w:tbl>
    <w:p>
      <w:pPr>
        <w:spacing w:after="20"/>
      </w:pPr>
    </w:p>
    <w:p>
      <w:r>
        <w:br w:type="page"/>
      </w:r>
    </w:p>
    <w:p>
      <w:pPr>
        <w:keepNext/>
        <w:spacing w:before="0" w:after="40" w:line="259" w:lineRule="auto"/>
      </w:pPr>
      <w:r>
        <w:rPr>
          <w:rFonts w:ascii="Arial" w:hAnsi="Arial"/>
          <w:b/>
          <w:i w:val="0"/>
          <w:color w:val="1473E6"/>
          <w:sz w:val="14"/>
        </w:rPr>
        <w:t>GROUNDING CONTROL</w:t>
      </w:r>
    </w:p>
    <w:p>
      <w:pPr>
        <w:keepNext/>
        <w:spacing w:before="0" w:after="80" w:line="240" w:lineRule="auto"/>
      </w:pPr>
      <w:r>
        <w:rPr>
          <w:rFonts w:ascii="Arial" w:hAnsi="Arial"/>
          <w:b/>
          <w:color w:val="1473E6"/>
          <w:sz w:val="31"/>
        </w:rPr>
        <w:t xml:space="preserve">20  </w:t>
      </w:r>
      <w:r>
        <w:rPr>
          <w:rFonts w:ascii="Arial" w:hAnsi="Arial"/>
          <w:b/>
          <w:color w:val="081827"/>
          <w:sz w:val="31"/>
        </w:rPr>
        <w:t>Ambiguity and assumption protocol</w:t>
      </w:r>
    </w:p>
    <w:p>
      <w:pPr>
        <w:keepNext w:val="0"/>
        <w:spacing w:before="0" w:after="100" w:line="240" w:lineRule="auto"/>
        <w:pBdr>
          <w:bottom w:val="single" w:sz="6" w:space="1" w:color="E4E7EC"/>
        </w:pBdr>
      </w:pPr>
    </w:p>
    <w:p>
      <w:pPr>
        <w:keepNext w:val="0"/>
        <w:spacing w:before="0" w:after="100" w:line="259" w:lineRule="auto"/>
      </w:pPr>
      <w:r>
        <w:rPr>
          <w:rFonts w:ascii="Arial" w:hAnsi="Arial"/>
          <w:b w:val="0"/>
          <w:i w:val="0"/>
          <w:color w:val="17202A"/>
          <w:sz w:val="18"/>
        </w:rPr>
        <w:t>The goal is neither “never ask questions” nor “ask about everything.” The model should pause only when the missing fact materially affects correctness, authorization, safety, or scope.</w:t>
      </w:r>
    </w:p>
    <w:tbl>
      <w:tblPr>
        <w:tblW w:type="auto" w:w="0"/>
        <w:jc w:val="center"/>
        <w:tblLayout w:type="fixed"/>
        <w:tblLook w:firstColumn="1" w:firstRow="1" w:lastColumn="0" w:lastRow="0" w:noHBand="0" w:noVBand="1" w:val="04A0"/>
      </w:tblPr>
      <w:tblGrid>
        <w:gridCol w:w="3384"/>
        <w:gridCol w:w="6408"/>
      </w:tblGrid>
      <w:tr>
        <w:trPr>
          <w:tblHeader w:val="true"/>
        </w:trPr>
        <w:tc>
          <w:tcPr>
            <w:tcW w:type="dxa" w:w="5083"/>
            <w:shd w:fill="081827"/>
            <w:tcMar>
              <w:top w:w="90" w:type="dxa"/>
              <w:start w:w="90" w:type="dxa"/>
              <w:bottom w:w="90" w:type="dxa"/>
              <w:end w:w="90" w:type="dxa"/>
            </w:tcMar>
            <w:vAlign w:val="center"/>
          </w:tcPr>
          <w:p>
            <w:pPr>
              <w:keepNext w:val="0"/>
              <w:spacing w:before="0" w:after="0" w:line="240" w:lineRule="auto"/>
              <w:jc w:val="center"/>
            </w:pPr>
            <w:r>
              <w:rPr>
                <w:rFonts w:ascii="Arial" w:hAnsi="Arial"/>
                <w:b/>
                <w:color w:val="FFFFFF"/>
                <w:sz w:val="15"/>
              </w:rPr>
              <w:t>Condition</w:t>
            </w:r>
          </w:p>
        </w:tc>
        <w:tc>
          <w:tcPr>
            <w:tcW w:type="dxa" w:w="5083"/>
            <w:shd w:fill="081827"/>
            <w:tcMar>
              <w:top w:w="90" w:type="dxa"/>
              <w:start w:w="90" w:type="dxa"/>
              <w:bottom w:w="90" w:type="dxa"/>
              <w:end w:w="90" w:type="dxa"/>
            </w:tcMar>
            <w:vAlign w:val="center"/>
          </w:tcPr>
          <w:p>
            <w:pPr>
              <w:keepNext w:val="0"/>
              <w:spacing w:before="0" w:after="0" w:line="240" w:lineRule="auto"/>
              <w:jc w:val="center"/>
            </w:pPr>
            <w:r>
              <w:rPr>
                <w:rFonts w:ascii="Arial" w:hAnsi="Arial"/>
                <w:b/>
                <w:color w:val="FFFFFF"/>
                <w:sz w:val="15"/>
              </w:rPr>
              <w:t>Required behavior</w:t>
            </w:r>
          </w:p>
        </w:tc>
      </w:tr>
      <w:tr>
        <w:tc>
          <w:tcPr>
            <w:tcW w:type="dxa" w:w="3384"/>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6"/>
              </w:rPr>
              <w:t>Authorization or target ownership is unclear</w:t>
            </w:r>
          </w:p>
        </w:tc>
        <w:tc>
          <w:tcPr>
            <w:tcW w:type="dxa" w:w="6408"/>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6"/>
              </w:rPr>
              <w:t>Ask before advanced cyber analysis or any external action.</w:t>
            </w:r>
          </w:p>
        </w:tc>
      </w:tr>
      <w:tr>
        <w:tc>
          <w:tcPr>
            <w:tcW w:type="dxa" w:w="3384"/>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6"/>
              </w:rPr>
              <w:t>Two interpretations produce materially different deliverables</w:t>
            </w:r>
          </w:p>
        </w:tc>
        <w:tc>
          <w:tcPr>
            <w:tcW w:type="dxa" w:w="6408"/>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6"/>
              </w:rPr>
              <w:t>Ask one focused question or present the alternatives and request selection.</w:t>
            </w:r>
          </w:p>
        </w:tc>
      </w:tr>
      <w:tr>
        <w:tc>
          <w:tcPr>
            <w:tcW w:type="dxa" w:w="3384"/>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6"/>
              </w:rPr>
              <w:t>A non-material detail is missing</w:t>
            </w:r>
          </w:p>
        </w:tc>
        <w:tc>
          <w:tcPr>
            <w:tcW w:type="dxa" w:w="6408"/>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6"/>
              </w:rPr>
              <w:t>State a reasonable assumption and continue.</w:t>
            </w:r>
          </w:p>
        </w:tc>
      </w:tr>
      <w:tr>
        <w:tc>
          <w:tcPr>
            <w:tcW w:type="dxa" w:w="3384"/>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6"/>
              </w:rPr>
              <w:t>Current fact may have changed</w:t>
            </w:r>
          </w:p>
        </w:tc>
        <w:tc>
          <w:tcPr>
            <w:tcW w:type="dxa" w:w="6408"/>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6"/>
              </w:rPr>
              <w:t>Verify from an authoritative current source.</w:t>
            </w:r>
          </w:p>
        </w:tc>
      </w:tr>
      <w:tr>
        <w:tc>
          <w:tcPr>
            <w:tcW w:type="dxa" w:w="3384"/>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6"/>
              </w:rPr>
              <w:t>Evidence is incomplete but a bounded analysis is still useful</w:t>
            </w:r>
          </w:p>
        </w:tc>
        <w:tc>
          <w:tcPr>
            <w:tcW w:type="dxa" w:w="6408"/>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6"/>
              </w:rPr>
              <w:t>Proceed with limitations, confidence, and missing-evidence list.</w:t>
            </w:r>
          </w:p>
        </w:tc>
      </w:tr>
      <w:tr>
        <w:tc>
          <w:tcPr>
            <w:tcW w:type="dxa" w:w="3384"/>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6"/>
              </w:rPr>
              <w:t>Required source or file is unavailable</w:t>
            </w:r>
          </w:p>
        </w:tc>
        <w:tc>
          <w:tcPr>
            <w:tcW w:type="dxa" w:w="6408"/>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6"/>
              </w:rPr>
              <w:t>Do not invent its contents; identify the gap and the next retrieval step.</w:t>
            </w:r>
          </w:p>
        </w:tc>
      </w:tr>
      <w:tr>
        <w:tc>
          <w:tcPr>
            <w:tcW w:type="dxa" w:w="3384"/>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6"/>
              </w:rPr>
              <w:t>The task exceeds authorized scope</w:t>
            </w:r>
          </w:p>
        </w:tc>
        <w:tc>
          <w:tcPr>
            <w:tcW w:type="dxa" w:w="6408"/>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6"/>
              </w:rPr>
              <w:t>Stop at the boundary and request explicit expansion.</w:t>
            </w:r>
          </w:p>
        </w:tc>
      </w:tr>
    </w:tbl>
    <w:p>
      <w:pPr>
        <w:spacing w:after="20"/>
      </w:pPr>
    </w:p>
    <w:p>
      <w:pPr>
        <w:keepNext/>
        <w:spacing w:before="100" w:after="60" w:line="240" w:lineRule="auto"/>
      </w:pPr>
      <w:r>
        <w:rPr>
          <w:rFonts w:ascii="Arial" w:hAnsi="Arial"/>
          <w:b/>
          <w:color w:val="081827"/>
          <w:sz w:val="21"/>
        </w:rPr>
        <w:t>Assumption register</w:t>
      </w:r>
    </w:p>
    <w:tbl>
      <w:tblPr>
        <w:tblW w:type="auto" w:w="0"/>
        <w:jc w:val="center"/>
        <w:tblLayout w:type="fixed"/>
        <w:tblLook w:firstColumn="1" w:firstRow="1" w:lastColumn="0" w:lastRow="0" w:noHBand="0" w:noVBand="1" w:val="04A0"/>
      </w:tblPr>
      <w:tblGrid>
        <w:gridCol w:w="9720"/>
      </w:tblGrid>
      <w:tr>
        <w:tc>
          <w:tcPr>
            <w:tcW w:type="dxa" w:w="10166"/>
            <w:shd w:fill="F5F7FA"/>
            <w:tcMar>
              <w:top w:w="120" w:type="dxa"/>
              <w:start w:w="150" w:type="dxa"/>
              <w:bottom w:w="120" w:type="dxa"/>
              <w:end w:w="150" w:type="dxa"/>
            </w:tcMar>
            <w:tcBorders>
              <w:top w:val="single" w:sz="6" w:color="D0D5DD"/>
              <w:start w:val="single" w:sz="6" w:color="D0D5DD"/>
              <w:bottom w:val="single" w:sz="6" w:color="D0D5DD"/>
              <w:end w:val="single" w:sz="6" w:color="D0D5DD"/>
            </w:tcBorders>
          </w:tcPr>
          <w:p>
            <w:pPr>
              <w:keepNext w:val="0"/>
              <w:spacing w:before="0" w:after="0" w:line="252" w:lineRule="auto"/>
            </w:pPr>
            <w:r>
              <w:rPr>
                <w:rFonts w:ascii="DejaVu Sans Mono" w:hAnsi="DejaVu Sans Mono"/>
                <w:color w:val="17202A"/>
                <w:sz w:val="16"/>
              </w:rPr>
              <w:t>A-01 | Assumption | Why needed | Evidence for/against | Impact if false | Validation owner | Status</w:t>
            </w:r>
            <w:r>
              <w:br/>
            </w:r>
            <w:r>
              <w:rPr>
                <w:rFonts w:ascii="DejaVu Sans Mono" w:hAnsi="DejaVu Sans Mono"/>
                <w:color w:val="17202A"/>
                <w:sz w:val="16"/>
              </w:rPr>
              <w:t>A-02 | ...</w:t>
            </w:r>
          </w:p>
        </w:tc>
      </w:tr>
    </w:tbl>
    <w:p>
      <w:pPr>
        <w:spacing w:after="20"/>
      </w:pPr>
    </w:p>
    <w:tbl>
      <w:tblPr>
        <w:tblW w:type="auto" w:w="0"/>
        <w:jc w:val="center"/>
        <w:tblLayout w:type="fixed"/>
        <w:tblLook w:firstColumn="1" w:firstRow="1" w:lastColumn="0" w:lastRow="0" w:noHBand="0" w:noVBand="1" w:val="04A0"/>
      </w:tblPr>
      <w:tblGrid>
        <w:gridCol w:w="115"/>
        <w:gridCol w:w="9792"/>
      </w:tblGrid>
      <w:tr>
        <w:tc>
          <w:tcPr>
            <w:tcW w:type="dxa" w:w="5083"/>
            <w:shd w:fill="1473E6"/>
            <w:tcMar>
              <w:top w:w="60" w:type="dxa"/>
              <w:start w:w="0" w:type="dxa"/>
              <w:bottom w:w="60" w:type="dxa"/>
              <w:end w:w="0" w:type="dxa"/>
            </w:tcMar>
            <w:vAlign w:val="center"/>
          </w:tcPr>
          <w:p/>
        </w:tc>
        <w:tc>
          <w:tcPr>
            <w:tcW w:type="dxa" w:w="5083"/>
            <w:shd w:fill="EAF3FF"/>
            <w:tcMar>
              <w:top w:w="110" w:type="dxa"/>
              <w:start w:w="150" w:type="dxa"/>
              <w:bottom w:w="110" w:type="dxa"/>
              <w:end w:w="150" w:type="dxa"/>
            </w:tcMar>
          </w:tcPr>
          <w:p>
            <w:pPr>
              <w:keepNext/>
              <w:spacing w:before="0" w:after="40" w:line="240" w:lineRule="auto"/>
            </w:pPr>
            <w:r>
              <w:rPr>
                <w:rFonts w:ascii="Arial" w:hAnsi="Arial"/>
                <w:b/>
                <w:color w:val="1473E6"/>
                <w:sz w:val="14"/>
              </w:rPr>
              <w:t>QUESTION ECONOMY</w:t>
            </w:r>
          </w:p>
          <w:p>
            <w:pPr>
              <w:keepNext w:val="0"/>
              <w:spacing w:before="0" w:after="0" w:line="259" w:lineRule="auto"/>
            </w:pPr>
            <w:r>
              <w:rPr>
                <w:rFonts w:ascii="Arial" w:hAnsi="Arial"/>
                <w:color w:val="17202A"/>
                <w:sz w:val="18"/>
              </w:rPr>
              <w:t>Ask the smallest question that resolves the material ambiguity. Do not return a questionnaire when one missing field controls the decision.</w:t>
            </w:r>
          </w:p>
        </w:tc>
      </w:tr>
    </w:tbl>
    <w:p>
      <w:pPr>
        <w:spacing w:after="20"/>
      </w:pPr>
    </w:p>
    <w:p>
      <w:r>
        <w:br w:type="page"/>
      </w:r>
    </w:p>
    <w:p>
      <w:pPr>
        <w:keepNext/>
        <w:spacing w:before="0" w:after="40" w:line="259" w:lineRule="auto"/>
      </w:pPr>
      <w:r>
        <w:rPr>
          <w:rFonts w:ascii="Arial" w:hAnsi="Arial"/>
          <w:b/>
          <w:i w:val="0"/>
          <w:color w:val="1473E6"/>
          <w:sz w:val="14"/>
        </w:rPr>
        <w:t>ACTION CONTROL</w:t>
      </w:r>
    </w:p>
    <w:p>
      <w:pPr>
        <w:keepNext/>
        <w:spacing w:before="0" w:after="80" w:line="240" w:lineRule="auto"/>
      </w:pPr>
      <w:r>
        <w:rPr>
          <w:rFonts w:ascii="Arial" w:hAnsi="Arial"/>
          <w:b/>
          <w:color w:val="1473E6"/>
          <w:sz w:val="31"/>
        </w:rPr>
        <w:t xml:space="preserve">21  </w:t>
      </w:r>
      <w:r>
        <w:rPr>
          <w:rFonts w:ascii="Arial" w:hAnsi="Arial"/>
          <w:b/>
          <w:color w:val="081827"/>
          <w:sz w:val="31"/>
        </w:rPr>
        <w:t>Autonomy and approval boundaries</w:t>
      </w:r>
    </w:p>
    <w:p>
      <w:pPr>
        <w:keepNext w:val="0"/>
        <w:spacing w:before="0" w:after="100" w:line="240" w:lineRule="auto"/>
        <w:pBdr>
          <w:bottom w:val="single" w:sz="6" w:space="1" w:color="E4E7EC"/>
        </w:pBdr>
      </w:pPr>
    </w:p>
    <w:tbl>
      <w:tblPr>
        <w:tblW w:type="auto" w:w="0"/>
        <w:jc w:val="center"/>
        <w:tblLayout w:type="fixed"/>
        <w:tblLook w:firstColumn="1" w:firstRow="1" w:lastColumn="0" w:lastRow="0" w:noHBand="0" w:noVBand="1" w:val="04A0"/>
      </w:tblPr>
      <w:tblGrid>
        <w:gridCol w:w="2376"/>
        <w:gridCol w:w="4032"/>
        <w:gridCol w:w="3384"/>
      </w:tblGrid>
      <w:tr>
        <w:trPr>
          <w:tblHeader w:val="true"/>
        </w:trPr>
        <w:tc>
          <w:tcPr>
            <w:tcW w:type="dxa" w:w="3389"/>
            <w:shd w:fill="081827"/>
            <w:tcMar>
              <w:top w:w="90" w:type="dxa"/>
              <w:start w:w="90" w:type="dxa"/>
              <w:bottom w:w="90" w:type="dxa"/>
              <w:end w:w="90" w:type="dxa"/>
            </w:tcMar>
            <w:vAlign w:val="center"/>
          </w:tcPr>
          <w:p>
            <w:pPr>
              <w:keepNext w:val="0"/>
              <w:spacing w:before="0" w:after="0" w:line="240" w:lineRule="auto"/>
              <w:jc w:val="center"/>
            </w:pPr>
            <w:r>
              <w:rPr>
                <w:rFonts w:ascii="Arial" w:hAnsi="Arial"/>
                <w:b/>
                <w:color w:val="FFFFFF"/>
                <w:sz w:val="15"/>
              </w:rPr>
              <w:t>Request type</w:t>
            </w:r>
          </w:p>
        </w:tc>
        <w:tc>
          <w:tcPr>
            <w:tcW w:type="dxa" w:w="3389"/>
            <w:shd w:fill="081827"/>
            <w:tcMar>
              <w:top w:w="90" w:type="dxa"/>
              <w:start w:w="90" w:type="dxa"/>
              <w:bottom w:w="90" w:type="dxa"/>
              <w:end w:w="90" w:type="dxa"/>
            </w:tcMar>
            <w:vAlign w:val="center"/>
          </w:tcPr>
          <w:p>
            <w:pPr>
              <w:keepNext w:val="0"/>
              <w:spacing w:before="0" w:after="0" w:line="240" w:lineRule="auto"/>
              <w:jc w:val="center"/>
            </w:pPr>
            <w:r>
              <w:rPr>
                <w:rFonts w:ascii="Arial" w:hAnsi="Arial"/>
                <w:b/>
                <w:color w:val="FFFFFF"/>
                <w:sz w:val="15"/>
              </w:rPr>
              <w:t>Default autonomy</w:t>
            </w:r>
          </w:p>
        </w:tc>
        <w:tc>
          <w:tcPr>
            <w:tcW w:type="dxa" w:w="3389"/>
            <w:shd w:fill="081827"/>
            <w:tcMar>
              <w:top w:w="90" w:type="dxa"/>
              <w:start w:w="90" w:type="dxa"/>
              <w:bottom w:w="90" w:type="dxa"/>
              <w:end w:w="90" w:type="dxa"/>
            </w:tcMar>
            <w:vAlign w:val="center"/>
          </w:tcPr>
          <w:p>
            <w:pPr>
              <w:keepNext w:val="0"/>
              <w:spacing w:before="0" w:after="0" w:line="240" w:lineRule="auto"/>
              <w:jc w:val="center"/>
            </w:pPr>
            <w:r>
              <w:rPr>
                <w:rFonts w:ascii="Arial" w:hAnsi="Arial"/>
                <w:b/>
                <w:color w:val="FFFFFF"/>
                <w:sz w:val="15"/>
              </w:rPr>
              <w:t>Approval boundary</w:t>
            </w:r>
          </w:p>
        </w:tc>
      </w:tr>
      <w:tr>
        <w:tc>
          <w:tcPr>
            <w:tcW w:type="dxa" w:w="2376"/>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Answer / explain</w:t>
            </w:r>
          </w:p>
        </w:tc>
        <w:tc>
          <w:tcPr>
            <w:tcW w:type="dxa" w:w="4032"/>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Inspect relevant materials and answer</w:t>
            </w:r>
          </w:p>
        </w:tc>
        <w:tc>
          <w:tcPr>
            <w:tcW w:type="dxa" w:w="3384"/>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No implementation unless requested.</w:t>
            </w:r>
          </w:p>
        </w:tc>
      </w:tr>
      <w:tr>
        <w:tc>
          <w:tcPr>
            <w:tcW w:type="dxa" w:w="2376"/>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Review / diagnose</w:t>
            </w:r>
          </w:p>
        </w:tc>
        <w:tc>
          <w:tcPr>
            <w:tcW w:type="dxa" w:w="4032"/>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Read, analyze, test safely, and report</w:t>
            </w:r>
          </w:p>
        </w:tc>
        <w:tc>
          <w:tcPr>
            <w:tcW w:type="dxa" w:w="3384"/>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Do not mutate external systems.</w:t>
            </w:r>
          </w:p>
        </w:tc>
      </w:tr>
      <w:tr>
        <w:tc>
          <w:tcPr>
            <w:tcW w:type="dxa" w:w="2376"/>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Plan / design</w:t>
            </w:r>
          </w:p>
        </w:tc>
        <w:tc>
          <w:tcPr>
            <w:tcW w:type="dxa" w:w="4032"/>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Produce decisions, artifacts, and validation plan</w:t>
            </w:r>
          </w:p>
        </w:tc>
        <w:tc>
          <w:tcPr>
            <w:tcW w:type="dxa" w:w="3384"/>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No execution of the plan without authorization.</w:t>
            </w:r>
          </w:p>
        </w:tc>
      </w:tr>
      <w:tr>
        <w:tc>
          <w:tcPr>
            <w:tcW w:type="dxa" w:w="2376"/>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Build / fix local artifact</w:t>
            </w:r>
          </w:p>
        </w:tc>
        <w:tc>
          <w:tcPr>
            <w:tcW w:type="dxa" w:w="4032"/>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Make requested in-scope changes; run non-destructive tests</w:t>
            </w:r>
          </w:p>
        </w:tc>
        <w:tc>
          <w:tcPr>
            <w:tcW w:type="dxa" w:w="3384"/>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Confirm before external deployment or destructive migration.</w:t>
            </w:r>
          </w:p>
        </w:tc>
      </w:tr>
      <w:tr>
        <w:tc>
          <w:tcPr>
            <w:tcW w:type="dxa" w:w="2376"/>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Connected-app read</w:t>
            </w:r>
          </w:p>
        </w:tc>
        <w:tc>
          <w:tcPr>
            <w:tcW w:type="dxa" w:w="4032"/>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Read when enabled and relevant, subject to permissions</w:t>
            </w:r>
          </w:p>
        </w:tc>
        <w:tc>
          <w:tcPr>
            <w:tcW w:type="dxa" w:w="3384"/>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Respect app and source-system access.</w:t>
            </w:r>
          </w:p>
        </w:tc>
      </w:tr>
      <w:tr>
        <w:tc>
          <w:tcPr>
            <w:tcW w:type="dxa" w:w="2376"/>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Connected-app write</w:t>
            </w:r>
          </w:p>
        </w:tc>
        <w:tc>
          <w:tcPr>
            <w:tcW w:type="dxa" w:w="4032"/>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Prepare the action and use product approval controls</w:t>
            </w:r>
          </w:p>
        </w:tc>
        <w:tc>
          <w:tcPr>
            <w:tcW w:type="dxa" w:w="3384"/>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Confirm for meaningful external effects unless explicitly pre-authorized.</w:t>
            </w:r>
          </w:p>
        </w:tc>
      </w:tr>
      <w:tr>
        <w:tc>
          <w:tcPr>
            <w:tcW w:type="dxa" w:w="2376"/>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Purchase / spend / subscription</w:t>
            </w:r>
          </w:p>
        </w:tc>
        <w:tc>
          <w:tcPr>
            <w:tcW w:type="dxa" w:w="4032"/>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Research and recommend</w:t>
            </w:r>
          </w:p>
        </w:tc>
        <w:tc>
          <w:tcPr>
            <w:tcW w:type="dxa" w:w="3384"/>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Confirm before commitment.</w:t>
            </w:r>
          </w:p>
        </w:tc>
      </w:tr>
      <w:tr>
        <w:tc>
          <w:tcPr>
            <w:tcW w:type="dxa" w:w="2376"/>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Scope expansion</w:t>
            </w:r>
          </w:p>
        </w:tc>
        <w:tc>
          <w:tcPr>
            <w:tcW w:type="dxa" w:w="4032"/>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Explain why it is needed</w:t>
            </w:r>
          </w:p>
        </w:tc>
        <w:tc>
          <w:tcPr>
            <w:tcW w:type="dxa" w:w="3384"/>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Confirm before material expansion.</w:t>
            </w:r>
          </w:p>
        </w:tc>
      </w:tr>
    </w:tbl>
    <w:p>
      <w:pPr>
        <w:spacing w:after="20"/>
      </w:pPr>
    </w:p>
    <w:p>
      <w:pPr>
        <w:keepNext/>
        <w:spacing w:before="80" w:after="40" w:line="240" w:lineRule="auto"/>
      </w:pPr>
      <w:r>
        <w:rPr>
          <w:rFonts w:ascii="Arial" w:hAnsi="Arial"/>
          <w:b/>
          <w:color w:val="081827"/>
          <w:sz w:val="21"/>
        </w:rPr>
        <w:t>Compact approval policy</w:t>
      </w:r>
    </w:p>
    <w:tbl>
      <w:tblPr>
        <w:tblW w:type="auto" w:w="0"/>
        <w:jc w:val="center"/>
        <w:tblLayout w:type="fixed"/>
        <w:tblLook w:firstColumn="1" w:firstRow="1" w:lastColumn="0" w:lastRow="0" w:noHBand="0" w:noVBand="1" w:val="04A0"/>
      </w:tblPr>
      <w:tblGrid>
        <w:gridCol w:w="9720"/>
      </w:tblGrid>
      <w:tr>
        <w:tc>
          <w:tcPr>
            <w:tcW w:type="dxa" w:w="10166"/>
            <w:shd w:fill="F5F7FA"/>
            <w:tcMar>
              <w:top w:w="120" w:type="dxa"/>
              <w:start w:w="150" w:type="dxa"/>
              <w:bottom w:w="120" w:type="dxa"/>
              <w:end w:w="150" w:type="dxa"/>
            </w:tcMar>
            <w:tcBorders>
              <w:top w:val="single" w:sz="6" w:color="D0D5DD"/>
              <w:start w:val="single" w:sz="6" w:color="D0D5DD"/>
              <w:bottom w:val="single" w:sz="6" w:color="D0D5DD"/>
              <w:end w:val="single" w:sz="6" w:color="D0D5DD"/>
            </w:tcBorders>
          </w:tcPr>
          <w:p>
            <w:pPr>
              <w:keepNext w:val="0"/>
              <w:spacing w:before="0" w:after="0" w:line="252" w:lineRule="auto"/>
            </w:pPr>
            <w:r>
              <w:rPr>
                <w:rFonts w:ascii="DejaVu Sans Mono" w:hAnsi="DejaVu Sans Mono"/>
                <w:color w:val="17202A"/>
                <w:sz w:val="16"/>
              </w:rPr>
              <w:t>For answer, review, diagnose, or plan requests: inspect relevant materials and report the result; do not implement changes unless requested.</w:t>
            </w:r>
            <w:r>
              <w:br/>
            </w:r>
            <w:r>
              <w:rPr>
                <w:rFonts w:ascii="DejaVu Sans Mono" w:hAnsi="DejaVu Sans Mono"/>
                <w:color w:val="17202A"/>
                <w:sz w:val="16"/>
              </w:rPr>
            </w:r>
            <w:r>
              <w:br/>
            </w:r>
            <w:r>
              <w:rPr>
                <w:rFonts w:ascii="DejaVu Sans Mono" w:hAnsi="DejaVu Sans Mono"/>
                <w:color w:val="17202A"/>
                <w:sz w:val="16"/>
              </w:rPr>
              <w:t>For change, build, or fix requests: make in-scope local changes and run relevant non-destructive validation.</w:t>
            </w:r>
            <w:r>
              <w:br/>
            </w:r>
            <w:r>
              <w:rPr>
                <w:rFonts w:ascii="DejaVu Sans Mono" w:hAnsi="DejaVu Sans Mono"/>
                <w:color w:val="17202A"/>
                <w:sz w:val="16"/>
              </w:rPr>
            </w:r>
            <w:r>
              <w:br/>
            </w:r>
            <w:r>
              <w:rPr>
                <w:rFonts w:ascii="DejaVu Sans Mono" w:hAnsi="DejaVu Sans Mono"/>
                <w:color w:val="17202A"/>
                <w:sz w:val="16"/>
              </w:rPr>
              <w:t>Require confirmation for external writes, destructive actions, purchases, or material scope expansion.</w:t>
            </w:r>
          </w:p>
        </w:tc>
      </w:tr>
    </w:tbl>
    <w:p>
      <w:pPr>
        <w:spacing w:after="20"/>
      </w:pPr>
    </w:p>
    <w:p>
      <w:pPr>
        <w:keepNext w:val="0"/>
        <w:spacing w:before="60" w:after="0" w:line="240" w:lineRule="auto"/>
      </w:pPr>
      <w:r>
        <w:rPr>
          <w:rFonts w:ascii="Arial" w:hAnsi="Arial"/>
          <w:b/>
          <w:color w:val="667085"/>
          <w:sz w:val="14"/>
        </w:rPr>
        <w:t xml:space="preserve">Sources: </w:t>
      </w:r>
      <w:r>
        <w:rPr>
          <w:rFonts w:ascii="Arial" w:hAnsi="Arial"/>
          <w:color w:val="667085"/>
          <w:sz w:val="14"/>
        </w:rPr>
        <w:t>S01, S08</w:t>
      </w:r>
    </w:p>
    <w:p>
      <w:r>
        <w:br w:type="page"/>
      </w:r>
    </w:p>
    <w:p>
      <w:pPr>
        <w:keepNext/>
        <w:spacing w:before="0" w:after="40" w:line="259" w:lineRule="auto"/>
      </w:pPr>
      <w:r>
        <w:rPr>
          <w:rFonts w:ascii="Arial" w:hAnsi="Arial"/>
          <w:b/>
          <w:i w:val="0"/>
          <w:color w:val="1473E6"/>
          <w:sz w:val="14"/>
        </w:rPr>
        <w:t>CAPABILITY CONTROL</w:t>
      </w:r>
    </w:p>
    <w:p>
      <w:pPr>
        <w:keepNext/>
        <w:spacing w:before="0" w:after="80" w:line="240" w:lineRule="auto"/>
      </w:pPr>
      <w:r>
        <w:rPr>
          <w:rFonts w:ascii="Arial" w:hAnsi="Arial"/>
          <w:b/>
          <w:color w:val="1473E6"/>
          <w:sz w:val="31"/>
        </w:rPr>
        <w:t xml:space="preserve">22  </w:t>
      </w:r>
      <w:r>
        <w:rPr>
          <w:rFonts w:ascii="Arial" w:hAnsi="Arial"/>
          <w:b/>
          <w:color w:val="081827"/>
          <w:sz w:val="31"/>
        </w:rPr>
        <w:t>Skills, plugins, apps, and tool routing</w:t>
      </w:r>
    </w:p>
    <w:p>
      <w:pPr>
        <w:keepNext w:val="0"/>
        <w:spacing w:before="0" w:after="100" w:line="240" w:lineRule="auto"/>
        <w:pBdr>
          <w:bottom w:val="single" w:sz="6" w:space="1" w:color="E4E7EC"/>
        </w:pBdr>
      </w:pPr>
    </w:p>
    <w:tbl>
      <w:tblPr>
        <w:tblW w:type="auto" w:w="0"/>
        <w:jc w:val="center"/>
        <w:tblLayout w:type="fixed"/>
        <w:tblLook w:firstColumn="1" w:firstRow="1" w:lastColumn="0" w:lastRow="0" w:noHBand="0" w:noVBand="1" w:val="04A0"/>
      </w:tblPr>
      <w:tblGrid>
        <w:gridCol w:w="1656"/>
        <w:gridCol w:w="3528"/>
        <w:gridCol w:w="4608"/>
      </w:tblGrid>
      <w:tr>
        <w:trPr>
          <w:tblHeader w:val="true"/>
        </w:trPr>
        <w:tc>
          <w:tcPr>
            <w:tcW w:type="dxa" w:w="3389"/>
            <w:shd w:fill="081827"/>
            <w:tcMar>
              <w:top w:w="90" w:type="dxa"/>
              <w:start w:w="90" w:type="dxa"/>
              <w:bottom w:w="90" w:type="dxa"/>
              <w:end w:w="90" w:type="dxa"/>
            </w:tcMar>
            <w:vAlign w:val="center"/>
          </w:tcPr>
          <w:p>
            <w:pPr>
              <w:keepNext w:val="0"/>
              <w:spacing w:before="0" w:after="0" w:line="240" w:lineRule="auto"/>
              <w:jc w:val="center"/>
            </w:pPr>
            <w:r>
              <w:rPr>
                <w:rFonts w:ascii="Arial" w:hAnsi="Arial"/>
                <w:b/>
                <w:color w:val="FFFFFF"/>
                <w:sz w:val="15"/>
              </w:rPr>
              <w:t>Capability</w:t>
            </w:r>
          </w:p>
        </w:tc>
        <w:tc>
          <w:tcPr>
            <w:tcW w:type="dxa" w:w="3389"/>
            <w:shd w:fill="081827"/>
            <w:tcMar>
              <w:top w:w="90" w:type="dxa"/>
              <w:start w:w="90" w:type="dxa"/>
              <w:bottom w:w="90" w:type="dxa"/>
              <w:end w:w="90" w:type="dxa"/>
            </w:tcMar>
            <w:vAlign w:val="center"/>
          </w:tcPr>
          <w:p>
            <w:pPr>
              <w:keepNext w:val="0"/>
              <w:spacing w:before="0" w:after="0" w:line="240" w:lineRule="auto"/>
              <w:jc w:val="center"/>
            </w:pPr>
            <w:r>
              <w:rPr>
                <w:rFonts w:ascii="Arial" w:hAnsi="Arial"/>
                <w:b/>
                <w:color w:val="FFFFFF"/>
                <w:sz w:val="15"/>
              </w:rPr>
              <w:t>Use for</w:t>
            </w:r>
          </w:p>
        </w:tc>
        <w:tc>
          <w:tcPr>
            <w:tcW w:type="dxa" w:w="3389"/>
            <w:shd w:fill="081827"/>
            <w:tcMar>
              <w:top w:w="90" w:type="dxa"/>
              <w:start w:w="90" w:type="dxa"/>
              <w:bottom w:w="90" w:type="dxa"/>
              <w:end w:w="90" w:type="dxa"/>
            </w:tcMar>
            <w:vAlign w:val="center"/>
          </w:tcPr>
          <w:p>
            <w:pPr>
              <w:keepNext w:val="0"/>
              <w:spacing w:before="0" w:after="0" w:line="240" w:lineRule="auto"/>
              <w:jc w:val="center"/>
            </w:pPr>
            <w:r>
              <w:rPr>
                <w:rFonts w:ascii="Arial" w:hAnsi="Arial"/>
                <w:b/>
                <w:color w:val="FFFFFF"/>
                <w:sz w:val="15"/>
              </w:rPr>
              <w:t>Do not assume</w:t>
            </w:r>
          </w:p>
        </w:tc>
      </w:tr>
      <w:tr>
        <w:tc>
          <w:tcPr>
            <w:tcW w:type="dxa" w:w="1656"/>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Skill</w:t>
            </w:r>
          </w:p>
        </w:tc>
        <w:tc>
          <w:tcPr>
            <w:tcW w:type="dxa" w:w="3528"/>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Reusable instructions, examples, scripts, templates, organization conventions</w:t>
            </w:r>
          </w:p>
        </w:tc>
        <w:tc>
          <w:tcPr>
            <w:tcW w:type="dxa" w:w="4608"/>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That the Skill is installed, enabled, trusted, or available on every surface.</w:t>
            </w:r>
          </w:p>
        </w:tc>
      </w:tr>
      <w:tr>
        <w:tc>
          <w:tcPr>
            <w:tcW w:type="dxa" w:w="1656"/>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Plugin</w:t>
            </w:r>
          </w:p>
        </w:tc>
        <w:tc>
          <w:tcPr>
            <w:tcW w:type="dxa" w:w="3528"/>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Packaged workflow that may contain Skills, apps, and app templates</w:t>
            </w:r>
          </w:p>
        </w:tc>
        <w:tc>
          <w:tcPr>
            <w:tcW w:type="dxa" w:w="4608"/>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That installing it grants access to underlying systems.</w:t>
            </w:r>
          </w:p>
        </w:tc>
      </w:tr>
      <w:tr>
        <w:tc>
          <w:tcPr>
            <w:tcW w:type="dxa" w:w="1656"/>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App</w:t>
            </w:r>
          </w:p>
        </w:tc>
        <w:tc>
          <w:tcPr>
            <w:tcW w:type="dxa" w:w="3528"/>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Connected data, tools, UI, or actions</w:t>
            </w:r>
          </w:p>
        </w:tc>
        <w:tc>
          <w:tcPr>
            <w:tcW w:type="dxa" w:w="4608"/>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That app permissions override source-system permissions.</w:t>
            </w:r>
          </w:p>
        </w:tc>
      </w:tr>
      <w:tr>
        <w:tc>
          <w:tcPr>
            <w:tcW w:type="dxa" w:w="1656"/>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Files</w:t>
            </w:r>
          </w:p>
        </w:tc>
        <w:tc>
          <w:tcPr>
            <w:tcW w:type="dxa" w:w="3528"/>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Supplied or retrieved documents, code, and datasets</w:t>
            </w:r>
          </w:p>
        </w:tc>
        <w:tc>
          <w:tcPr>
            <w:tcW w:type="dxa" w:w="4608"/>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That a filename or snippet contains the full relevant content.</w:t>
            </w:r>
          </w:p>
        </w:tc>
      </w:tr>
      <w:tr>
        <w:tc>
          <w:tcPr>
            <w:tcW w:type="dxa" w:w="1656"/>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Web research</w:t>
            </w:r>
          </w:p>
        </w:tc>
        <w:tc>
          <w:tcPr>
            <w:tcW w:type="dxa" w:w="3528"/>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Current public facts and official documentation</w:t>
            </w:r>
          </w:p>
        </w:tc>
        <w:tc>
          <w:tcPr>
            <w:tcW w:type="dxa" w:w="4608"/>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That search snippets are sufficient evidence without opening the source.</w:t>
            </w:r>
          </w:p>
        </w:tc>
      </w:tr>
      <w:tr>
        <w:tc>
          <w:tcPr>
            <w:tcW w:type="dxa" w:w="1656"/>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Code runtime</w:t>
            </w:r>
          </w:p>
        </w:tc>
        <w:tc>
          <w:tcPr>
            <w:tcW w:type="dxa" w:w="3528"/>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Deterministic computation, parsing, tests, rendering, artifact generation</w:t>
            </w:r>
          </w:p>
        </w:tc>
        <w:tc>
          <w:tcPr>
            <w:tcW w:type="dxa" w:w="4608"/>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That execution results are correct without validation and inspection.</w:t>
            </w:r>
          </w:p>
        </w:tc>
      </w:tr>
      <w:tr>
        <w:tc>
          <w:tcPr>
            <w:tcW w:type="dxa" w:w="1656"/>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Human approval</w:t>
            </w:r>
          </w:p>
        </w:tc>
        <w:tc>
          <w:tcPr>
            <w:tcW w:type="dxa" w:w="3528"/>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External, destructive, costly, sensitive, or scope-expanding decisions</w:t>
            </w:r>
          </w:p>
        </w:tc>
        <w:tc>
          <w:tcPr>
            <w:tcW w:type="dxa" w:w="4608"/>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That a model recommendation transfers accountability.</w:t>
            </w:r>
          </w:p>
        </w:tc>
      </w:tr>
    </w:tbl>
    <w:p>
      <w:pPr>
        <w:spacing w:after="20"/>
      </w:pPr>
    </w:p>
    <w:p>
      <w:pPr>
        <w:keepNext/>
        <w:spacing w:before="100" w:after="60" w:line="240" w:lineRule="auto"/>
      </w:pPr>
      <w:r>
        <w:rPr>
          <w:rFonts w:ascii="Arial" w:hAnsi="Arial"/>
          <w:b/>
          <w:color w:val="081827"/>
          <w:sz w:val="21"/>
        </w:rPr>
        <w:t>Routing instruction</w:t>
      </w:r>
    </w:p>
    <w:tbl>
      <w:tblPr>
        <w:tblW w:type="auto" w:w="0"/>
        <w:jc w:val="center"/>
        <w:tblLayout w:type="fixed"/>
        <w:tblLook w:firstColumn="1" w:firstRow="1" w:lastColumn="0" w:lastRow="0" w:noHBand="0" w:noVBand="1" w:val="04A0"/>
      </w:tblPr>
      <w:tblGrid>
        <w:gridCol w:w="9720"/>
      </w:tblGrid>
      <w:tr>
        <w:tc>
          <w:tcPr>
            <w:tcW w:type="dxa" w:w="10166"/>
            <w:shd w:fill="F5F7FA"/>
            <w:tcMar>
              <w:top w:w="120" w:type="dxa"/>
              <w:start w:w="150" w:type="dxa"/>
              <w:bottom w:w="120" w:type="dxa"/>
              <w:end w:w="150" w:type="dxa"/>
            </w:tcMar>
            <w:tcBorders>
              <w:top w:val="single" w:sz="6" w:color="D0D5DD"/>
              <w:start w:val="single" w:sz="6" w:color="D0D5DD"/>
              <w:bottom w:val="single" w:sz="6" w:color="D0D5DD"/>
              <w:end w:val="single" w:sz="6" w:color="D0D5DD"/>
            </w:tcBorders>
          </w:tcPr>
          <w:p>
            <w:pPr>
              <w:keepNext w:val="0"/>
              <w:spacing w:before="0" w:after="0" w:line="252" w:lineRule="auto"/>
            </w:pPr>
            <w:r>
              <w:rPr>
                <w:rFonts w:ascii="DejaVu Sans Mono" w:hAnsi="DejaVu Sans Mono"/>
                <w:color w:val="17202A"/>
                <w:sz w:val="16"/>
              </w:rPr>
              <w:t>Select the minimum capability set that can complete and validate the task. Prefer direct evidence over summaries, deterministic checks over verbal confidence, and existing permissions over inferred access. If a required capability is unavailable, state the limitation and do not claim it was used.</w:t>
            </w:r>
          </w:p>
        </w:tc>
      </w:tr>
    </w:tbl>
    <w:p>
      <w:pPr>
        <w:spacing w:after="20"/>
      </w:pPr>
    </w:p>
    <w:tbl>
      <w:tblPr>
        <w:tblW w:type="auto" w:w="0"/>
        <w:jc w:val="center"/>
        <w:tblLayout w:type="fixed"/>
        <w:tblLook w:firstColumn="1" w:firstRow="1" w:lastColumn="0" w:lastRow="0" w:noHBand="0" w:noVBand="1" w:val="04A0"/>
      </w:tblPr>
      <w:tblGrid>
        <w:gridCol w:w="115"/>
        <w:gridCol w:w="9792"/>
      </w:tblGrid>
      <w:tr>
        <w:tc>
          <w:tcPr>
            <w:tcW w:type="dxa" w:w="5083"/>
            <w:shd w:fill="B96800"/>
            <w:tcMar>
              <w:top w:w="60" w:type="dxa"/>
              <w:start w:w="0" w:type="dxa"/>
              <w:bottom w:w="60" w:type="dxa"/>
              <w:end w:w="0" w:type="dxa"/>
            </w:tcMar>
            <w:vAlign w:val="center"/>
          </w:tcPr>
          <w:p/>
        </w:tc>
        <w:tc>
          <w:tcPr>
            <w:tcW w:type="dxa" w:w="5083"/>
            <w:shd w:fill="FFF4DF"/>
            <w:tcMar>
              <w:top w:w="110" w:type="dxa"/>
              <w:start w:w="150" w:type="dxa"/>
              <w:bottom w:w="110" w:type="dxa"/>
              <w:end w:w="150" w:type="dxa"/>
            </w:tcMar>
          </w:tcPr>
          <w:p>
            <w:pPr>
              <w:keepNext/>
              <w:spacing w:before="0" w:after="40" w:line="240" w:lineRule="auto"/>
            </w:pPr>
            <w:r>
              <w:rPr>
                <w:rFonts w:ascii="Arial" w:hAnsi="Arial"/>
                <w:b/>
                <w:color w:val="B96800"/>
                <w:sz w:val="14"/>
              </w:rPr>
              <w:t>PERMISSION INHERITANCE</w:t>
            </w:r>
          </w:p>
          <w:p>
            <w:pPr>
              <w:keepNext w:val="0"/>
              <w:spacing w:before="0" w:after="0" w:line="259" w:lineRule="auto"/>
            </w:pPr>
            <w:r>
              <w:rPr>
                <w:rFonts w:ascii="Arial" w:hAnsi="Arial"/>
                <w:color w:val="17202A"/>
                <w:sz w:val="18"/>
              </w:rPr>
              <w:t>Plugins and apps remain subject to plan, workspace, role, region, connection status, action controls, and the user’s permissions in the source system.</w:t>
            </w:r>
          </w:p>
        </w:tc>
      </w:tr>
    </w:tbl>
    <w:p>
      <w:pPr>
        <w:spacing w:after="20"/>
      </w:pPr>
    </w:p>
    <w:p>
      <w:pPr>
        <w:keepNext w:val="0"/>
        <w:spacing w:before="60" w:after="0" w:line="240" w:lineRule="auto"/>
      </w:pPr>
      <w:r>
        <w:rPr>
          <w:rFonts w:ascii="Arial" w:hAnsi="Arial"/>
          <w:b/>
          <w:color w:val="667085"/>
          <w:sz w:val="14"/>
        </w:rPr>
        <w:t xml:space="preserve">Sources: </w:t>
      </w:r>
      <w:r>
        <w:rPr>
          <w:rFonts w:ascii="Arial" w:hAnsi="Arial"/>
          <w:color w:val="667085"/>
          <w:sz w:val="14"/>
        </w:rPr>
        <w:t>S04, S07, S08, S09</w:t>
      </w:r>
    </w:p>
    <w:p>
      <w:r>
        <w:br w:type="page"/>
      </w:r>
    </w:p>
    <w:p>
      <w:pPr>
        <w:keepNext/>
        <w:spacing w:before="0" w:after="40" w:line="259" w:lineRule="auto"/>
      </w:pPr>
      <w:r>
        <w:rPr>
          <w:rFonts w:ascii="Arial" w:hAnsi="Arial"/>
          <w:b/>
          <w:i w:val="0"/>
          <w:color w:val="1473E6"/>
          <w:sz w:val="14"/>
        </w:rPr>
        <w:t>QUALITY CONTROL</w:t>
      </w:r>
    </w:p>
    <w:p>
      <w:pPr>
        <w:keepNext/>
        <w:spacing w:before="0" w:after="80" w:line="240" w:lineRule="auto"/>
      </w:pPr>
      <w:r>
        <w:rPr>
          <w:rFonts w:ascii="Arial" w:hAnsi="Arial"/>
          <w:b/>
          <w:color w:val="1473E6"/>
          <w:sz w:val="31"/>
        </w:rPr>
        <w:t xml:space="preserve">23  </w:t>
      </w:r>
      <w:r>
        <w:rPr>
          <w:rFonts w:ascii="Arial" w:hAnsi="Arial"/>
          <w:b/>
          <w:color w:val="081827"/>
          <w:sz w:val="31"/>
        </w:rPr>
        <w:t>Output-contract patterns</w:t>
      </w:r>
    </w:p>
    <w:p>
      <w:pPr>
        <w:keepNext w:val="0"/>
        <w:spacing w:before="0" w:after="100" w:line="240" w:lineRule="auto"/>
        <w:pBdr>
          <w:bottom w:val="single" w:sz="6" w:space="1" w:color="E4E7EC"/>
        </w:pBdr>
      </w:pPr>
    </w:p>
    <w:tbl>
      <w:tblPr>
        <w:tblW w:type="auto" w:w="0"/>
        <w:jc w:val="center"/>
        <w:tblLayout w:type="fixed"/>
        <w:tblLook w:firstColumn="1" w:firstRow="1" w:lastColumn="0" w:lastRow="0" w:noHBand="0" w:noVBand="1" w:val="04A0"/>
      </w:tblPr>
      <w:tblGrid>
        <w:gridCol w:w="2016"/>
        <w:gridCol w:w="7776"/>
      </w:tblGrid>
      <w:tr>
        <w:trPr>
          <w:tblHeader w:val="true"/>
        </w:trPr>
        <w:tc>
          <w:tcPr>
            <w:tcW w:type="dxa" w:w="5083"/>
            <w:shd w:fill="081827"/>
            <w:tcMar>
              <w:top w:w="90" w:type="dxa"/>
              <w:start w:w="90" w:type="dxa"/>
              <w:bottom w:w="90" w:type="dxa"/>
              <w:end w:w="90" w:type="dxa"/>
            </w:tcMar>
            <w:vAlign w:val="center"/>
          </w:tcPr>
          <w:p>
            <w:pPr>
              <w:keepNext w:val="0"/>
              <w:spacing w:before="0" w:after="0" w:line="240" w:lineRule="auto"/>
              <w:jc w:val="center"/>
            </w:pPr>
            <w:r>
              <w:rPr>
                <w:rFonts w:ascii="Arial" w:hAnsi="Arial"/>
                <w:b/>
                <w:color w:val="FFFFFF"/>
                <w:sz w:val="15"/>
              </w:rPr>
              <w:t>Need</w:t>
            </w:r>
          </w:p>
        </w:tc>
        <w:tc>
          <w:tcPr>
            <w:tcW w:type="dxa" w:w="5083"/>
            <w:shd w:fill="081827"/>
            <w:tcMar>
              <w:top w:w="90" w:type="dxa"/>
              <w:start w:w="90" w:type="dxa"/>
              <w:bottom w:w="90" w:type="dxa"/>
              <w:end w:w="90" w:type="dxa"/>
            </w:tcMar>
            <w:vAlign w:val="center"/>
          </w:tcPr>
          <w:p>
            <w:pPr>
              <w:keepNext w:val="0"/>
              <w:spacing w:before="0" w:after="0" w:line="240" w:lineRule="auto"/>
              <w:jc w:val="center"/>
            </w:pPr>
            <w:r>
              <w:rPr>
                <w:rFonts w:ascii="Arial" w:hAnsi="Arial"/>
                <w:b/>
                <w:color w:val="FFFFFF"/>
                <w:sz w:val="15"/>
              </w:rPr>
              <w:t>Contract pattern</w:t>
            </w:r>
          </w:p>
        </w:tc>
      </w:tr>
      <w:tr>
        <w:tc>
          <w:tcPr>
            <w:tcW w:type="dxa" w:w="2016"/>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6"/>
              </w:rPr>
              <w:t>Executive decision</w:t>
            </w:r>
          </w:p>
        </w:tc>
        <w:tc>
          <w:tcPr>
            <w:tcW w:type="dxa" w:w="7776"/>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6"/>
              </w:rPr>
              <w:t>Decision; rationale; top risks; immediate actions; owner; deadline; confidence.</w:t>
            </w:r>
          </w:p>
        </w:tc>
      </w:tr>
      <w:tr>
        <w:tc>
          <w:tcPr>
            <w:tcW w:type="dxa" w:w="2016"/>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6"/>
              </w:rPr>
              <w:t>Architecture</w:t>
            </w:r>
          </w:p>
        </w:tc>
        <w:tc>
          <w:tcPr>
            <w:tcW w:type="dxa" w:w="7776"/>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6"/>
              </w:rPr>
              <w:t>Context; requirements; diagram; data/trust boundaries; decisions; failure modes; migration; observability; risks.</w:t>
            </w:r>
          </w:p>
        </w:tc>
      </w:tr>
      <w:tr>
        <w:tc>
          <w:tcPr>
            <w:tcW w:type="dxa" w:w="2016"/>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6"/>
              </w:rPr>
              <w:t>Code review</w:t>
            </w:r>
          </w:p>
        </w:tc>
        <w:tc>
          <w:tcPr>
            <w:tcW w:type="dxa" w:w="7776"/>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6"/>
              </w:rPr>
              <w:t>Finding ID; severity; file/line; evidence; preconditions; impact; patch; test; confidence.</w:t>
            </w:r>
          </w:p>
        </w:tc>
      </w:tr>
      <w:tr>
        <w:tc>
          <w:tcPr>
            <w:tcW w:type="dxa" w:w="2016"/>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6"/>
              </w:rPr>
              <w:t>Implementation</w:t>
            </w:r>
          </w:p>
        </w:tc>
        <w:tc>
          <w:tcPr>
            <w:tcW w:type="dxa" w:w="7776"/>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6"/>
              </w:rPr>
              <w:t>Plan; files changed; change summary; validation commands/results; rollback; unresolved issues.</w:t>
            </w:r>
          </w:p>
        </w:tc>
      </w:tr>
      <w:tr>
        <w:tc>
          <w:tcPr>
            <w:tcW w:type="dxa" w:w="2016"/>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6"/>
              </w:rPr>
              <w:t>Research</w:t>
            </w:r>
          </w:p>
        </w:tc>
        <w:tc>
          <w:tcPr>
            <w:tcW w:type="dxa" w:w="7776"/>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6"/>
              </w:rPr>
              <w:t>Answer; evidence; source date; disagreement; inference; limitations; next verification.</w:t>
            </w:r>
          </w:p>
        </w:tc>
      </w:tr>
      <w:tr>
        <w:tc>
          <w:tcPr>
            <w:tcW w:type="dxa" w:w="2016"/>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6"/>
              </w:rPr>
              <w:t>Design</w:t>
            </w:r>
          </w:p>
        </w:tc>
        <w:tc>
          <w:tcPr>
            <w:tcW w:type="dxa" w:w="7776"/>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6"/>
              </w:rPr>
              <w:t>User goal; hierarchy; states; responsive behavior; accessibility; visual specification; QA findings.</w:t>
            </w:r>
          </w:p>
        </w:tc>
      </w:tr>
      <w:tr>
        <w:tc>
          <w:tcPr>
            <w:tcW w:type="dxa" w:w="2016"/>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6"/>
              </w:rPr>
              <w:t>Cyber finding</w:t>
            </w:r>
          </w:p>
        </w:tc>
        <w:tc>
          <w:tcPr>
            <w:tcW w:type="dxa" w:w="7776"/>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6"/>
              </w:rPr>
              <w:t>Authorization; asset; evidence; impact; likelihood; confidence; remediation; regression test; residual risk.</w:t>
            </w:r>
          </w:p>
        </w:tc>
      </w:tr>
    </w:tbl>
    <w:p>
      <w:pPr>
        <w:spacing w:after="20"/>
      </w:pPr>
    </w:p>
    <w:p>
      <w:pPr>
        <w:keepNext/>
        <w:spacing w:before="100" w:after="60" w:line="240" w:lineRule="auto"/>
      </w:pPr>
      <w:r>
        <w:rPr>
          <w:rFonts w:ascii="Arial" w:hAnsi="Arial"/>
          <w:b/>
          <w:color w:val="081827"/>
          <w:sz w:val="21"/>
        </w:rPr>
        <w:t>Structured-output fragment</w:t>
      </w:r>
    </w:p>
    <w:tbl>
      <w:tblPr>
        <w:tblW w:type="auto" w:w="0"/>
        <w:jc w:val="center"/>
        <w:tblLayout w:type="fixed"/>
        <w:tblLook w:firstColumn="1" w:firstRow="1" w:lastColumn="0" w:lastRow="0" w:noHBand="0" w:noVBand="1" w:val="04A0"/>
      </w:tblPr>
      <w:tblGrid>
        <w:gridCol w:w="9720"/>
      </w:tblGrid>
      <w:tr>
        <w:tc>
          <w:tcPr>
            <w:tcW w:type="dxa" w:w="10166"/>
            <w:shd w:fill="F5F7FA"/>
            <w:tcMar>
              <w:top w:w="120" w:type="dxa"/>
              <w:start w:w="150" w:type="dxa"/>
              <w:bottom w:w="120" w:type="dxa"/>
              <w:end w:w="150" w:type="dxa"/>
            </w:tcMar>
            <w:tcBorders>
              <w:top w:val="single" w:sz="6" w:color="D0D5DD"/>
              <w:start w:val="single" w:sz="6" w:color="D0D5DD"/>
              <w:bottom w:val="single" w:sz="6" w:color="D0D5DD"/>
              <w:end w:val="single" w:sz="6" w:color="D0D5DD"/>
            </w:tcBorders>
          </w:tcPr>
          <w:p>
            <w:pPr>
              <w:keepNext w:val="0"/>
              <w:spacing w:before="0" w:after="0" w:line="252" w:lineRule="auto"/>
            </w:pPr>
            <w:r>
              <w:rPr>
                <w:rFonts w:ascii="DejaVu Sans Mono" w:hAnsi="DejaVu Sans Mono"/>
                <w:color w:val="17202A"/>
                <w:sz w:val="15"/>
              </w:rPr>
              <w:t>Return a JSON-compatible object with these fields only:</w:t>
            </w:r>
            <w:r>
              <w:br/>
            </w:r>
            <w:r>
              <w:rPr>
                <w:rFonts w:ascii="DejaVu Sans Mono" w:hAnsi="DejaVu Sans Mono"/>
                <w:color w:val="17202A"/>
                <w:sz w:val="15"/>
              </w:rPr>
              <w:t>{</w:t>
            </w:r>
            <w:r>
              <w:br/>
            </w:r>
            <w:r>
              <w:rPr>
                <w:rFonts w:ascii="DejaVu Sans Mono" w:hAnsi="DejaVu Sans Mono"/>
                <w:color w:val="17202A"/>
                <w:sz w:val="15"/>
              </w:rPr>
              <w:t xml:space="preserve">  "decision": "...",</w:t>
            </w:r>
            <w:r>
              <w:br/>
            </w:r>
            <w:r>
              <w:rPr>
                <w:rFonts w:ascii="DejaVu Sans Mono" w:hAnsi="DejaVu Sans Mono"/>
                <w:color w:val="17202A"/>
                <w:sz w:val="15"/>
              </w:rPr>
              <w:t xml:space="preserve">  "findings": [{"id":"F-01","severity":"...","evidence":"...","action":"..."}],</w:t>
            </w:r>
            <w:r>
              <w:br/>
            </w:r>
            <w:r>
              <w:rPr>
                <w:rFonts w:ascii="DejaVu Sans Mono" w:hAnsi="DejaVu Sans Mono"/>
                <w:color w:val="17202A"/>
                <w:sz w:val="15"/>
              </w:rPr>
              <w:t xml:space="preserve">  "validation": [{"check":"...","result":"pass|fail|not_run","evidence":"..."}],</w:t>
            </w:r>
            <w:r>
              <w:br/>
            </w:r>
            <w:r>
              <w:rPr>
                <w:rFonts w:ascii="DejaVu Sans Mono" w:hAnsi="DejaVu Sans Mono"/>
                <w:color w:val="17202A"/>
                <w:sz w:val="15"/>
              </w:rPr>
              <w:t xml:space="preserve">  "assumptions": ["..."],</w:t>
            </w:r>
            <w:r>
              <w:br/>
            </w:r>
            <w:r>
              <w:rPr>
                <w:rFonts w:ascii="DejaVu Sans Mono" w:hAnsi="DejaVu Sans Mono"/>
                <w:color w:val="17202A"/>
                <w:sz w:val="15"/>
              </w:rPr>
              <w:t xml:space="preserve">  "residual_risks": ["..."],</w:t>
            </w:r>
            <w:r>
              <w:br/>
            </w:r>
            <w:r>
              <w:rPr>
                <w:rFonts w:ascii="DejaVu Sans Mono" w:hAnsi="DejaVu Sans Mono"/>
                <w:color w:val="17202A"/>
                <w:sz w:val="15"/>
              </w:rPr>
              <w:t xml:space="preserve">  "status": "PASS|CONDITIONAL_PASS|REWORK|FAIL"</w:t>
            </w:r>
            <w:r>
              <w:br/>
            </w:r>
            <w:r>
              <w:rPr>
                <w:rFonts w:ascii="DejaVu Sans Mono" w:hAnsi="DejaVu Sans Mono"/>
                <w:color w:val="17202A"/>
                <w:sz w:val="15"/>
              </w:rPr>
              <w:t>}</w:t>
            </w:r>
          </w:p>
        </w:tc>
      </w:tr>
    </w:tbl>
    <w:p>
      <w:pPr>
        <w:spacing w:after="20"/>
      </w:pPr>
    </w:p>
    <w:tbl>
      <w:tblPr>
        <w:tblW w:type="auto" w:w="0"/>
        <w:jc w:val="center"/>
        <w:tblLayout w:type="fixed"/>
        <w:tblLook w:firstColumn="1" w:firstRow="1" w:lastColumn="0" w:lastRow="0" w:noHBand="0" w:noVBand="1" w:val="04A0"/>
      </w:tblPr>
      <w:tblGrid>
        <w:gridCol w:w="115"/>
        <w:gridCol w:w="9792"/>
      </w:tblGrid>
      <w:tr>
        <w:tc>
          <w:tcPr>
            <w:tcW w:type="dxa" w:w="5083"/>
            <w:shd w:fill="1473E6"/>
            <w:tcMar>
              <w:top w:w="60" w:type="dxa"/>
              <w:start w:w="0" w:type="dxa"/>
              <w:bottom w:w="60" w:type="dxa"/>
              <w:end w:w="0" w:type="dxa"/>
            </w:tcMar>
            <w:vAlign w:val="center"/>
          </w:tcPr>
          <w:p/>
        </w:tc>
        <w:tc>
          <w:tcPr>
            <w:tcW w:type="dxa" w:w="5083"/>
            <w:shd w:fill="EAF3FF"/>
            <w:tcMar>
              <w:top w:w="110" w:type="dxa"/>
              <w:start w:w="150" w:type="dxa"/>
              <w:bottom w:w="110" w:type="dxa"/>
              <w:end w:w="150" w:type="dxa"/>
            </w:tcMar>
          </w:tcPr>
          <w:p>
            <w:pPr>
              <w:keepNext/>
              <w:spacing w:before="0" w:after="40" w:line="240" w:lineRule="auto"/>
            </w:pPr>
            <w:r>
              <w:rPr>
                <w:rFonts w:ascii="Arial" w:hAnsi="Arial"/>
                <w:b/>
                <w:color w:val="1473E6"/>
                <w:sz w:val="14"/>
              </w:rPr>
              <w:t>SCHEMA CAUTION</w:t>
            </w:r>
          </w:p>
          <w:p>
            <w:pPr>
              <w:keepNext w:val="0"/>
              <w:spacing w:before="0" w:after="0" w:line="259" w:lineRule="auto"/>
            </w:pPr>
            <w:r>
              <w:rPr>
                <w:rFonts w:ascii="Arial" w:hAnsi="Arial"/>
                <w:color w:val="17202A"/>
                <w:sz w:val="18"/>
              </w:rPr>
              <w:t>Use a strict schema when downstream automation needs determinism. Use prose when judgment, nuance, or stakeholder communication is the primary output.</w:t>
            </w:r>
          </w:p>
        </w:tc>
      </w:tr>
    </w:tbl>
    <w:p>
      <w:pPr>
        <w:spacing w:after="20"/>
      </w:pPr>
    </w:p>
    <w:p>
      <w:r>
        <w:br w:type="page"/>
      </w:r>
    </w:p>
    <w:p>
      <w:pPr>
        <w:keepNext/>
        <w:spacing w:before="0" w:after="40" w:line="259" w:lineRule="auto"/>
      </w:pPr>
      <w:r>
        <w:rPr>
          <w:rFonts w:ascii="Arial" w:hAnsi="Arial"/>
          <w:b/>
          <w:i w:val="0"/>
          <w:color w:val="1473E6"/>
          <w:sz w:val="14"/>
        </w:rPr>
        <w:t>QUALITY CONTROL</w:t>
      </w:r>
    </w:p>
    <w:p>
      <w:pPr>
        <w:keepNext/>
        <w:spacing w:before="0" w:after="80" w:line="240" w:lineRule="auto"/>
      </w:pPr>
      <w:r>
        <w:rPr>
          <w:rFonts w:ascii="Arial" w:hAnsi="Arial"/>
          <w:b/>
          <w:color w:val="1473E6"/>
          <w:sz w:val="31"/>
        </w:rPr>
        <w:t xml:space="preserve">24  </w:t>
      </w:r>
      <w:r>
        <w:rPr>
          <w:rFonts w:ascii="Arial" w:hAnsi="Arial"/>
          <w:b/>
          <w:color w:val="081827"/>
          <w:sz w:val="31"/>
        </w:rPr>
        <w:t>Validation-gate system</w:t>
      </w:r>
    </w:p>
    <w:p>
      <w:pPr>
        <w:keepNext w:val="0"/>
        <w:spacing w:before="0" w:after="100" w:line="240" w:lineRule="auto"/>
        <w:pBdr>
          <w:bottom w:val="single" w:sz="6" w:space="1" w:color="E4E7EC"/>
        </w:pBdr>
      </w:pPr>
    </w:p>
    <w:tbl>
      <w:tblPr>
        <w:tblW w:type="auto" w:w="0"/>
        <w:jc w:val="center"/>
        <w:tblLayout w:type="fixed"/>
        <w:tblLook w:firstColumn="1" w:firstRow="1" w:lastColumn="0" w:lastRow="0" w:noHBand="0" w:noVBand="1" w:val="04A0"/>
      </w:tblPr>
      <w:tblGrid>
        <w:gridCol w:w="1800"/>
        <w:gridCol w:w="3240"/>
        <w:gridCol w:w="4752"/>
      </w:tblGrid>
      <w:tr>
        <w:trPr>
          <w:tblHeader w:val="true"/>
        </w:trPr>
        <w:tc>
          <w:tcPr>
            <w:tcW w:type="dxa" w:w="3389"/>
            <w:shd w:fill="081827"/>
            <w:tcMar>
              <w:top w:w="90" w:type="dxa"/>
              <w:start w:w="90" w:type="dxa"/>
              <w:bottom w:w="90" w:type="dxa"/>
              <w:end w:w="90" w:type="dxa"/>
            </w:tcMar>
            <w:vAlign w:val="center"/>
          </w:tcPr>
          <w:p>
            <w:pPr>
              <w:keepNext w:val="0"/>
              <w:spacing w:before="0" w:after="0" w:line="240" w:lineRule="auto"/>
              <w:jc w:val="center"/>
            </w:pPr>
            <w:r>
              <w:rPr>
                <w:rFonts w:ascii="Arial" w:hAnsi="Arial"/>
                <w:b/>
                <w:color w:val="FFFFFF"/>
                <w:sz w:val="15"/>
              </w:rPr>
              <w:t>Gate</w:t>
            </w:r>
          </w:p>
        </w:tc>
        <w:tc>
          <w:tcPr>
            <w:tcW w:type="dxa" w:w="3389"/>
            <w:shd w:fill="081827"/>
            <w:tcMar>
              <w:top w:w="90" w:type="dxa"/>
              <w:start w:w="90" w:type="dxa"/>
              <w:bottom w:w="90" w:type="dxa"/>
              <w:end w:w="90" w:type="dxa"/>
            </w:tcMar>
            <w:vAlign w:val="center"/>
          </w:tcPr>
          <w:p>
            <w:pPr>
              <w:keepNext w:val="0"/>
              <w:spacing w:before="0" w:after="0" w:line="240" w:lineRule="auto"/>
              <w:jc w:val="center"/>
            </w:pPr>
            <w:r>
              <w:rPr>
                <w:rFonts w:ascii="Arial" w:hAnsi="Arial"/>
                <w:b/>
                <w:color w:val="FFFFFF"/>
                <w:sz w:val="15"/>
              </w:rPr>
              <w:t>Question</w:t>
            </w:r>
          </w:p>
        </w:tc>
        <w:tc>
          <w:tcPr>
            <w:tcW w:type="dxa" w:w="3389"/>
            <w:shd w:fill="081827"/>
            <w:tcMar>
              <w:top w:w="90" w:type="dxa"/>
              <w:start w:w="90" w:type="dxa"/>
              <w:bottom w:w="90" w:type="dxa"/>
              <w:end w:w="90" w:type="dxa"/>
            </w:tcMar>
            <w:vAlign w:val="center"/>
          </w:tcPr>
          <w:p>
            <w:pPr>
              <w:keepNext w:val="0"/>
              <w:spacing w:before="0" w:after="0" w:line="240" w:lineRule="auto"/>
              <w:jc w:val="center"/>
            </w:pPr>
            <w:r>
              <w:rPr>
                <w:rFonts w:ascii="Arial" w:hAnsi="Arial"/>
                <w:b/>
                <w:color w:val="FFFFFF"/>
                <w:sz w:val="15"/>
              </w:rPr>
              <w:t>Evidence required</w:t>
            </w:r>
          </w:p>
        </w:tc>
      </w:tr>
      <w:tr>
        <w:tc>
          <w:tcPr>
            <w:tcW w:type="dxa" w:w="1800"/>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G1 — Scope</w:t>
            </w:r>
          </w:p>
        </w:tc>
        <w:tc>
          <w:tcPr>
            <w:tcW w:type="dxa" w:w="3240"/>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Was only the authorized task performed?</w:t>
            </w:r>
          </w:p>
        </w:tc>
        <w:tc>
          <w:tcPr>
            <w:tcW w:type="dxa" w:w="4752"/>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Scope map; changed files/actions; exclusions.</w:t>
            </w:r>
          </w:p>
        </w:tc>
      </w:tr>
      <w:tr>
        <w:tc>
          <w:tcPr>
            <w:tcW w:type="dxa" w:w="1800"/>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G2 — Correctness</w:t>
            </w:r>
          </w:p>
        </w:tc>
        <w:tc>
          <w:tcPr>
            <w:tcW w:type="dxa" w:w="3240"/>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Does the result solve the stated objective?</w:t>
            </w:r>
          </w:p>
        </w:tc>
        <w:tc>
          <w:tcPr>
            <w:tcW w:type="dxa" w:w="4752"/>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Tests, calculations, source checks, acceptance criteria.</w:t>
            </w:r>
          </w:p>
        </w:tc>
      </w:tr>
      <w:tr>
        <w:tc>
          <w:tcPr>
            <w:tcW w:type="dxa" w:w="1800"/>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G3 — Evidence</w:t>
            </w:r>
          </w:p>
        </w:tc>
        <w:tc>
          <w:tcPr>
            <w:tcW w:type="dxa" w:w="3240"/>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Are material conclusions traceable?</w:t>
            </w:r>
          </w:p>
        </w:tc>
        <w:tc>
          <w:tcPr>
            <w:tcW w:type="dxa" w:w="4752"/>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Citations, file/line references, logs, commands, screenshots or renders.</w:t>
            </w:r>
          </w:p>
        </w:tc>
      </w:tr>
      <w:tr>
        <w:tc>
          <w:tcPr>
            <w:tcW w:type="dxa" w:w="1800"/>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G4 — Constraints</w:t>
            </w:r>
          </w:p>
        </w:tc>
        <w:tc>
          <w:tcPr>
            <w:tcW w:type="dxa" w:w="3240"/>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Were security, compliance, brand, format, and action boundaries followed?</w:t>
            </w:r>
          </w:p>
        </w:tc>
        <w:tc>
          <w:tcPr>
            <w:tcW w:type="dxa" w:w="4752"/>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Constraint checklist and exceptions.</w:t>
            </w:r>
          </w:p>
        </w:tc>
      </w:tr>
      <w:tr>
        <w:tc>
          <w:tcPr>
            <w:tcW w:type="dxa" w:w="1800"/>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G5 — Failure modes</w:t>
            </w:r>
          </w:p>
        </w:tc>
        <w:tc>
          <w:tcPr>
            <w:tcW w:type="dxa" w:w="3240"/>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Were meaningful failure, abuse, rollback, and edge cases reviewed?</w:t>
            </w:r>
          </w:p>
        </w:tc>
        <w:tc>
          <w:tcPr>
            <w:tcW w:type="dxa" w:w="4752"/>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Risk register and mitigation mapping.</w:t>
            </w:r>
          </w:p>
        </w:tc>
      </w:tr>
      <w:tr>
        <w:tc>
          <w:tcPr>
            <w:tcW w:type="dxa" w:w="1800"/>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G6 — Presentation</w:t>
            </w:r>
          </w:p>
        </w:tc>
        <w:tc>
          <w:tcPr>
            <w:tcW w:type="dxa" w:w="3240"/>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Is the artifact usable, legible, and internally consistent?</w:t>
            </w:r>
          </w:p>
        </w:tc>
        <w:tc>
          <w:tcPr>
            <w:tcW w:type="dxa" w:w="4752"/>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Render inspection, schema validation, link check.</w:t>
            </w:r>
          </w:p>
        </w:tc>
      </w:tr>
      <w:tr>
        <w:tc>
          <w:tcPr>
            <w:tcW w:type="dxa" w:w="1800"/>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G7 — Release</w:t>
            </w:r>
          </w:p>
        </w:tc>
        <w:tc>
          <w:tcPr>
            <w:tcW w:type="dxa" w:w="3240"/>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Can the output be accepted at the required risk level?</w:t>
            </w:r>
          </w:p>
        </w:tc>
        <w:tc>
          <w:tcPr>
            <w:tcW w:type="dxa" w:w="4752"/>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PASS / CONDITIONAL PASS / REWORK / FAIL with rationale.</w:t>
            </w:r>
          </w:p>
        </w:tc>
      </w:tr>
    </w:tbl>
    <w:p>
      <w:pPr>
        <w:spacing w:after="20"/>
      </w:pPr>
    </w:p>
    <w:p>
      <w:pPr>
        <w:keepNext/>
        <w:spacing w:before="100" w:after="60" w:line="240" w:lineRule="auto"/>
      </w:pPr>
      <w:r>
        <w:rPr>
          <w:rFonts w:ascii="Arial" w:hAnsi="Arial"/>
          <w:b/>
          <w:color w:val="081827"/>
          <w:sz w:val="21"/>
        </w:rPr>
        <w:t>Release statuses</w:t>
      </w:r>
    </w:p>
    <w:tbl>
      <w:tblPr>
        <w:tblW w:type="auto" w:w="0"/>
        <w:jc w:val="center"/>
        <w:tblLayout w:type="fixed"/>
        <w:tblLook w:firstColumn="1" w:firstRow="1" w:lastColumn="0" w:lastRow="0" w:noHBand="0" w:noVBand="1" w:val="04A0"/>
      </w:tblPr>
      <w:tblGrid>
        <w:gridCol w:w="2304"/>
        <w:gridCol w:w="7488"/>
      </w:tblGrid>
      <w:tr>
        <w:trPr>
          <w:tblHeader w:val="true"/>
        </w:trPr>
        <w:tc>
          <w:tcPr>
            <w:tcW w:type="dxa" w:w="5083"/>
            <w:shd w:fill="081827"/>
            <w:tcMar>
              <w:top w:w="90" w:type="dxa"/>
              <w:start w:w="90" w:type="dxa"/>
              <w:bottom w:w="90" w:type="dxa"/>
              <w:end w:w="90" w:type="dxa"/>
            </w:tcMar>
            <w:vAlign w:val="center"/>
          </w:tcPr>
          <w:p>
            <w:pPr>
              <w:keepNext w:val="0"/>
              <w:spacing w:before="0" w:after="0" w:line="240" w:lineRule="auto"/>
              <w:jc w:val="center"/>
            </w:pPr>
            <w:r>
              <w:rPr>
                <w:rFonts w:ascii="Arial" w:hAnsi="Arial"/>
                <w:b/>
                <w:color w:val="FFFFFF"/>
                <w:sz w:val="15"/>
              </w:rPr>
              <w:t>Status</w:t>
            </w:r>
          </w:p>
        </w:tc>
        <w:tc>
          <w:tcPr>
            <w:tcW w:type="dxa" w:w="5083"/>
            <w:shd w:fill="081827"/>
            <w:tcMar>
              <w:top w:w="90" w:type="dxa"/>
              <w:start w:w="90" w:type="dxa"/>
              <w:bottom w:w="90" w:type="dxa"/>
              <w:end w:w="90" w:type="dxa"/>
            </w:tcMar>
            <w:vAlign w:val="center"/>
          </w:tcPr>
          <w:p>
            <w:pPr>
              <w:keepNext w:val="0"/>
              <w:spacing w:before="0" w:after="0" w:line="240" w:lineRule="auto"/>
              <w:jc w:val="center"/>
            </w:pPr>
            <w:r>
              <w:rPr>
                <w:rFonts w:ascii="Arial" w:hAnsi="Arial"/>
                <w:b/>
                <w:color w:val="FFFFFF"/>
                <w:sz w:val="15"/>
              </w:rPr>
              <w:t>Rule</w:t>
            </w:r>
          </w:p>
        </w:tc>
      </w:tr>
      <w:tr>
        <w:tc>
          <w:tcPr>
            <w:tcW w:type="dxa" w:w="2304"/>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color w:val="14833B"/>
                <w:sz w:val="16"/>
              </w:rPr>
              <w:t>PASS</w:t>
            </w:r>
          </w:p>
        </w:tc>
        <w:tc>
          <w:tcPr>
            <w:tcW w:type="dxa" w:w="7488"/>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6"/>
              </w:rPr>
              <w:t>All mandatory criteria met; no unresolved release blocker.</w:t>
            </w:r>
          </w:p>
        </w:tc>
      </w:tr>
      <w:tr>
        <w:tc>
          <w:tcPr>
            <w:tcW w:type="dxa" w:w="2304"/>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color w:val="B96800"/>
                <w:sz w:val="16"/>
              </w:rPr>
              <w:t>CONDITIONAL PASS</w:t>
            </w:r>
          </w:p>
        </w:tc>
        <w:tc>
          <w:tcPr>
            <w:tcW w:type="dxa" w:w="7488"/>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6"/>
              </w:rPr>
              <w:t>Usable only with explicit conditions, owner, and deadline.</w:t>
            </w:r>
          </w:p>
        </w:tc>
      </w:tr>
      <w:tr>
        <w:tc>
          <w:tcPr>
            <w:tcW w:type="dxa" w:w="2304"/>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color w:val="1473E6"/>
                <w:sz w:val="16"/>
              </w:rPr>
              <w:t>REWORK</w:t>
            </w:r>
          </w:p>
        </w:tc>
        <w:tc>
          <w:tcPr>
            <w:tcW w:type="dxa" w:w="7488"/>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6"/>
              </w:rPr>
              <w:t>Material defects remain, but the path to acceptance is defined.</w:t>
            </w:r>
          </w:p>
        </w:tc>
      </w:tr>
      <w:tr>
        <w:tc>
          <w:tcPr>
            <w:tcW w:type="dxa" w:w="2304"/>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color w:val="B42318"/>
                <w:sz w:val="16"/>
              </w:rPr>
              <w:t>FAIL</w:t>
            </w:r>
          </w:p>
        </w:tc>
        <w:tc>
          <w:tcPr>
            <w:tcW w:type="dxa" w:w="7488"/>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6"/>
              </w:rPr>
              <w:t>Objective not met, evidence insufficient, boundary violated, or risk unacceptable.</w:t>
            </w:r>
          </w:p>
        </w:tc>
      </w:tr>
    </w:tbl>
    <w:p>
      <w:pPr>
        <w:spacing w:after="20"/>
      </w:pPr>
    </w:p>
    <w:tbl>
      <w:tblPr>
        <w:tblW w:type="auto" w:w="0"/>
        <w:jc w:val="center"/>
        <w:tblLayout w:type="fixed"/>
        <w:tblLook w:firstColumn="1" w:firstRow="1" w:lastColumn="0" w:lastRow="0" w:noHBand="0" w:noVBand="1" w:val="04A0"/>
      </w:tblPr>
      <w:tblGrid>
        <w:gridCol w:w="115"/>
        <w:gridCol w:w="9792"/>
      </w:tblGrid>
      <w:tr>
        <w:tc>
          <w:tcPr>
            <w:tcW w:type="dxa" w:w="5083"/>
            <w:shd w:fill="B42318"/>
            <w:tcMar>
              <w:top w:w="60" w:type="dxa"/>
              <w:start w:w="0" w:type="dxa"/>
              <w:bottom w:w="60" w:type="dxa"/>
              <w:end w:w="0" w:type="dxa"/>
            </w:tcMar>
            <w:vAlign w:val="center"/>
          </w:tcPr>
          <w:p/>
        </w:tc>
        <w:tc>
          <w:tcPr>
            <w:tcW w:type="dxa" w:w="5083"/>
            <w:shd w:fill="FDECEC"/>
            <w:tcMar>
              <w:top w:w="110" w:type="dxa"/>
              <w:start w:w="150" w:type="dxa"/>
              <w:bottom w:w="110" w:type="dxa"/>
              <w:end w:w="150" w:type="dxa"/>
            </w:tcMar>
          </w:tcPr>
          <w:p>
            <w:pPr>
              <w:keepNext/>
              <w:spacing w:before="0" w:after="40" w:line="240" w:lineRule="auto"/>
            </w:pPr>
            <w:r>
              <w:rPr>
                <w:rFonts w:ascii="Arial" w:hAnsi="Arial"/>
                <w:b/>
                <w:color w:val="B42318"/>
                <w:sz w:val="14"/>
              </w:rPr>
              <w:t>NO CEREMONIAL VALIDATION</w:t>
            </w:r>
          </w:p>
          <w:p>
            <w:pPr>
              <w:keepNext w:val="0"/>
              <w:spacing w:before="0" w:after="0" w:line="259" w:lineRule="auto"/>
            </w:pPr>
            <w:r>
              <w:rPr>
                <w:rFonts w:ascii="Arial" w:hAnsi="Arial"/>
                <w:color w:val="17202A"/>
                <w:sz w:val="18"/>
              </w:rPr>
              <w:t>“Reviewed carefully” is not a result. Name the check, method, actual output, and unresolved coverage.</w:t>
            </w:r>
          </w:p>
        </w:tc>
      </w:tr>
    </w:tbl>
    <w:p>
      <w:pPr>
        <w:spacing w:after="20"/>
      </w:pPr>
    </w:p>
    <w:p>
      <w:r>
        <w:br w:type="page"/>
      </w:r>
    </w:p>
    <w:p>
      <w:pPr>
        <w:keepNext/>
        <w:spacing w:before="0" w:after="40" w:line="259" w:lineRule="auto"/>
      </w:pPr>
      <w:r>
        <w:rPr>
          <w:rFonts w:ascii="Arial" w:hAnsi="Arial"/>
          <w:b/>
          <w:i w:val="0"/>
          <w:color w:val="1473E6"/>
          <w:sz w:val="14"/>
        </w:rPr>
        <w:t>QUALITY CONTROL</w:t>
      </w:r>
    </w:p>
    <w:p>
      <w:pPr>
        <w:keepNext/>
        <w:spacing w:before="0" w:after="80" w:line="240" w:lineRule="auto"/>
      </w:pPr>
      <w:r>
        <w:rPr>
          <w:rFonts w:ascii="Arial" w:hAnsi="Arial"/>
          <w:b/>
          <w:color w:val="1473E6"/>
          <w:sz w:val="31"/>
        </w:rPr>
        <w:t xml:space="preserve">25  </w:t>
      </w:r>
      <w:r>
        <w:rPr>
          <w:rFonts w:ascii="Arial" w:hAnsi="Arial"/>
          <w:b/>
          <w:color w:val="081827"/>
          <w:sz w:val="31"/>
        </w:rPr>
        <w:t>Evaluation and benchmark harness</w:t>
      </w:r>
    </w:p>
    <w:p>
      <w:pPr>
        <w:keepNext w:val="0"/>
        <w:spacing w:before="0" w:after="100" w:line="240" w:lineRule="auto"/>
        <w:pBdr>
          <w:bottom w:val="single" w:sz="6" w:space="1" w:color="E4E7EC"/>
        </w:pBdr>
      </w:pPr>
    </w:p>
    <w:tbl>
      <w:tblPr>
        <w:tblW w:type="auto" w:w="0"/>
        <w:jc w:val="center"/>
        <w:tblLayout w:type="fixed"/>
        <w:tblLook w:firstColumn="1" w:firstRow="1" w:lastColumn="0" w:lastRow="0" w:noHBand="0" w:noVBand="1" w:val="04A0"/>
      </w:tblPr>
      <w:tblGrid>
        <w:gridCol w:w="2376"/>
        <w:gridCol w:w="1080"/>
        <w:gridCol w:w="6336"/>
      </w:tblGrid>
      <w:tr>
        <w:trPr>
          <w:tblHeader w:val="true"/>
        </w:trPr>
        <w:tc>
          <w:tcPr>
            <w:tcW w:type="dxa" w:w="3389"/>
            <w:shd w:fill="081827"/>
            <w:tcMar>
              <w:top w:w="90" w:type="dxa"/>
              <w:start w:w="90" w:type="dxa"/>
              <w:bottom w:w="90" w:type="dxa"/>
              <w:end w:w="90" w:type="dxa"/>
            </w:tcMar>
            <w:vAlign w:val="center"/>
          </w:tcPr>
          <w:p>
            <w:pPr>
              <w:keepNext w:val="0"/>
              <w:spacing w:before="0" w:after="0" w:line="240" w:lineRule="auto"/>
              <w:jc w:val="center"/>
            </w:pPr>
            <w:r>
              <w:rPr>
                <w:rFonts w:ascii="Arial" w:hAnsi="Arial"/>
                <w:b/>
                <w:color w:val="FFFFFF"/>
                <w:sz w:val="15"/>
              </w:rPr>
              <w:t>Dimension</w:t>
            </w:r>
          </w:p>
        </w:tc>
        <w:tc>
          <w:tcPr>
            <w:tcW w:type="dxa" w:w="3389"/>
            <w:shd w:fill="081827"/>
            <w:tcMar>
              <w:top w:w="90" w:type="dxa"/>
              <w:start w:w="90" w:type="dxa"/>
              <w:bottom w:w="90" w:type="dxa"/>
              <w:end w:w="90" w:type="dxa"/>
            </w:tcMar>
            <w:vAlign w:val="center"/>
          </w:tcPr>
          <w:p>
            <w:pPr>
              <w:keepNext w:val="0"/>
              <w:spacing w:before="0" w:after="0" w:line="240" w:lineRule="auto"/>
              <w:jc w:val="center"/>
            </w:pPr>
            <w:r>
              <w:rPr>
                <w:rFonts w:ascii="Arial" w:hAnsi="Arial"/>
                <w:b/>
                <w:color w:val="FFFFFF"/>
                <w:sz w:val="15"/>
              </w:rPr>
              <w:t>Weight</w:t>
            </w:r>
          </w:p>
        </w:tc>
        <w:tc>
          <w:tcPr>
            <w:tcW w:type="dxa" w:w="3389"/>
            <w:shd w:fill="081827"/>
            <w:tcMar>
              <w:top w:w="90" w:type="dxa"/>
              <w:start w:w="90" w:type="dxa"/>
              <w:bottom w:w="90" w:type="dxa"/>
              <w:end w:w="90" w:type="dxa"/>
            </w:tcMar>
            <w:vAlign w:val="center"/>
          </w:tcPr>
          <w:p>
            <w:pPr>
              <w:keepNext w:val="0"/>
              <w:spacing w:before="0" w:after="0" w:line="240" w:lineRule="auto"/>
              <w:jc w:val="center"/>
            </w:pPr>
            <w:r>
              <w:rPr>
                <w:rFonts w:ascii="Arial" w:hAnsi="Arial"/>
                <w:b/>
                <w:color w:val="FFFFFF"/>
                <w:sz w:val="15"/>
              </w:rPr>
              <w:t>Scoring question</w:t>
            </w:r>
          </w:p>
        </w:tc>
      </w:tr>
      <w:tr>
        <w:tc>
          <w:tcPr>
            <w:tcW w:type="dxa" w:w="2376"/>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6"/>
              </w:rPr>
              <w:t>Correctness</w:t>
            </w:r>
          </w:p>
        </w:tc>
        <w:tc>
          <w:tcPr>
            <w:tcW w:type="dxa" w:w="1080"/>
            <w:tcMar>
              <w:top w:w="80" w:type="dxa"/>
              <w:start w:w="90" w:type="dxa"/>
              <w:bottom w:w="80" w:type="dxa"/>
              <w:end w:w="90" w:type="dxa"/>
            </w:tcMar>
            <w:vAlign w:val="center"/>
            <w:tcBorders>
              <w:bottom w:val="single" w:sz="3" w:color="E4E7EC"/>
            </w:tcBorders>
          </w:tcPr>
          <w:p>
            <w:pPr>
              <w:keepNext w:val="0"/>
              <w:spacing w:before="0" w:after="0" w:line="245" w:lineRule="auto"/>
              <w:jc w:val="center"/>
            </w:pPr>
            <w:r>
              <w:rPr>
                <w:rFonts w:ascii="Arial" w:hAnsi="Arial"/>
                <w:b w:val="0"/>
                <w:color w:val="17202A"/>
                <w:sz w:val="16"/>
              </w:rPr>
              <w:t>25</w:t>
            </w:r>
          </w:p>
        </w:tc>
        <w:tc>
          <w:tcPr>
            <w:tcW w:type="dxa" w:w="6336"/>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6"/>
              </w:rPr>
              <w:t>Is the core decision or artifact technically right?</w:t>
            </w:r>
          </w:p>
        </w:tc>
      </w:tr>
      <w:tr>
        <w:tc>
          <w:tcPr>
            <w:tcW w:type="dxa" w:w="2376"/>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6"/>
              </w:rPr>
              <w:t>Evidence</w:t>
            </w:r>
          </w:p>
        </w:tc>
        <w:tc>
          <w:tcPr>
            <w:tcW w:type="dxa" w:w="1080"/>
            <w:tcMar>
              <w:top w:w="80" w:type="dxa"/>
              <w:start w:w="90" w:type="dxa"/>
              <w:bottom w:w="80" w:type="dxa"/>
              <w:end w:w="90" w:type="dxa"/>
            </w:tcMar>
            <w:vAlign w:val="center"/>
            <w:shd w:fill="F8FAFC"/>
            <w:tcBorders>
              <w:bottom w:val="single" w:sz="3" w:color="E4E7EC"/>
            </w:tcBorders>
          </w:tcPr>
          <w:p>
            <w:pPr>
              <w:keepNext w:val="0"/>
              <w:spacing w:before="0" w:after="0" w:line="245" w:lineRule="auto"/>
              <w:jc w:val="center"/>
            </w:pPr>
            <w:r>
              <w:rPr>
                <w:rFonts w:ascii="Arial" w:hAnsi="Arial"/>
                <w:b w:val="0"/>
                <w:color w:val="17202A"/>
                <w:sz w:val="16"/>
              </w:rPr>
              <w:t>15</w:t>
            </w:r>
          </w:p>
        </w:tc>
        <w:tc>
          <w:tcPr>
            <w:tcW w:type="dxa" w:w="6336"/>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6"/>
              </w:rPr>
              <w:t>Are material claims traceable to sufficient evidence?</w:t>
            </w:r>
          </w:p>
        </w:tc>
      </w:tr>
      <w:tr>
        <w:tc>
          <w:tcPr>
            <w:tcW w:type="dxa" w:w="2376"/>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6"/>
              </w:rPr>
              <w:t>Completeness</w:t>
            </w:r>
          </w:p>
        </w:tc>
        <w:tc>
          <w:tcPr>
            <w:tcW w:type="dxa" w:w="1080"/>
            <w:tcMar>
              <w:top w:w="80" w:type="dxa"/>
              <w:start w:w="90" w:type="dxa"/>
              <w:bottom w:w="80" w:type="dxa"/>
              <w:end w:w="90" w:type="dxa"/>
            </w:tcMar>
            <w:vAlign w:val="center"/>
            <w:tcBorders>
              <w:bottom w:val="single" w:sz="3" w:color="E4E7EC"/>
            </w:tcBorders>
          </w:tcPr>
          <w:p>
            <w:pPr>
              <w:keepNext w:val="0"/>
              <w:spacing w:before="0" w:after="0" w:line="245" w:lineRule="auto"/>
              <w:jc w:val="center"/>
            </w:pPr>
            <w:r>
              <w:rPr>
                <w:rFonts w:ascii="Arial" w:hAnsi="Arial"/>
                <w:b w:val="0"/>
                <w:color w:val="17202A"/>
                <w:sz w:val="16"/>
              </w:rPr>
              <w:t>15</w:t>
            </w:r>
          </w:p>
        </w:tc>
        <w:tc>
          <w:tcPr>
            <w:tcW w:type="dxa" w:w="6336"/>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6"/>
              </w:rPr>
              <w:t>Are all mandatory requirements and failure modes addressed?</w:t>
            </w:r>
          </w:p>
        </w:tc>
      </w:tr>
      <w:tr>
        <w:tc>
          <w:tcPr>
            <w:tcW w:type="dxa" w:w="2376"/>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6"/>
              </w:rPr>
              <w:t>Constraint adherence</w:t>
            </w:r>
          </w:p>
        </w:tc>
        <w:tc>
          <w:tcPr>
            <w:tcW w:type="dxa" w:w="1080"/>
            <w:tcMar>
              <w:top w:w="80" w:type="dxa"/>
              <w:start w:w="90" w:type="dxa"/>
              <w:bottom w:w="80" w:type="dxa"/>
              <w:end w:w="90" w:type="dxa"/>
            </w:tcMar>
            <w:vAlign w:val="center"/>
            <w:shd w:fill="F8FAFC"/>
            <w:tcBorders>
              <w:bottom w:val="single" w:sz="3" w:color="E4E7EC"/>
            </w:tcBorders>
          </w:tcPr>
          <w:p>
            <w:pPr>
              <w:keepNext w:val="0"/>
              <w:spacing w:before="0" w:after="0" w:line="245" w:lineRule="auto"/>
              <w:jc w:val="center"/>
            </w:pPr>
            <w:r>
              <w:rPr>
                <w:rFonts w:ascii="Arial" w:hAnsi="Arial"/>
                <w:b w:val="0"/>
                <w:color w:val="17202A"/>
                <w:sz w:val="16"/>
              </w:rPr>
              <w:t>15</w:t>
            </w:r>
          </w:p>
        </w:tc>
        <w:tc>
          <w:tcPr>
            <w:tcW w:type="dxa" w:w="6336"/>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6"/>
              </w:rPr>
              <w:t>Were scope, security, format, and approval boundaries followed?</w:t>
            </w:r>
          </w:p>
        </w:tc>
      </w:tr>
      <w:tr>
        <w:tc>
          <w:tcPr>
            <w:tcW w:type="dxa" w:w="2376"/>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6"/>
              </w:rPr>
              <w:t>Risk handling</w:t>
            </w:r>
          </w:p>
        </w:tc>
        <w:tc>
          <w:tcPr>
            <w:tcW w:type="dxa" w:w="1080"/>
            <w:tcMar>
              <w:top w:w="80" w:type="dxa"/>
              <w:start w:w="90" w:type="dxa"/>
              <w:bottom w:w="80" w:type="dxa"/>
              <w:end w:w="90" w:type="dxa"/>
            </w:tcMar>
            <w:vAlign w:val="center"/>
            <w:tcBorders>
              <w:bottom w:val="single" w:sz="3" w:color="E4E7EC"/>
            </w:tcBorders>
          </w:tcPr>
          <w:p>
            <w:pPr>
              <w:keepNext w:val="0"/>
              <w:spacing w:before="0" w:after="0" w:line="245" w:lineRule="auto"/>
              <w:jc w:val="center"/>
            </w:pPr>
            <w:r>
              <w:rPr>
                <w:rFonts w:ascii="Arial" w:hAnsi="Arial"/>
                <w:b w:val="0"/>
                <w:color w:val="17202A"/>
                <w:sz w:val="16"/>
              </w:rPr>
              <w:t>10</w:t>
            </w:r>
          </w:p>
        </w:tc>
        <w:tc>
          <w:tcPr>
            <w:tcW w:type="dxa" w:w="6336"/>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6"/>
              </w:rPr>
              <w:t>Are uncertainty, edge cases, and residual risks treated correctly?</w:t>
            </w:r>
          </w:p>
        </w:tc>
      </w:tr>
      <w:tr>
        <w:tc>
          <w:tcPr>
            <w:tcW w:type="dxa" w:w="2376"/>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6"/>
              </w:rPr>
              <w:t>Actionability</w:t>
            </w:r>
          </w:p>
        </w:tc>
        <w:tc>
          <w:tcPr>
            <w:tcW w:type="dxa" w:w="1080"/>
            <w:tcMar>
              <w:top w:w="80" w:type="dxa"/>
              <w:start w:w="90" w:type="dxa"/>
              <w:bottom w:w="80" w:type="dxa"/>
              <w:end w:w="90" w:type="dxa"/>
            </w:tcMar>
            <w:vAlign w:val="center"/>
            <w:shd w:fill="F8FAFC"/>
            <w:tcBorders>
              <w:bottom w:val="single" w:sz="3" w:color="E4E7EC"/>
            </w:tcBorders>
          </w:tcPr>
          <w:p>
            <w:pPr>
              <w:keepNext w:val="0"/>
              <w:spacing w:before="0" w:after="0" w:line="245" w:lineRule="auto"/>
              <w:jc w:val="center"/>
            </w:pPr>
            <w:r>
              <w:rPr>
                <w:rFonts w:ascii="Arial" w:hAnsi="Arial"/>
                <w:b w:val="0"/>
                <w:color w:val="17202A"/>
                <w:sz w:val="16"/>
              </w:rPr>
              <w:t>10</w:t>
            </w:r>
          </w:p>
        </w:tc>
        <w:tc>
          <w:tcPr>
            <w:tcW w:type="dxa" w:w="6336"/>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6"/>
              </w:rPr>
              <w:t>Can the intended operator use the result without reconstruction?</w:t>
            </w:r>
          </w:p>
        </w:tc>
      </w:tr>
      <w:tr>
        <w:tc>
          <w:tcPr>
            <w:tcW w:type="dxa" w:w="2376"/>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6"/>
              </w:rPr>
              <w:t>Efficiency</w:t>
            </w:r>
          </w:p>
        </w:tc>
        <w:tc>
          <w:tcPr>
            <w:tcW w:type="dxa" w:w="1080"/>
            <w:tcMar>
              <w:top w:w="80" w:type="dxa"/>
              <w:start w:w="90" w:type="dxa"/>
              <w:bottom w:w="80" w:type="dxa"/>
              <w:end w:w="90" w:type="dxa"/>
            </w:tcMar>
            <w:vAlign w:val="center"/>
            <w:tcBorders>
              <w:bottom w:val="single" w:sz="3" w:color="E4E7EC"/>
            </w:tcBorders>
          </w:tcPr>
          <w:p>
            <w:pPr>
              <w:keepNext w:val="0"/>
              <w:spacing w:before="0" w:after="0" w:line="245" w:lineRule="auto"/>
              <w:jc w:val="center"/>
            </w:pPr>
            <w:r>
              <w:rPr>
                <w:rFonts w:ascii="Arial" w:hAnsi="Arial"/>
                <w:b w:val="0"/>
                <w:color w:val="17202A"/>
                <w:sz w:val="16"/>
              </w:rPr>
              <w:t>5</w:t>
            </w:r>
          </w:p>
        </w:tc>
        <w:tc>
          <w:tcPr>
            <w:tcW w:type="dxa" w:w="6336"/>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6"/>
              </w:rPr>
              <w:t>Does the configuration avoid unnecessary tokens, calls, or latency?</w:t>
            </w:r>
          </w:p>
        </w:tc>
      </w:tr>
      <w:tr>
        <w:tc>
          <w:tcPr>
            <w:tcW w:type="dxa" w:w="2376"/>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6"/>
              </w:rPr>
              <w:t>Presentation</w:t>
            </w:r>
          </w:p>
        </w:tc>
        <w:tc>
          <w:tcPr>
            <w:tcW w:type="dxa" w:w="1080"/>
            <w:tcMar>
              <w:top w:w="80" w:type="dxa"/>
              <w:start w:w="90" w:type="dxa"/>
              <w:bottom w:w="80" w:type="dxa"/>
              <w:end w:w="90" w:type="dxa"/>
            </w:tcMar>
            <w:vAlign w:val="center"/>
            <w:shd w:fill="F8FAFC"/>
            <w:tcBorders>
              <w:bottom w:val="single" w:sz="3" w:color="E4E7EC"/>
            </w:tcBorders>
          </w:tcPr>
          <w:p>
            <w:pPr>
              <w:keepNext w:val="0"/>
              <w:spacing w:before="0" w:after="0" w:line="245" w:lineRule="auto"/>
              <w:jc w:val="center"/>
            </w:pPr>
            <w:r>
              <w:rPr>
                <w:rFonts w:ascii="Arial" w:hAnsi="Arial"/>
                <w:b w:val="0"/>
                <w:color w:val="17202A"/>
                <w:sz w:val="16"/>
              </w:rPr>
              <w:t>5</w:t>
            </w:r>
          </w:p>
        </w:tc>
        <w:tc>
          <w:tcPr>
            <w:tcW w:type="dxa" w:w="6336"/>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6"/>
              </w:rPr>
              <w:t>Is the output clear, legible, consistent, and correctly formatted?</w:t>
            </w:r>
          </w:p>
        </w:tc>
      </w:tr>
    </w:tbl>
    <w:p>
      <w:pPr>
        <w:spacing w:after="20"/>
      </w:pPr>
    </w:p>
    <w:tbl>
      <w:tblPr>
        <w:tblW w:type="auto" w:w="0"/>
        <w:jc w:val="center"/>
        <w:tblLayout w:type="fixed"/>
        <w:tblLook w:firstColumn="1" w:firstRow="1" w:lastColumn="0" w:lastRow="0" w:noHBand="0" w:noVBand="1" w:val="04A0"/>
      </w:tblPr>
      <w:tblGrid>
        <w:gridCol w:w="2160"/>
        <w:gridCol w:w="7632"/>
      </w:tblGrid>
      <w:tr>
        <w:trPr>
          <w:tblHeader w:val="true"/>
        </w:trPr>
        <w:tc>
          <w:tcPr>
            <w:tcW w:type="dxa" w:w="5083"/>
            <w:shd w:fill="081827"/>
            <w:tcMar>
              <w:top w:w="90" w:type="dxa"/>
              <w:start w:w="90" w:type="dxa"/>
              <w:bottom w:w="90" w:type="dxa"/>
              <w:end w:w="90" w:type="dxa"/>
            </w:tcMar>
            <w:vAlign w:val="center"/>
          </w:tcPr>
          <w:p>
            <w:pPr>
              <w:keepNext w:val="0"/>
              <w:spacing w:before="0" w:after="0" w:line="240" w:lineRule="auto"/>
              <w:jc w:val="center"/>
            </w:pPr>
            <w:r>
              <w:rPr>
                <w:rFonts w:ascii="Arial" w:hAnsi="Arial"/>
                <w:b/>
                <w:color w:val="FFFFFF"/>
                <w:sz w:val="15"/>
              </w:rPr>
              <w:t>Score</w:t>
            </w:r>
          </w:p>
        </w:tc>
        <w:tc>
          <w:tcPr>
            <w:tcW w:type="dxa" w:w="5083"/>
            <w:shd w:fill="081827"/>
            <w:tcMar>
              <w:top w:w="90" w:type="dxa"/>
              <w:start w:w="90" w:type="dxa"/>
              <w:bottom w:w="90" w:type="dxa"/>
              <w:end w:w="90" w:type="dxa"/>
            </w:tcMar>
            <w:vAlign w:val="center"/>
          </w:tcPr>
          <w:p>
            <w:pPr>
              <w:keepNext w:val="0"/>
              <w:spacing w:before="0" w:after="0" w:line="240" w:lineRule="auto"/>
              <w:jc w:val="center"/>
            </w:pPr>
            <w:r>
              <w:rPr>
                <w:rFonts w:ascii="Arial" w:hAnsi="Arial"/>
                <w:b/>
                <w:color w:val="FFFFFF"/>
                <w:sz w:val="15"/>
              </w:rPr>
              <w:t>Decision</w:t>
            </w:r>
          </w:p>
        </w:tc>
      </w:tr>
      <w:tr>
        <w:tc>
          <w:tcPr>
            <w:tcW w:type="dxa" w:w="2160"/>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6"/>
              </w:rPr>
              <w:t>90–100</w:t>
            </w:r>
          </w:p>
        </w:tc>
        <w:tc>
          <w:tcPr>
            <w:tcW w:type="dxa" w:w="7632"/>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6"/>
              </w:rPr>
              <w:t>Release candidate, subject to mandatory gate results.</w:t>
            </w:r>
          </w:p>
        </w:tc>
      </w:tr>
      <w:tr>
        <w:tc>
          <w:tcPr>
            <w:tcW w:type="dxa" w:w="2160"/>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6"/>
              </w:rPr>
              <w:t>80–89</w:t>
            </w:r>
          </w:p>
        </w:tc>
        <w:tc>
          <w:tcPr>
            <w:tcW w:type="dxa" w:w="7632"/>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6"/>
              </w:rPr>
              <w:t>Conditional pass or targeted rework.</w:t>
            </w:r>
          </w:p>
        </w:tc>
      </w:tr>
      <w:tr>
        <w:tc>
          <w:tcPr>
            <w:tcW w:type="dxa" w:w="2160"/>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6"/>
              </w:rPr>
              <w:t>70–79</w:t>
            </w:r>
          </w:p>
        </w:tc>
        <w:tc>
          <w:tcPr>
            <w:tcW w:type="dxa" w:w="7632"/>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6"/>
              </w:rPr>
              <w:t>Rework; configuration or prompt likely needs adjustment.</w:t>
            </w:r>
          </w:p>
        </w:tc>
      </w:tr>
      <w:tr>
        <w:tc>
          <w:tcPr>
            <w:tcW w:type="dxa" w:w="2160"/>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6"/>
              </w:rPr>
              <w:t>Below 70</w:t>
            </w:r>
          </w:p>
        </w:tc>
        <w:tc>
          <w:tcPr>
            <w:tcW w:type="dxa" w:w="7632"/>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6"/>
              </w:rPr>
              <w:t>Fail; do not release.</w:t>
            </w:r>
          </w:p>
        </w:tc>
      </w:tr>
    </w:tbl>
    <w:p>
      <w:pPr>
        <w:spacing w:after="20"/>
      </w:pPr>
    </w:p>
    <w:p>
      <w:pPr>
        <w:keepNext/>
        <w:spacing w:before="100" w:after="60" w:line="240" w:lineRule="auto"/>
      </w:pPr>
      <w:r>
        <w:rPr>
          <w:rFonts w:ascii="Arial" w:hAnsi="Arial"/>
          <w:b/>
          <w:color w:val="081827"/>
          <w:sz w:val="21"/>
        </w:rPr>
        <w:t>Benchmark method</w:t>
      </w:r>
    </w:p>
    <w:p>
      <w:pPr>
        <w:keepNext w:val="0"/>
        <w:spacing w:before="0" w:after="60" w:line="254" w:lineRule="auto"/>
        <w:ind w:left="259" w:hanging="259"/>
      </w:pPr>
      <w:r>
        <w:rPr>
          <w:rFonts w:ascii="Arial" w:hAnsi="Arial"/>
          <w:b/>
          <w:color w:val="1473E6"/>
          <w:sz w:val="18"/>
        </w:rPr>
        <w:t xml:space="preserve">1. </w:t>
      </w:r>
      <w:r>
        <w:rPr>
          <w:rFonts w:ascii="Arial" w:hAnsi="Arial"/>
          <w:color w:val="17202A"/>
          <w:sz w:val="18"/>
        </w:rPr>
        <w:t>Build a representative task set with known acceptance criteria and difficult edge cases.</w:t>
      </w:r>
    </w:p>
    <w:p>
      <w:pPr>
        <w:keepNext w:val="0"/>
        <w:spacing w:before="0" w:after="60" w:line="254" w:lineRule="auto"/>
        <w:ind w:left="259" w:hanging="259"/>
      </w:pPr>
      <w:r>
        <w:rPr>
          <w:rFonts w:ascii="Arial" w:hAnsi="Arial"/>
          <w:b/>
          <w:color w:val="1473E6"/>
          <w:sz w:val="18"/>
        </w:rPr>
        <w:t xml:space="preserve">2. </w:t>
      </w:r>
      <w:r>
        <w:rPr>
          <w:rFonts w:ascii="Arial" w:hAnsi="Arial"/>
          <w:color w:val="17202A"/>
          <w:sz w:val="18"/>
        </w:rPr>
        <w:t>Run the same prompt and evidence across candidate configurations.</w:t>
      </w:r>
    </w:p>
    <w:p>
      <w:pPr>
        <w:keepNext w:val="0"/>
        <w:spacing w:before="0" w:after="60" w:line="254" w:lineRule="auto"/>
        <w:ind w:left="259" w:hanging="259"/>
      </w:pPr>
      <w:r>
        <w:rPr>
          <w:rFonts w:ascii="Arial" w:hAnsi="Arial"/>
          <w:b/>
          <w:color w:val="1473E6"/>
          <w:sz w:val="18"/>
        </w:rPr>
        <w:t xml:space="preserve">3. </w:t>
      </w:r>
      <w:r>
        <w:rPr>
          <w:rFonts w:ascii="Arial" w:hAnsi="Arial"/>
          <w:color w:val="17202A"/>
          <w:sz w:val="18"/>
        </w:rPr>
        <w:t>Blind-score outputs where practical; record tokens, latency, tool calls, and cost.</w:t>
      </w:r>
    </w:p>
    <w:p>
      <w:pPr>
        <w:keepNext w:val="0"/>
        <w:spacing w:before="0" w:after="60" w:line="254" w:lineRule="auto"/>
        <w:ind w:left="259" w:hanging="259"/>
      </w:pPr>
      <w:r>
        <w:rPr>
          <w:rFonts w:ascii="Arial" w:hAnsi="Arial"/>
          <w:b/>
          <w:color w:val="1473E6"/>
          <w:sz w:val="18"/>
        </w:rPr>
        <w:t xml:space="preserve">4. </w:t>
      </w:r>
      <w:r>
        <w:rPr>
          <w:rFonts w:ascii="Arial" w:hAnsi="Arial"/>
          <w:color w:val="17202A"/>
          <w:sz w:val="18"/>
        </w:rPr>
        <w:t>Select the lowest-cost configuration that reliably clears the release threshold.</w:t>
      </w:r>
    </w:p>
    <w:p>
      <w:pPr>
        <w:keepNext w:val="0"/>
        <w:spacing w:before="0" w:after="60" w:line="254" w:lineRule="auto"/>
        <w:ind w:left="259" w:hanging="259"/>
      </w:pPr>
      <w:r>
        <w:rPr>
          <w:rFonts w:ascii="Arial" w:hAnsi="Arial"/>
          <w:b/>
          <w:color w:val="1473E6"/>
          <w:sz w:val="18"/>
        </w:rPr>
        <w:t xml:space="preserve">5. </w:t>
      </w:r>
      <w:r>
        <w:rPr>
          <w:rFonts w:ascii="Arial" w:hAnsi="Arial"/>
          <w:color w:val="17202A"/>
          <w:sz w:val="18"/>
        </w:rPr>
        <w:t>Re-test after model, prompt, Skill, tool, or source changes.</w:t>
      </w:r>
    </w:p>
    <w:p>
      <w:pPr>
        <w:keepNext w:val="0"/>
        <w:spacing w:before="60" w:after="0" w:line="240" w:lineRule="auto"/>
      </w:pPr>
      <w:r>
        <w:rPr>
          <w:rFonts w:ascii="Arial" w:hAnsi="Arial"/>
          <w:b/>
          <w:color w:val="667085"/>
          <w:sz w:val="14"/>
        </w:rPr>
        <w:t xml:space="preserve">Sources: </w:t>
      </w:r>
      <w:r>
        <w:rPr>
          <w:rFonts w:ascii="Arial" w:hAnsi="Arial"/>
          <w:color w:val="667085"/>
          <w:sz w:val="14"/>
        </w:rPr>
        <w:t>S01</w:t>
      </w:r>
    </w:p>
    <w:p>
      <w:r>
        <w:br w:type="page"/>
      </w:r>
    </w:p>
    <w:p>
      <w:pPr>
        <w:keepNext/>
        <w:spacing w:before="0" w:after="40" w:line="259" w:lineRule="auto"/>
      </w:pPr>
      <w:r>
        <w:rPr>
          <w:rFonts w:ascii="Arial" w:hAnsi="Arial"/>
          <w:b/>
          <w:i w:val="0"/>
          <w:color w:val="1473E6"/>
          <w:sz w:val="14"/>
        </w:rPr>
        <w:t>CYBER CONTROL</w:t>
      </w:r>
    </w:p>
    <w:p>
      <w:pPr>
        <w:keepNext/>
        <w:spacing w:before="0" w:after="80" w:line="240" w:lineRule="auto"/>
      </w:pPr>
      <w:r>
        <w:rPr>
          <w:rFonts w:ascii="Arial" w:hAnsi="Arial"/>
          <w:b/>
          <w:color w:val="1473E6"/>
          <w:sz w:val="31"/>
        </w:rPr>
        <w:t xml:space="preserve">26  </w:t>
      </w:r>
      <w:r>
        <w:rPr>
          <w:rFonts w:ascii="Arial" w:hAnsi="Arial"/>
          <w:b/>
          <w:color w:val="081827"/>
          <w:sz w:val="31"/>
        </w:rPr>
        <w:t>Defensive cybersecurity control plane</w:t>
      </w:r>
    </w:p>
    <w:p>
      <w:pPr>
        <w:keepNext w:val="0"/>
        <w:spacing w:before="0" w:after="100" w:line="240" w:lineRule="auto"/>
        <w:pBdr>
          <w:bottom w:val="single" w:sz="6" w:space="1" w:color="E4E7EC"/>
        </w:pBdr>
      </w:pPr>
    </w:p>
    <w:p>
      <w:pPr>
        <w:keepNext w:val="0"/>
        <w:spacing w:before="40" w:after="80" w:line="240" w:lineRule="auto"/>
        <w:jc w:val="center"/>
      </w:pPr>
      <w:r>
        <w:drawing>
          <wp:inline xmlns:a="http://schemas.openxmlformats.org/drawingml/2006/main" xmlns:pic="http://schemas.openxmlformats.org/drawingml/2006/picture">
            <wp:extent cx="6400800" cy="2800350"/>
            <wp:docPr id="2" name="Picture 2"/>
            <wp:cNvGraphicFramePr>
              <a:graphicFrameLocks noChangeAspect="1"/>
            </wp:cNvGraphicFramePr>
            <a:graphic>
              <a:graphicData uri="http://schemas.openxmlformats.org/drawingml/2006/picture">
                <pic:pic>
                  <pic:nvPicPr>
                    <pic:cNvPr id="0" name="cyber_control_plane.png"/>
                    <pic:cNvPicPr/>
                  </pic:nvPicPr>
                  <pic:blipFill>
                    <a:blip r:embed="rId13"/>
                    <a:stretch>
                      <a:fillRect/>
                    </a:stretch>
                  </pic:blipFill>
                  <pic:spPr>
                    <a:xfrm>
                      <a:off x="0" y="0"/>
                      <a:ext cx="6400800" cy="2800350"/>
                    </a:xfrm>
                    <a:prstGeom prst="rect"/>
                  </pic:spPr>
                </pic:pic>
              </a:graphicData>
            </a:graphic>
          </wp:inline>
        </w:drawing>
      </w:r>
    </w:p>
    <w:tbl>
      <w:tblPr>
        <w:tblW w:type="auto" w:w="0"/>
        <w:jc w:val="center"/>
        <w:tblLayout w:type="fixed"/>
        <w:tblLook w:firstColumn="1" w:firstRow="1" w:lastColumn="0" w:lastRow="0" w:noHBand="0" w:noVBand="1" w:val="04A0"/>
      </w:tblPr>
      <w:tblGrid>
        <w:gridCol w:w="115"/>
        <w:gridCol w:w="9792"/>
      </w:tblGrid>
      <w:tr>
        <w:tc>
          <w:tcPr>
            <w:tcW w:type="dxa" w:w="5083"/>
            <w:shd w:fill="B42318"/>
            <w:tcMar>
              <w:top w:w="60" w:type="dxa"/>
              <w:start w:w="0" w:type="dxa"/>
              <w:bottom w:w="60" w:type="dxa"/>
              <w:end w:w="0" w:type="dxa"/>
            </w:tcMar>
            <w:vAlign w:val="center"/>
          </w:tcPr>
          <w:p/>
        </w:tc>
        <w:tc>
          <w:tcPr>
            <w:tcW w:type="dxa" w:w="5083"/>
            <w:shd w:fill="FDECEC"/>
            <w:tcMar>
              <w:top w:w="110" w:type="dxa"/>
              <w:start w:w="150" w:type="dxa"/>
              <w:bottom w:w="110" w:type="dxa"/>
              <w:end w:w="150" w:type="dxa"/>
            </w:tcMar>
          </w:tcPr>
          <w:p>
            <w:pPr>
              <w:keepNext/>
              <w:spacing w:before="0" w:after="40" w:line="240" w:lineRule="auto"/>
            </w:pPr>
            <w:r>
              <w:rPr>
                <w:rFonts w:ascii="Arial" w:hAnsi="Arial"/>
                <w:b/>
                <w:color w:val="B42318"/>
                <w:sz w:val="14"/>
              </w:rPr>
              <w:t>MANDATORY BOUNDARY</w:t>
            </w:r>
          </w:p>
          <w:p>
            <w:pPr>
              <w:keepNext w:val="0"/>
              <w:spacing w:before="0" w:after="0" w:line="259" w:lineRule="auto"/>
            </w:pPr>
            <w:r>
              <w:rPr>
                <w:rFonts w:ascii="Arial" w:hAnsi="Arial"/>
                <w:color w:val="17202A"/>
                <w:sz w:val="18"/>
              </w:rPr>
              <w:t>No cyber prompt in the final guide may omit authorization, named scope, permitted actions, prohibited actions, evidence, and completion conditions when the work could materially affect a system or facilitate dual-use activity.</w:t>
            </w:r>
          </w:p>
        </w:tc>
      </w:tr>
    </w:tbl>
    <w:p>
      <w:pPr>
        <w:spacing w:after="20"/>
      </w:pPr>
    </w:p>
    <w:p>
      <w:pPr>
        <w:keepNext/>
        <w:spacing w:before="100" w:after="60" w:line="240" w:lineRule="auto"/>
      </w:pPr>
      <w:r>
        <w:rPr>
          <w:rFonts w:ascii="Arial" w:hAnsi="Arial"/>
          <w:b/>
          <w:color w:val="081827"/>
          <w:sz w:val="21"/>
        </w:rPr>
        <w:t>Baseline allowed defensive outcomes</w:t>
      </w:r>
    </w:p>
    <w:p>
      <w:pPr>
        <w:pStyle w:val="ListBullet"/>
        <w:keepNext w:val="0"/>
        <w:spacing w:before="0" w:after="48" w:line="254" w:lineRule="auto"/>
        <w:ind w:left="259" w:hanging="173"/>
      </w:pPr>
      <w:r>
        <w:rPr>
          <w:rFonts w:ascii="Arial" w:hAnsi="Arial"/>
          <w:color w:val="17202A"/>
          <w:sz w:val="17"/>
        </w:rPr>
        <w:t>Secure code review, threat modeling, patch development, debugging, and defensive testing.</w:t>
      </w:r>
    </w:p>
    <w:p>
      <w:pPr>
        <w:pStyle w:val="ListBullet"/>
        <w:keepNext w:val="0"/>
        <w:spacing w:before="0" w:after="48" w:line="254" w:lineRule="auto"/>
        <w:ind w:left="259" w:hanging="173"/>
      </w:pPr>
      <w:r>
        <w:rPr>
          <w:rFonts w:ascii="Arial" w:hAnsi="Arial"/>
          <w:color w:val="17202A"/>
          <w:sz w:val="17"/>
        </w:rPr>
        <w:t>Human-led vulnerability identification and validation in authorized systems.</w:t>
      </w:r>
    </w:p>
    <w:p>
      <w:pPr>
        <w:pStyle w:val="ListBullet"/>
        <w:keepNext w:val="0"/>
        <w:spacing w:before="0" w:after="48" w:line="254" w:lineRule="auto"/>
        <w:ind w:left="259" w:hanging="173"/>
      </w:pPr>
      <w:r>
        <w:rPr>
          <w:rFonts w:ascii="Arial" w:hAnsi="Arial"/>
          <w:color w:val="17202A"/>
          <w:sz w:val="17"/>
        </w:rPr>
        <w:t>Corporate security automation, detection engineering, incident-response support, and hardening.</w:t>
      </w:r>
    </w:p>
    <w:p>
      <w:pPr>
        <w:pStyle w:val="ListBullet"/>
        <w:keepNext w:val="0"/>
        <w:spacing w:before="0" w:after="48" w:line="254" w:lineRule="auto"/>
        <w:ind w:left="259" w:hanging="173"/>
      </w:pPr>
      <w:r>
        <w:rPr>
          <w:rFonts w:ascii="Arial" w:hAnsi="Arial"/>
          <w:color w:val="17202A"/>
          <w:sz w:val="17"/>
        </w:rPr>
        <w:t>Security education and analysis that does not facilitate malicious or unauthorized activity.</w:t>
      </w:r>
    </w:p>
    <w:p>
      <w:pPr>
        <w:keepNext w:val="0"/>
        <w:spacing w:before="60" w:after="0" w:line="240" w:lineRule="auto"/>
      </w:pPr>
      <w:r>
        <w:rPr>
          <w:rFonts w:ascii="Arial" w:hAnsi="Arial"/>
          <w:b/>
          <w:color w:val="667085"/>
          <w:sz w:val="14"/>
        </w:rPr>
        <w:t xml:space="preserve">Sources: </w:t>
      </w:r>
      <w:r>
        <w:rPr>
          <w:rFonts w:ascii="Arial" w:hAnsi="Arial"/>
          <w:color w:val="667085"/>
          <w:sz w:val="14"/>
        </w:rPr>
        <w:t>S05, S06, S10, S11</w:t>
      </w:r>
    </w:p>
    <w:p>
      <w:r>
        <w:br w:type="page"/>
      </w:r>
    </w:p>
    <w:p>
      <w:pPr>
        <w:keepNext/>
        <w:spacing w:before="0" w:after="40" w:line="259" w:lineRule="auto"/>
      </w:pPr>
      <w:r>
        <w:rPr>
          <w:rFonts w:ascii="Arial" w:hAnsi="Arial"/>
          <w:b/>
          <w:i w:val="0"/>
          <w:color w:val="1473E6"/>
          <w:sz w:val="14"/>
        </w:rPr>
        <w:t>CYBER TEMPLATE</w:t>
      </w:r>
    </w:p>
    <w:p>
      <w:pPr>
        <w:keepNext/>
        <w:spacing w:before="0" w:after="80" w:line="240" w:lineRule="auto"/>
      </w:pPr>
      <w:r>
        <w:rPr>
          <w:rFonts w:ascii="Arial" w:hAnsi="Arial"/>
          <w:b/>
          <w:color w:val="1473E6"/>
          <w:sz w:val="31"/>
        </w:rPr>
        <w:t xml:space="preserve">27  </w:t>
      </w:r>
      <w:r>
        <w:rPr>
          <w:rFonts w:ascii="Arial" w:hAnsi="Arial"/>
          <w:b/>
          <w:color w:val="081827"/>
          <w:sz w:val="31"/>
        </w:rPr>
        <w:t>Cyber authorization header</w:t>
      </w:r>
    </w:p>
    <w:p>
      <w:pPr>
        <w:keepNext w:val="0"/>
        <w:spacing w:before="0" w:after="100" w:line="240" w:lineRule="auto"/>
        <w:pBdr>
          <w:bottom w:val="single" w:sz="6" w:space="1" w:color="E4E7EC"/>
        </w:pBdr>
      </w:pPr>
    </w:p>
    <w:tbl>
      <w:tblPr>
        <w:tblW w:type="auto" w:w="0"/>
        <w:jc w:val="center"/>
        <w:tblLayout w:type="fixed"/>
        <w:tblLook w:firstColumn="1" w:firstRow="1" w:lastColumn="0" w:lastRow="0" w:noHBand="0" w:noVBand="1" w:val="04A0"/>
      </w:tblPr>
      <w:tblGrid>
        <w:gridCol w:w="9720"/>
      </w:tblGrid>
      <w:tr>
        <w:tc>
          <w:tcPr>
            <w:tcW w:type="dxa" w:w="10166"/>
            <w:shd w:fill="F5F7FA"/>
            <w:tcMar>
              <w:top w:w="120" w:type="dxa"/>
              <w:start w:w="150" w:type="dxa"/>
              <w:bottom w:w="120" w:type="dxa"/>
              <w:end w:w="150" w:type="dxa"/>
            </w:tcMar>
            <w:tcBorders>
              <w:top w:val="single" w:sz="6" w:color="D0D5DD"/>
              <w:start w:val="single" w:sz="6" w:color="D0D5DD"/>
              <w:bottom w:val="single" w:sz="6" w:color="D0D5DD"/>
              <w:end w:val="single" w:sz="6" w:color="D0D5DD"/>
            </w:tcBorders>
          </w:tcPr>
          <w:p>
            <w:pPr>
              <w:keepNext w:val="0"/>
              <w:spacing w:before="0" w:after="0" w:line="252" w:lineRule="auto"/>
            </w:pPr>
            <w:r>
              <w:rPr>
                <w:rFonts w:ascii="DejaVu Sans Mono" w:hAnsi="DejaVu Sans Mono"/>
                <w:color w:val="17202A"/>
                <w:sz w:val="14"/>
              </w:rPr>
              <w:t>AUTHORIZED DEFENSIVE CONTEXT</w:t>
            </w:r>
            <w:r>
              <w:br/>
            </w:r>
            <w:r>
              <w:rPr>
                <w:rFonts w:ascii="DejaVu Sans Mono" w:hAnsi="DejaVu Sans Mono"/>
                <w:color w:val="17202A"/>
                <w:sz w:val="14"/>
              </w:rPr>
            </w:r>
            <w:r>
              <w:br/>
            </w:r>
            <w:r>
              <w:rPr>
                <w:rFonts w:ascii="DejaVu Sans Mono" w:hAnsi="DejaVu Sans Mono"/>
                <w:color w:val="17202A"/>
                <w:sz w:val="14"/>
              </w:rPr>
              <w:t>System owner or authorizing organization: [name]</w:t>
            </w:r>
            <w:r>
              <w:br/>
            </w:r>
            <w:r>
              <w:rPr>
                <w:rFonts w:ascii="DejaVu Sans Mono" w:hAnsi="DejaVu Sans Mono"/>
                <w:color w:val="17202A"/>
                <w:sz w:val="14"/>
              </w:rPr>
              <w:t>Operator and authority basis: [owner / employee / contract / written authorization]</w:t>
            </w:r>
            <w:r>
              <w:br/>
            </w:r>
            <w:r>
              <w:rPr>
                <w:rFonts w:ascii="DejaVu Sans Mono" w:hAnsi="DejaVu Sans Mono"/>
                <w:color w:val="17202A"/>
                <w:sz w:val="14"/>
              </w:rPr>
              <w:t>Authorized target: [repository, application, account, network, lab, or dataset]</w:t>
            </w:r>
            <w:r>
              <w:br/>
            </w:r>
            <w:r>
              <w:rPr>
                <w:rFonts w:ascii="DejaVu Sans Mono" w:hAnsi="DejaVu Sans Mono"/>
                <w:color w:val="17202A"/>
                <w:sz w:val="14"/>
              </w:rPr>
              <w:t>Environment: [production / staging / local lab / CTF / isolated test]</w:t>
            </w:r>
            <w:r>
              <w:br/>
            </w:r>
            <w:r>
              <w:rPr>
                <w:rFonts w:ascii="DejaVu Sans Mono" w:hAnsi="DejaVu Sans Mono"/>
                <w:color w:val="17202A"/>
                <w:sz w:val="14"/>
              </w:rPr>
              <w:t>Defensive objective: [review, validate, patch, detect, contain, recover, document]</w:t>
            </w:r>
            <w:r>
              <w:br/>
            </w:r>
            <w:r>
              <w:rPr>
                <w:rFonts w:ascii="DejaVu Sans Mono" w:hAnsi="DejaVu Sans Mono"/>
                <w:color w:val="17202A"/>
                <w:sz w:val="14"/>
              </w:rPr>
              <w:t>Permitted actions: [read, inspect, reproduce in lab, test, patch, scan bounded scope]</w:t>
            </w:r>
            <w:r>
              <w:br/>
            </w:r>
            <w:r>
              <w:rPr>
                <w:rFonts w:ascii="DejaVu Sans Mono" w:hAnsi="DejaVu Sans Mono"/>
                <w:color w:val="17202A"/>
                <w:sz w:val="14"/>
              </w:rPr>
              <w:t>Prohibited actions: [third-party targeting, persistence, exfiltration, destructive change, uncontrolled deployment]</w:t>
            </w:r>
            <w:r>
              <w:br/>
            </w:r>
            <w:r>
              <w:rPr>
                <w:rFonts w:ascii="DejaVu Sans Mono" w:hAnsi="DejaVu Sans Mono"/>
                <w:color w:val="17202A"/>
                <w:sz w:val="14"/>
              </w:rPr>
              <w:t>Data handling limits: [sensitivity, retention, redaction, export limits]</w:t>
            </w:r>
            <w:r>
              <w:br/>
            </w:r>
            <w:r>
              <w:rPr>
                <w:rFonts w:ascii="DejaVu Sans Mono" w:hAnsi="DejaVu Sans Mono"/>
                <w:color w:val="17202A"/>
                <w:sz w:val="14"/>
              </w:rPr>
              <w:t>Stop conditions: [unexpected target, production instability, sensitive discovery, scope uncertainty]</w:t>
            </w:r>
            <w:r>
              <w:br/>
            </w:r>
            <w:r>
              <w:rPr>
                <w:rFonts w:ascii="DejaVu Sans Mono" w:hAnsi="DejaVu Sans Mono"/>
                <w:color w:val="17202A"/>
                <w:sz w:val="14"/>
              </w:rPr>
              <w:t>Evidence available: [code, logs, configurations, scan output, architecture, prior findings]</w:t>
            </w:r>
            <w:r>
              <w:br/>
            </w:r>
            <w:r>
              <w:rPr>
                <w:rFonts w:ascii="DejaVu Sans Mono" w:hAnsi="DejaVu Sans Mono"/>
                <w:color w:val="17202A"/>
                <w:sz w:val="14"/>
              </w:rPr>
              <w:t>Completion condition: [finding validated, patch tested, detection verified, risk accepted]</w:t>
            </w:r>
            <w:r>
              <w:br/>
            </w:r>
            <w:r>
              <w:rPr>
                <w:rFonts w:ascii="DejaVu Sans Mono" w:hAnsi="DejaVu Sans Mono"/>
                <w:color w:val="17202A"/>
                <w:sz w:val="14"/>
              </w:rPr>
              <w:t>Human approval required for: [production change, disclosure, external communication, destructive action]</w:t>
            </w:r>
          </w:p>
        </w:tc>
      </w:tr>
    </w:tbl>
    <w:p>
      <w:pPr>
        <w:spacing w:after="20"/>
      </w:pPr>
    </w:p>
    <w:p>
      <w:pPr>
        <w:keepNext/>
        <w:spacing w:before="100" w:after="60" w:line="240" w:lineRule="auto"/>
      </w:pPr>
      <w:r>
        <w:rPr>
          <w:rFonts w:ascii="Arial" w:hAnsi="Arial"/>
          <w:b/>
          <w:color w:val="081827"/>
          <w:sz w:val="21"/>
        </w:rPr>
        <w:t>Authorization handling rules</w:t>
      </w:r>
    </w:p>
    <w:p>
      <w:pPr>
        <w:pStyle w:val="ListBullet"/>
        <w:keepNext w:val="0"/>
        <w:spacing w:before="0" w:after="48" w:line="254" w:lineRule="auto"/>
        <w:ind w:left="259" w:hanging="173"/>
      </w:pPr>
      <w:r>
        <w:rPr>
          <w:rFonts w:ascii="Arial" w:hAnsi="Arial"/>
          <w:color w:val="17202A"/>
          <w:sz w:val="17"/>
        </w:rPr>
        <w:t>Do not treat the header as a legal authorization document; it records the user-provided scope for execution.</w:t>
      </w:r>
    </w:p>
    <w:p>
      <w:pPr>
        <w:pStyle w:val="ListBullet"/>
        <w:keepNext w:val="0"/>
        <w:spacing w:before="0" w:after="48" w:line="254" w:lineRule="auto"/>
        <w:ind w:left="259" w:hanging="173"/>
      </w:pPr>
      <w:r>
        <w:rPr>
          <w:rFonts w:ascii="Arial" w:hAnsi="Arial"/>
          <w:color w:val="17202A"/>
          <w:sz w:val="17"/>
        </w:rPr>
        <w:t>Ask for clarification when ownership, target, environment, or permitted actions are materially ambiguous.</w:t>
      </w:r>
    </w:p>
    <w:p>
      <w:pPr>
        <w:pStyle w:val="ListBullet"/>
        <w:keepNext w:val="0"/>
        <w:spacing w:before="0" w:after="48" w:line="254" w:lineRule="auto"/>
        <w:ind w:left="259" w:hanging="173"/>
      </w:pPr>
      <w:r>
        <w:rPr>
          <w:rFonts w:ascii="Arial" w:hAnsi="Arial"/>
          <w:color w:val="17202A"/>
          <w:sz w:val="17"/>
        </w:rPr>
        <w:t>Stay inside granted authorization even when a technically adjacent action appears useful.</w:t>
      </w:r>
    </w:p>
    <w:p>
      <w:pPr>
        <w:pStyle w:val="ListBullet"/>
        <w:keepNext w:val="0"/>
        <w:spacing w:before="0" w:after="48" w:line="254" w:lineRule="auto"/>
        <w:ind w:left="259" w:hanging="173"/>
      </w:pPr>
      <w:r>
        <w:rPr>
          <w:rFonts w:ascii="Arial" w:hAnsi="Arial"/>
          <w:color w:val="17202A"/>
          <w:sz w:val="17"/>
        </w:rPr>
        <w:t>Preserve evidence and avoid destructive validation when a safer reproduction is available.</w:t>
      </w:r>
    </w:p>
    <w:p>
      <w:pPr>
        <w:pStyle w:val="ListBullet"/>
        <w:keepNext w:val="0"/>
        <w:spacing w:before="0" w:after="48" w:line="254" w:lineRule="auto"/>
        <w:ind w:left="259" w:hanging="173"/>
      </w:pPr>
      <w:r>
        <w:rPr>
          <w:rFonts w:ascii="Arial" w:hAnsi="Arial"/>
          <w:color w:val="17202A"/>
          <w:sz w:val="17"/>
        </w:rPr>
        <w:t>Trusted Access supports authorized defenders but does not waive usage policies, monitoring, or approved scope.</w:t>
      </w:r>
    </w:p>
    <w:p>
      <w:pPr>
        <w:keepNext w:val="0"/>
        <w:spacing w:before="60" w:after="0" w:line="240" w:lineRule="auto"/>
      </w:pPr>
      <w:r>
        <w:rPr>
          <w:rFonts w:ascii="Arial" w:hAnsi="Arial"/>
          <w:b/>
          <w:color w:val="667085"/>
          <w:sz w:val="14"/>
        </w:rPr>
        <w:t xml:space="preserve">Sources: </w:t>
      </w:r>
      <w:r>
        <w:rPr>
          <w:rFonts w:ascii="Arial" w:hAnsi="Arial"/>
          <w:color w:val="667085"/>
          <w:sz w:val="14"/>
        </w:rPr>
        <w:t>S05, S06</w:t>
      </w:r>
    </w:p>
    <w:p>
      <w:r>
        <w:br w:type="page"/>
      </w:r>
    </w:p>
    <w:p>
      <w:pPr>
        <w:keepNext/>
        <w:spacing w:before="0" w:after="40" w:line="259" w:lineRule="auto"/>
      </w:pPr>
      <w:r>
        <w:rPr>
          <w:rFonts w:ascii="Arial" w:hAnsi="Arial"/>
          <w:b/>
          <w:i w:val="0"/>
          <w:color w:val="1473E6"/>
          <w:sz w:val="14"/>
        </w:rPr>
        <w:t>CYBER CONTROL</w:t>
      </w:r>
    </w:p>
    <w:p>
      <w:pPr>
        <w:keepNext/>
        <w:spacing w:before="0" w:after="80" w:line="240" w:lineRule="auto"/>
      </w:pPr>
      <w:r>
        <w:rPr>
          <w:rFonts w:ascii="Arial" w:hAnsi="Arial"/>
          <w:b/>
          <w:color w:val="1473E6"/>
          <w:sz w:val="31"/>
        </w:rPr>
        <w:t xml:space="preserve">28  </w:t>
      </w:r>
      <w:r>
        <w:rPr>
          <w:rFonts w:ascii="Arial" w:hAnsi="Arial"/>
          <w:b/>
          <w:color w:val="081827"/>
          <w:sz w:val="31"/>
        </w:rPr>
        <w:t>Cyber risk routing and boundaries</w:t>
      </w:r>
    </w:p>
    <w:p>
      <w:pPr>
        <w:keepNext w:val="0"/>
        <w:spacing w:before="0" w:after="100" w:line="240" w:lineRule="auto"/>
        <w:pBdr>
          <w:bottom w:val="single" w:sz="6" w:space="1" w:color="E4E7EC"/>
        </w:pBdr>
      </w:pPr>
    </w:p>
    <w:tbl>
      <w:tblPr>
        <w:tblW w:type="auto" w:w="0"/>
        <w:jc w:val="center"/>
        <w:tblLayout w:type="fixed"/>
        <w:tblLook w:firstColumn="1" w:firstRow="1" w:lastColumn="0" w:lastRow="0" w:noHBand="0" w:noVBand="1" w:val="04A0"/>
      </w:tblPr>
      <w:tblGrid>
        <w:gridCol w:w="2088"/>
        <w:gridCol w:w="3816"/>
        <w:gridCol w:w="3888"/>
      </w:tblGrid>
      <w:tr>
        <w:trPr>
          <w:tblHeader w:val="true"/>
        </w:trPr>
        <w:tc>
          <w:tcPr>
            <w:tcW w:type="dxa" w:w="3389"/>
            <w:shd w:fill="081827"/>
            <w:tcMar>
              <w:top w:w="90" w:type="dxa"/>
              <w:start w:w="90" w:type="dxa"/>
              <w:bottom w:w="90" w:type="dxa"/>
              <w:end w:w="90" w:type="dxa"/>
            </w:tcMar>
            <w:vAlign w:val="center"/>
          </w:tcPr>
          <w:p>
            <w:pPr>
              <w:keepNext w:val="0"/>
              <w:spacing w:before="0" w:after="0" w:line="240" w:lineRule="auto"/>
              <w:jc w:val="center"/>
            </w:pPr>
            <w:r>
              <w:rPr>
                <w:rFonts w:ascii="Arial" w:hAnsi="Arial"/>
                <w:b/>
                <w:color w:val="FFFFFF"/>
                <w:sz w:val="15"/>
              </w:rPr>
              <w:t>Route</w:t>
            </w:r>
          </w:p>
        </w:tc>
        <w:tc>
          <w:tcPr>
            <w:tcW w:type="dxa" w:w="3389"/>
            <w:shd w:fill="081827"/>
            <w:tcMar>
              <w:top w:w="90" w:type="dxa"/>
              <w:start w:w="90" w:type="dxa"/>
              <w:bottom w:w="90" w:type="dxa"/>
              <w:end w:w="90" w:type="dxa"/>
            </w:tcMar>
            <w:vAlign w:val="center"/>
          </w:tcPr>
          <w:p>
            <w:pPr>
              <w:keepNext w:val="0"/>
              <w:spacing w:before="0" w:after="0" w:line="240" w:lineRule="auto"/>
              <w:jc w:val="center"/>
            </w:pPr>
            <w:r>
              <w:rPr>
                <w:rFonts w:ascii="Arial" w:hAnsi="Arial"/>
                <w:b/>
                <w:color w:val="FFFFFF"/>
                <w:sz w:val="15"/>
              </w:rPr>
              <w:t>Examples</w:t>
            </w:r>
          </w:p>
        </w:tc>
        <w:tc>
          <w:tcPr>
            <w:tcW w:type="dxa" w:w="3389"/>
            <w:shd w:fill="081827"/>
            <w:tcMar>
              <w:top w:w="90" w:type="dxa"/>
              <w:start w:w="90" w:type="dxa"/>
              <w:bottom w:w="90" w:type="dxa"/>
              <w:end w:w="90" w:type="dxa"/>
            </w:tcMar>
            <w:vAlign w:val="center"/>
          </w:tcPr>
          <w:p>
            <w:pPr>
              <w:keepNext w:val="0"/>
              <w:spacing w:before="0" w:after="0" w:line="240" w:lineRule="auto"/>
              <w:jc w:val="center"/>
            </w:pPr>
            <w:r>
              <w:rPr>
                <w:rFonts w:ascii="Arial" w:hAnsi="Arial"/>
                <w:b/>
                <w:color w:val="FFFFFF"/>
                <w:sz w:val="15"/>
              </w:rPr>
              <w:t>Prompt treatment</w:t>
            </w:r>
          </w:p>
        </w:tc>
      </w:tr>
      <w:tr>
        <w:tc>
          <w:tcPr>
            <w:tcW w:type="dxa" w:w="2088"/>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color w:val="14833B"/>
                <w:sz w:val="15"/>
              </w:rPr>
              <w:t>GREEN — baseline</w:t>
            </w:r>
          </w:p>
        </w:tc>
        <w:tc>
          <w:tcPr>
            <w:tcW w:type="dxa" w:w="3816"/>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Threat modeling; secure code review; patching; detection; hardening; incident planning</w:t>
            </w:r>
          </w:p>
        </w:tc>
        <w:tc>
          <w:tcPr>
            <w:tcW w:type="dxa" w:w="3888"/>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Proceed with authorization and evidence controls.</w:t>
            </w:r>
          </w:p>
        </w:tc>
      </w:tr>
      <w:tr>
        <w:tc>
          <w:tcPr>
            <w:tcW w:type="dxa" w:w="2088"/>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color w:val="B96800"/>
                <w:sz w:val="15"/>
              </w:rPr>
              <w:t>AMBER — dual use</w:t>
            </w:r>
          </w:p>
        </w:tc>
        <w:tc>
          <w:tcPr>
            <w:tcW w:type="dxa" w:w="3816"/>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Exploit reproduction; malware analysis; credential simulations; chained research; production attack-path testing</w:t>
            </w:r>
          </w:p>
        </w:tc>
        <w:tc>
          <w:tcPr>
            <w:tcW w:type="dxa" w:w="3888"/>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Require explicit authorization, bounded targets, safe environment, stop conditions, and defensive outcome. Constrain detail if needed.</w:t>
            </w:r>
          </w:p>
        </w:tc>
      </w:tr>
      <w:tr>
        <w:tc>
          <w:tcPr>
            <w:tcW w:type="dxa" w:w="2088"/>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color w:val="B42318"/>
                <w:sz w:val="15"/>
              </w:rPr>
              <w:t>RED — excluded</w:t>
            </w:r>
          </w:p>
        </w:tc>
        <w:tc>
          <w:tcPr>
            <w:tcW w:type="dxa" w:w="3816"/>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Unauthorized targeting; credential theft; exfiltration; destructive access; malicious persistence; indiscriminate malware</w:t>
            </w:r>
          </w:p>
        </w:tc>
        <w:tc>
          <w:tcPr>
            <w:tcW w:type="dxa" w:w="3888"/>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Do not provide operational assistance. Redirect to safe defensive, recovery, or reporting guidance.</w:t>
            </w:r>
          </w:p>
        </w:tc>
      </w:tr>
    </w:tbl>
    <w:p>
      <w:pPr>
        <w:spacing w:after="20"/>
      </w:pPr>
    </w:p>
    <w:p>
      <w:pPr>
        <w:keepNext/>
        <w:spacing w:before="100" w:after="60" w:line="240" w:lineRule="auto"/>
      </w:pPr>
      <w:r>
        <w:rPr>
          <w:rFonts w:ascii="Arial" w:hAnsi="Arial"/>
          <w:b/>
          <w:color w:val="081827"/>
          <w:sz w:val="21"/>
        </w:rPr>
        <w:t>Risk-routing questions</w:t>
      </w:r>
    </w:p>
    <w:p>
      <w:pPr>
        <w:keepNext w:val="0"/>
        <w:spacing w:before="0" w:after="60" w:line="254" w:lineRule="auto"/>
        <w:ind w:left="259" w:hanging="259"/>
      </w:pPr>
      <w:r>
        <w:rPr>
          <w:rFonts w:ascii="Arial" w:hAnsi="Arial"/>
          <w:b/>
          <w:color w:val="1473E6"/>
          <w:sz w:val="18"/>
        </w:rPr>
        <w:t xml:space="preserve">1. </w:t>
      </w:r>
      <w:r>
        <w:rPr>
          <w:rFonts w:ascii="Arial" w:hAnsi="Arial"/>
          <w:color w:val="17202A"/>
          <w:sz w:val="18"/>
        </w:rPr>
        <w:t>Is the target owned, operated, or explicitly authorized for testing?</w:t>
      </w:r>
    </w:p>
    <w:p>
      <w:pPr>
        <w:keepNext w:val="0"/>
        <w:spacing w:before="0" w:after="60" w:line="254" w:lineRule="auto"/>
        <w:ind w:left="259" w:hanging="259"/>
      </w:pPr>
      <w:r>
        <w:rPr>
          <w:rFonts w:ascii="Arial" w:hAnsi="Arial"/>
          <w:b/>
          <w:color w:val="1473E6"/>
          <w:sz w:val="18"/>
        </w:rPr>
        <w:t xml:space="preserve">2. </w:t>
      </w:r>
      <w:r>
        <w:rPr>
          <w:rFonts w:ascii="Arial" w:hAnsi="Arial"/>
          <w:color w:val="17202A"/>
          <w:sz w:val="18"/>
        </w:rPr>
        <w:t>Is the objective defensive and bounded, or does it facilitate compromise beyond the stated scope?</w:t>
      </w:r>
    </w:p>
    <w:p>
      <w:pPr>
        <w:keepNext w:val="0"/>
        <w:spacing w:before="0" w:after="60" w:line="254" w:lineRule="auto"/>
        <w:ind w:left="259" w:hanging="259"/>
      </w:pPr>
      <w:r>
        <w:rPr>
          <w:rFonts w:ascii="Arial" w:hAnsi="Arial"/>
          <w:b/>
          <w:color w:val="1473E6"/>
          <w:sz w:val="18"/>
        </w:rPr>
        <w:t xml:space="preserve">3. </w:t>
      </w:r>
      <w:r>
        <w:rPr>
          <w:rFonts w:ascii="Arial" w:hAnsi="Arial"/>
          <w:color w:val="17202A"/>
          <w:sz w:val="18"/>
        </w:rPr>
        <w:t>Can the same defensive result be achieved with a safer lab, code review, simulation, or detection-focused method?</w:t>
      </w:r>
    </w:p>
    <w:p>
      <w:pPr>
        <w:keepNext w:val="0"/>
        <w:spacing w:before="0" w:after="60" w:line="254" w:lineRule="auto"/>
        <w:ind w:left="259" w:hanging="259"/>
      </w:pPr>
      <w:r>
        <w:rPr>
          <w:rFonts w:ascii="Arial" w:hAnsi="Arial"/>
          <w:b/>
          <w:color w:val="1473E6"/>
          <w:sz w:val="18"/>
        </w:rPr>
        <w:t xml:space="preserve">4. </w:t>
      </w:r>
      <w:r>
        <w:rPr>
          <w:rFonts w:ascii="Arial" w:hAnsi="Arial"/>
          <w:color w:val="17202A"/>
          <w:sz w:val="18"/>
        </w:rPr>
        <w:t>Would the requested detail materially increase the ability to harm third parties or evade controls?</w:t>
      </w:r>
    </w:p>
    <w:p>
      <w:pPr>
        <w:keepNext w:val="0"/>
        <w:spacing w:before="0" w:after="60" w:line="254" w:lineRule="auto"/>
        <w:ind w:left="259" w:hanging="259"/>
      </w:pPr>
      <w:r>
        <w:rPr>
          <w:rFonts w:ascii="Arial" w:hAnsi="Arial"/>
          <w:b/>
          <w:color w:val="1473E6"/>
          <w:sz w:val="18"/>
        </w:rPr>
        <w:t xml:space="preserve">5. </w:t>
      </w:r>
      <w:r>
        <w:rPr>
          <w:rFonts w:ascii="Arial" w:hAnsi="Arial"/>
          <w:color w:val="17202A"/>
          <w:sz w:val="18"/>
        </w:rPr>
        <w:t>Are production safety, sensitive data, disclosure, and stop conditions defined?</w:t>
      </w:r>
    </w:p>
    <w:tbl>
      <w:tblPr>
        <w:tblW w:type="auto" w:w="0"/>
        <w:jc w:val="center"/>
        <w:tblLayout w:type="fixed"/>
        <w:tblLook w:firstColumn="1" w:firstRow="1" w:lastColumn="0" w:lastRow="0" w:noHBand="0" w:noVBand="1" w:val="04A0"/>
      </w:tblPr>
      <w:tblGrid>
        <w:gridCol w:w="115"/>
        <w:gridCol w:w="9792"/>
      </w:tblGrid>
      <w:tr>
        <w:tc>
          <w:tcPr>
            <w:tcW w:type="dxa" w:w="5083"/>
            <w:shd w:fill="B96800"/>
            <w:tcMar>
              <w:top w:w="60" w:type="dxa"/>
              <w:start w:w="0" w:type="dxa"/>
              <w:bottom w:w="60" w:type="dxa"/>
              <w:end w:w="0" w:type="dxa"/>
            </w:tcMar>
            <w:vAlign w:val="center"/>
          </w:tcPr>
          <w:p/>
        </w:tc>
        <w:tc>
          <w:tcPr>
            <w:tcW w:type="dxa" w:w="5083"/>
            <w:shd w:fill="FFF4DF"/>
            <w:tcMar>
              <w:top w:w="110" w:type="dxa"/>
              <w:start w:w="150" w:type="dxa"/>
              <w:bottom w:w="110" w:type="dxa"/>
              <w:end w:w="150" w:type="dxa"/>
            </w:tcMar>
          </w:tcPr>
          <w:p>
            <w:pPr>
              <w:keepNext/>
              <w:spacing w:before="0" w:after="40" w:line="240" w:lineRule="auto"/>
            </w:pPr>
            <w:r>
              <w:rPr>
                <w:rFonts w:ascii="Arial" w:hAnsi="Arial"/>
                <w:b/>
                <w:color w:val="B96800"/>
                <w:sz w:val="14"/>
              </w:rPr>
              <w:t>SAFEGUARD INTERACTION</w:t>
            </w:r>
          </w:p>
          <w:p>
            <w:pPr>
              <w:keepNext w:val="0"/>
              <w:spacing w:before="0" w:after="0" w:line="259" w:lineRule="auto"/>
            </w:pPr>
            <w:r>
              <w:rPr>
                <w:rFonts w:ascii="Arial" w:hAnsi="Arial"/>
                <w:color w:val="17202A"/>
                <w:sz w:val="18"/>
              </w:rPr>
              <w:t>Additional automated checks may delay or block some cyber requests. A check does not by itself establish a policy violation. Clarifying legitimate authorization and defensive scope is appropriate; disguising intent or attempting to bypass safeguards is not.</w:t>
            </w:r>
          </w:p>
        </w:tc>
      </w:tr>
    </w:tbl>
    <w:p>
      <w:pPr>
        <w:spacing w:after="20"/>
      </w:pPr>
    </w:p>
    <w:p>
      <w:pPr>
        <w:keepNext w:val="0"/>
        <w:spacing w:before="60" w:after="0" w:line="240" w:lineRule="auto"/>
      </w:pPr>
      <w:r>
        <w:rPr>
          <w:rFonts w:ascii="Arial" w:hAnsi="Arial"/>
          <w:b/>
          <w:color w:val="667085"/>
          <w:sz w:val="14"/>
        </w:rPr>
        <w:t xml:space="preserve">Sources: </w:t>
      </w:r>
      <w:r>
        <w:rPr>
          <w:rFonts w:ascii="Arial" w:hAnsi="Arial"/>
          <w:color w:val="667085"/>
          <w:sz w:val="14"/>
        </w:rPr>
        <w:t>S05, S06, S10, S11</w:t>
      </w:r>
    </w:p>
    <w:p>
      <w:r>
        <w:br w:type="page"/>
      </w:r>
    </w:p>
    <w:p>
      <w:pPr>
        <w:keepNext/>
        <w:spacing w:before="0" w:after="40" w:line="259" w:lineRule="auto"/>
      </w:pPr>
      <w:r>
        <w:rPr>
          <w:rFonts w:ascii="Arial" w:hAnsi="Arial"/>
          <w:b/>
          <w:i w:val="0"/>
          <w:color w:val="1473E6"/>
          <w:sz w:val="14"/>
        </w:rPr>
        <w:t>CYBER CONTROL</w:t>
      </w:r>
    </w:p>
    <w:p>
      <w:pPr>
        <w:keepNext/>
        <w:spacing w:before="0" w:after="80" w:line="240" w:lineRule="auto"/>
      </w:pPr>
      <w:r>
        <w:rPr>
          <w:rFonts w:ascii="Arial" w:hAnsi="Arial"/>
          <w:b/>
          <w:color w:val="1473E6"/>
          <w:sz w:val="31"/>
        </w:rPr>
        <w:t xml:space="preserve">29  </w:t>
      </w:r>
      <w:r>
        <w:rPr>
          <w:rFonts w:ascii="Arial" w:hAnsi="Arial"/>
          <w:b/>
          <w:color w:val="081827"/>
          <w:sz w:val="31"/>
        </w:rPr>
        <w:t>Cyber finding and evidence schema</w:t>
      </w:r>
    </w:p>
    <w:p>
      <w:pPr>
        <w:keepNext w:val="0"/>
        <w:spacing w:before="0" w:after="100" w:line="240" w:lineRule="auto"/>
        <w:pBdr>
          <w:bottom w:val="single" w:sz="6" w:space="1" w:color="E4E7EC"/>
        </w:pBdr>
      </w:pPr>
    </w:p>
    <w:tbl>
      <w:tblPr>
        <w:tblW w:type="auto" w:w="0"/>
        <w:jc w:val="center"/>
        <w:tblLayout w:type="fixed"/>
        <w:tblLook w:firstColumn="1" w:firstRow="1" w:lastColumn="0" w:lastRow="0" w:noHBand="0" w:noVBand="1" w:val="04A0"/>
      </w:tblPr>
      <w:tblGrid>
        <w:gridCol w:w="2520"/>
        <w:gridCol w:w="7272"/>
      </w:tblGrid>
      <w:tr>
        <w:trPr>
          <w:tblHeader w:val="true"/>
        </w:trPr>
        <w:tc>
          <w:tcPr>
            <w:tcW w:type="dxa" w:w="5083"/>
            <w:shd w:fill="081827"/>
            <w:tcMar>
              <w:top w:w="90" w:type="dxa"/>
              <w:start w:w="90" w:type="dxa"/>
              <w:bottom w:w="90" w:type="dxa"/>
              <w:end w:w="90" w:type="dxa"/>
            </w:tcMar>
            <w:vAlign w:val="center"/>
          </w:tcPr>
          <w:p>
            <w:pPr>
              <w:keepNext w:val="0"/>
              <w:spacing w:before="0" w:after="0" w:line="240" w:lineRule="auto"/>
              <w:jc w:val="center"/>
            </w:pPr>
            <w:r>
              <w:rPr>
                <w:rFonts w:ascii="Arial" w:hAnsi="Arial"/>
                <w:b/>
                <w:color w:val="FFFFFF"/>
                <w:sz w:val="15"/>
              </w:rPr>
              <w:t>Field</w:t>
            </w:r>
          </w:p>
        </w:tc>
        <w:tc>
          <w:tcPr>
            <w:tcW w:type="dxa" w:w="5083"/>
            <w:shd w:fill="081827"/>
            <w:tcMar>
              <w:top w:w="90" w:type="dxa"/>
              <w:start w:w="90" w:type="dxa"/>
              <w:bottom w:w="90" w:type="dxa"/>
              <w:end w:w="90" w:type="dxa"/>
            </w:tcMar>
            <w:vAlign w:val="center"/>
          </w:tcPr>
          <w:p>
            <w:pPr>
              <w:keepNext w:val="0"/>
              <w:spacing w:before="0" w:after="0" w:line="240" w:lineRule="auto"/>
              <w:jc w:val="center"/>
            </w:pPr>
            <w:r>
              <w:rPr>
                <w:rFonts w:ascii="Arial" w:hAnsi="Arial"/>
                <w:b/>
                <w:color w:val="FFFFFF"/>
                <w:sz w:val="15"/>
              </w:rPr>
              <w:t>Required content</w:t>
            </w:r>
          </w:p>
        </w:tc>
      </w:tr>
      <w:tr>
        <w:tc>
          <w:tcPr>
            <w:tcW w:type="dxa" w:w="2520"/>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Finding ID and title</w:t>
            </w:r>
          </w:p>
        </w:tc>
        <w:tc>
          <w:tcPr>
            <w:tcW w:type="dxa" w:w="7272"/>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Stable identifier and precise defect statement.</w:t>
            </w:r>
          </w:p>
        </w:tc>
      </w:tr>
      <w:tr>
        <w:tc>
          <w:tcPr>
            <w:tcW w:type="dxa" w:w="2520"/>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Authorization / asset</w:t>
            </w:r>
          </w:p>
        </w:tc>
        <w:tc>
          <w:tcPr>
            <w:tcW w:type="dxa" w:w="7272"/>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Authorized target, environment, and affected component.</w:t>
            </w:r>
          </w:p>
        </w:tc>
      </w:tr>
      <w:tr>
        <w:tc>
          <w:tcPr>
            <w:tcW w:type="dxa" w:w="2520"/>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Severity and priority</w:t>
            </w:r>
          </w:p>
        </w:tc>
        <w:tc>
          <w:tcPr>
            <w:tcW w:type="dxa" w:w="7272"/>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Defined method; business context; avoid severity inflation.</w:t>
            </w:r>
          </w:p>
        </w:tc>
      </w:tr>
      <w:tr>
        <w:tc>
          <w:tcPr>
            <w:tcW w:type="dxa" w:w="2520"/>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Evidence</w:t>
            </w:r>
          </w:p>
        </w:tc>
        <w:tc>
          <w:tcPr>
            <w:tcW w:type="dxa" w:w="7272"/>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File/line, request/response, log, configuration, trace, or reproducible observation.</w:t>
            </w:r>
          </w:p>
        </w:tc>
      </w:tr>
      <w:tr>
        <w:tc>
          <w:tcPr>
            <w:tcW w:type="dxa" w:w="2520"/>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Preconditions / reachability</w:t>
            </w:r>
          </w:p>
        </w:tc>
        <w:tc>
          <w:tcPr>
            <w:tcW w:type="dxa" w:w="7272"/>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What must be true for the issue to be reachable or exploitable.</w:t>
            </w:r>
          </w:p>
        </w:tc>
      </w:tr>
      <w:tr>
        <w:tc>
          <w:tcPr>
            <w:tcW w:type="dxa" w:w="2520"/>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Impact</w:t>
            </w:r>
          </w:p>
        </w:tc>
        <w:tc>
          <w:tcPr>
            <w:tcW w:type="dxa" w:w="7272"/>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Confidentiality, integrity, availability, safety, compliance, or business effect.</w:t>
            </w:r>
          </w:p>
        </w:tc>
      </w:tr>
      <w:tr>
        <w:tc>
          <w:tcPr>
            <w:tcW w:type="dxa" w:w="2520"/>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Likelihood / confidence</w:t>
            </w:r>
          </w:p>
        </w:tc>
        <w:tc>
          <w:tcPr>
            <w:tcW w:type="dxa" w:w="7272"/>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Separate likelihood from confidence; explain uncertainty.</w:t>
            </w:r>
          </w:p>
        </w:tc>
      </w:tr>
      <w:tr>
        <w:tc>
          <w:tcPr>
            <w:tcW w:type="dxa" w:w="2520"/>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False-positive analysis</w:t>
            </w:r>
          </w:p>
        </w:tc>
        <w:tc>
          <w:tcPr>
            <w:tcW w:type="dxa" w:w="7272"/>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Alternative explanations and checks performed.</w:t>
            </w:r>
          </w:p>
        </w:tc>
      </w:tr>
      <w:tr>
        <w:tc>
          <w:tcPr>
            <w:tcW w:type="dxa" w:w="2520"/>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Remediation</w:t>
            </w:r>
          </w:p>
        </w:tc>
        <w:tc>
          <w:tcPr>
            <w:tcW w:type="dxa" w:w="7272"/>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Specific code, configuration, control, or process change.</w:t>
            </w:r>
          </w:p>
        </w:tc>
      </w:tr>
      <w:tr>
        <w:tc>
          <w:tcPr>
            <w:tcW w:type="dxa" w:w="2520"/>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Regression validation</w:t>
            </w:r>
          </w:p>
        </w:tc>
        <w:tc>
          <w:tcPr>
            <w:tcW w:type="dxa" w:w="7272"/>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Test case, expected result, negative test, monitoring.</w:t>
            </w:r>
          </w:p>
        </w:tc>
      </w:tr>
      <w:tr>
        <w:tc>
          <w:tcPr>
            <w:tcW w:type="dxa" w:w="2520"/>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Residual risk</w:t>
            </w:r>
          </w:p>
        </w:tc>
        <w:tc>
          <w:tcPr>
            <w:tcW w:type="dxa" w:w="7272"/>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What remains after remediation and who accepts it.</w:t>
            </w:r>
          </w:p>
        </w:tc>
      </w:tr>
      <w:tr>
        <w:tc>
          <w:tcPr>
            <w:tcW w:type="dxa" w:w="2520"/>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Disclosure / handling</w:t>
            </w:r>
          </w:p>
        </w:tc>
        <w:tc>
          <w:tcPr>
            <w:tcW w:type="dxa" w:w="7272"/>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Sensitivity, owner, communication, and approval requirements.</w:t>
            </w:r>
          </w:p>
        </w:tc>
      </w:tr>
    </w:tbl>
    <w:p>
      <w:pPr>
        <w:spacing w:after="20"/>
      </w:pPr>
    </w:p>
    <w:p>
      <w:pPr>
        <w:keepNext/>
        <w:spacing w:before="100" w:after="60" w:line="240" w:lineRule="auto"/>
      </w:pPr>
      <w:r>
        <w:rPr>
          <w:rFonts w:ascii="Arial" w:hAnsi="Arial"/>
          <w:b/>
          <w:color w:val="081827"/>
          <w:sz w:val="21"/>
        </w:rPr>
        <w:t>Secure-code-review output fragment</w:t>
      </w:r>
    </w:p>
    <w:tbl>
      <w:tblPr>
        <w:tblW w:type="auto" w:w="0"/>
        <w:jc w:val="center"/>
        <w:tblLayout w:type="fixed"/>
        <w:tblLook w:firstColumn="1" w:firstRow="1" w:lastColumn="0" w:lastRow="0" w:noHBand="0" w:noVBand="1" w:val="04A0"/>
      </w:tblPr>
      <w:tblGrid>
        <w:gridCol w:w="9720"/>
      </w:tblGrid>
      <w:tr>
        <w:tc>
          <w:tcPr>
            <w:tcW w:type="dxa" w:w="10166"/>
            <w:shd w:fill="F5F7FA"/>
            <w:tcMar>
              <w:top w:w="120" w:type="dxa"/>
              <w:start w:w="150" w:type="dxa"/>
              <w:bottom w:w="120" w:type="dxa"/>
              <w:end w:w="150" w:type="dxa"/>
            </w:tcMar>
            <w:tcBorders>
              <w:top w:val="single" w:sz="6" w:color="D0D5DD"/>
              <w:start w:val="single" w:sz="6" w:color="D0D5DD"/>
              <w:bottom w:val="single" w:sz="6" w:color="D0D5DD"/>
              <w:end w:val="single" w:sz="6" w:color="D0D5DD"/>
            </w:tcBorders>
          </w:tcPr>
          <w:p>
            <w:pPr>
              <w:keepNext w:val="0"/>
              <w:spacing w:before="0" w:after="0" w:line="252" w:lineRule="auto"/>
            </w:pPr>
            <w:r>
              <w:rPr>
                <w:rFonts w:ascii="DejaVu Sans Mono" w:hAnsi="DejaVu Sans Mono"/>
                <w:color w:val="17202A"/>
                <w:sz w:val="16"/>
              </w:rPr>
              <w:t>For each finding return:</w:t>
            </w:r>
            <w:r>
              <w:br/>
            </w:r>
            <w:r>
              <w:rPr>
                <w:rFonts w:ascii="DejaVu Sans Mono" w:hAnsi="DejaVu Sans Mono"/>
                <w:color w:val="17202A"/>
                <w:sz w:val="16"/>
              </w:rPr>
              <w:t>ID | severity | CWE/control mapping if useful | file:line | evidence | reachability | impact | likelihood | confidence | false-positive checks | recommended patch | regression test | residual risk</w:t>
            </w:r>
            <w:r>
              <w:br/>
            </w:r>
            <w:r>
              <w:rPr>
                <w:rFonts w:ascii="DejaVu Sans Mono" w:hAnsi="DejaVu Sans Mono"/>
                <w:color w:val="17202A"/>
                <w:sz w:val="16"/>
              </w:rPr>
            </w:r>
            <w:r>
              <w:br/>
            </w:r>
            <w:r>
              <w:rPr>
                <w:rFonts w:ascii="DejaVu Sans Mono" w:hAnsi="DejaVu Sans Mono"/>
                <w:color w:val="17202A"/>
                <w:sz w:val="16"/>
              </w:rPr>
              <w:t>Do not report a vulnerability solely from a pattern match. Trace relevant data/control flow and state what was or was not reproduced.</w:t>
            </w:r>
          </w:p>
        </w:tc>
      </w:tr>
    </w:tbl>
    <w:p>
      <w:pPr>
        <w:spacing w:after="20"/>
      </w:pPr>
    </w:p>
    <w:p>
      <w:r>
        <w:br w:type="page"/>
      </w:r>
    </w:p>
    <w:p>
      <w:pPr>
        <w:keepNext/>
        <w:spacing w:before="0" w:after="40" w:line="259" w:lineRule="auto"/>
      </w:pPr>
      <w:r>
        <w:rPr>
          <w:rFonts w:ascii="Arial" w:hAnsi="Arial"/>
          <w:b/>
          <w:i w:val="0"/>
          <w:color w:val="1473E6"/>
          <w:sz w:val="14"/>
        </w:rPr>
        <w:t>CYBER CONTROL</w:t>
      </w:r>
    </w:p>
    <w:p>
      <w:pPr>
        <w:keepNext/>
        <w:spacing w:before="0" w:after="80" w:line="240" w:lineRule="auto"/>
      </w:pPr>
      <w:r>
        <w:rPr>
          <w:rFonts w:ascii="Arial" w:hAnsi="Arial"/>
          <w:b/>
          <w:color w:val="1473E6"/>
          <w:sz w:val="31"/>
        </w:rPr>
        <w:t xml:space="preserve">30  </w:t>
      </w:r>
      <w:r>
        <w:rPr>
          <w:rFonts w:ascii="Arial" w:hAnsi="Arial"/>
          <w:b/>
          <w:color w:val="081827"/>
          <w:sz w:val="31"/>
        </w:rPr>
        <w:t>Cyber validation and remediation gate</w:t>
      </w:r>
    </w:p>
    <w:p>
      <w:pPr>
        <w:keepNext w:val="0"/>
        <w:spacing w:before="0" w:after="100" w:line="240" w:lineRule="auto"/>
        <w:pBdr>
          <w:bottom w:val="single" w:sz="6" w:space="1" w:color="E4E7EC"/>
        </w:pBdr>
      </w:pPr>
    </w:p>
    <w:tbl>
      <w:tblPr>
        <w:tblW w:type="auto" w:w="0"/>
        <w:jc w:val="center"/>
        <w:tblLayout w:type="fixed"/>
        <w:tblLook w:firstColumn="1" w:firstRow="1" w:lastColumn="0" w:lastRow="0" w:noHBand="0" w:noVBand="1" w:val="04A0"/>
      </w:tblPr>
      <w:tblGrid>
        <w:gridCol w:w="2232"/>
        <w:gridCol w:w="7560"/>
      </w:tblGrid>
      <w:tr>
        <w:trPr>
          <w:tblHeader w:val="true"/>
        </w:trPr>
        <w:tc>
          <w:tcPr>
            <w:tcW w:type="dxa" w:w="5083"/>
            <w:shd w:fill="081827"/>
            <w:tcMar>
              <w:top w:w="90" w:type="dxa"/>
              <w:start w:w="90" w:type="dxa"/>
              <w:bottom w:w="90" w:type="dxa"/>
              <w:end w:w="90" w:type="dxa"/>
            </w:tcMar>
            <w:vAlign w:val="center"/>
          </w:tcPr>
          <w:p>
            <w:pPr>
              <w:keepNext w:val="0"/>
              <w:spacing w:before="0" w:after="0" w:line="240" w:lineRule="auto"/>
              <w:jc w:val="center"/>
            </w:pPr>
            <w:r>
              <w:rPr>
                <w:rFonts w:ascii="Arial" w:hAnsi="Arial"/>
                <w:b/>
                <w:color w:val="FFFFFF"/>
                <w:sz w:val="15"/>
              </w:rPr>
              <w:t>Gate</w:t>
            </w:r>
          </w:p>
        </w:tc>
        <w:tc>
          <w:tcPr>
            <w:tcW w:type="dxa" w:w="5083"/>
            <w:shd w:fill="081827"/>
            <w:tcMar>
              <w:top w:w="90" w:type="dxa"/>
              <w:start w:w="90" w:type="dxa"/>
              <w:bottom w:w="90" w:type="dxa"/>
              <w:end w:w="90" w:type="dxa"/>
            </w:tcMar>
            <w:vAlign w:val="center"/>
          </w:tcPr>
          <w:p>
            <w:pPr>
              <w:keepNext w:val="0"/>
              <w:spacing w:before="0" w:after="0" w:line="240" w:lineRule="auto"/>
              <w:jc w:val="center"/>
            </w:pPr>
            <w:r>
              <w:rPr>
                <w:rFonts w:ascii="Arial" w:hAnsi="Arial"/>
                <w:b/>
                <w:color w:val="FFFFFF"/>
                <w:sz w:val="15"/>
              </w:rPr>
              <w:t>Mandatory evidence</w:t>
            </w:r>
          </w:p>
        </w:tc>
      </w:tr>
      <w:tr>
        <w:tc>
          <w:tcPr>
            <w:tcW w:type="dxa" w:w="2232"/>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6"/>
              </w:rPr>
              <w:t>Authorization</w:t>
            </w:r>
          </w:p>
        </w:tc>
        <w:tc>
          <w:tcPr>
            <w:tcW w:type="dxa" w:w="7560"/>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6"/>
              </w:rPr>
              <w:t>Named owner/authority, target, environment, permitted and prohibited actions.</w:t>
            </w:r>
          </w:p>
        </w:tc>
      </w:tr>
      <w:tr>
        <w:tc>
          <w:tcPr>
            <w:tcW w:type="dxa" w:w="2232"/>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6"/>
              </w:rPr>
              <w:t>Reproduction</w:t>
            </w:r>
          </w:p>
        </w:tc>
        <w:tc>
          <w:tcPr>
            <w:tcW w:type="dxa" w:w="7560"/>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6"/>
              </w:rPr>
              <w:t>Safe reproduction or sufficient code/configuration proof; no uncontrolled production testing.</w:t>
            </w:r>
          </w:p>
        </w:tc>
      </w:tr>
      <w:tr>
        <w:tc>
          <w:tcPr>
            <w:tcW w:type="dxa" w:w="2232"/>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6"/>
              </w:rPr>
              <w:t>Root cause</w:t>
            </w:r>
          </w:p>
        </w:tc>
        <w:tc>
          <w:tcPr>
            <w:tcW w:type="dxa" w:w="7560"/>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6"/>
              </w:rPr>
              <w:t>Specific vulnerable logic, trust failure, configuration, or control gap.</w:t>
            </w:r>
          </w:p>
        </w:tc>
      </w:tr>
      <w:tr>
        <w:tc>
          <w:tcPr>
            <w:tcW w:type="dxa" w:w="2232"/>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6"/>
              </w:rPr>
              <w:t>Impact validation</w:t>
            </w:r>
          </w:p>
        </w:tc>
        <w:tc>
          <w:tcPr>
            <w:tcW w:type="dxa" w:w="7560"/>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6"/>
              </w:rPr>
              <w:t>Reachability and realistic impact; not only theoretical severity.</w:t>
            </w:r>
          </w:p>
        </w:tc>
      </w:tr>
      <w:tr>
        <w:tc>
          <w:tcPr>
            <w:tcW w:type="dxa" w:w="2232"/>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6"/>
              </w:rPr>
              <w:t>Remediation</w:t>
            </w:r>
          </w:p>
        </w:tc>
        <w:tc>
          <w:tcPr>
            <w:tcW w:type="dxa" w:w="7560"/>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6"/>
              </w:rPr>
              <w:t>Patch or control mapped to root cause, with side effects considered.</w:t>
            </w:r>
          </w:p>
        </w:tc>
      </w:tr>
      <w:tr>
        <w:tc>
          <w:tcPr>
            <w:tcW w:type="dxa" w:w="2232"/>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6"/>
              </w:rPr>
              <w:t>Regression</w:t>
            </w:r>
          </w:p>
        </w:tc>
        <w:tc>
          <w:tcPr>
            <w:tcW w:type="dxa" w:w="7560"/>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6"/>
              </w:rPr>
              <w:t>Positive and negative tests; affected variants; monitoring or detection where relevant.</w:t>
            </w:r>
          </w:p>
        </w:tc>
      </w:tr>
      <w:tr>
        <w:tc>
          <w:tcPr>
            <w:tcW w:type="dxa" w:w="2232"/>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6"/>
              </w:rPr>
              <w:t>Deployment safety</w:t>
            </w:r>
          </w:p>
        </w:tc>
        <w:tc>
          <w:tcPr>
            <w:tcW w:type="dxa" w:w="7560"/>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6"/>
              </w:rPr>
              <w:t>Sequence, backup, rollback, maintenance impact, and approvals.</w:t>
            </w:r>
          </w:p>
        </w:tc>
      </w:tr>
      <w:tr>
        <w:tc>
          <w:tcPr>
            <w:tcW w:type="dxa" w:w="2232"/>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6"/>
              </w:rPr>
              <w:t>Residual risk</w:t>
            </w:r>
          </w:p>
        </w:tc>
        <w:tc>
          <w:tcPr>
            <w:tcW w:type="dxa" w:w="7560"/>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6"/>
              </w:rPr>
              <w:t>Unresolved paths, compensating controls, owner, and acceptance status.</w:t>
            </w:r>
          </w:p>
        </w:tc>
      </w:tr>
    </w:tbl>
    <w:p>
      <w:pPr>
        <w:spacing w:after="20"/>
      </w:pPr>
    </w:p>
    <w:p>
      <w:pPr>
        <w:keepNext/>
        <w:spacing w:before="100" w:after="60" w:line="240" w:lineRule="auto"/>
      </w:pPr>
      <w:r>
        <w:rPr>
          <w:rFonts w:ascii="Arial" w:hAnsi="Arial"/>
          <w:b/>
          <w:color w:val="081827"/>
          <w:sz w:val="21"/>
        </w:rPr>
        <w:t>Remediation completion clause</w:t>
      </w:r>
    </w:p>
    <w:tbl>
      <w:tblPr>
        <w:tblW w:type="auto" w:w="0"/>
        <w:jc w:val="center"/>
        <w:tblLayout w:type="fixed"/>
        <w:tblLook w:firstColumn="1" w:firstRow="1" w:lastColumn="0" w:lastRow="0" w:noHBand="0" w:noVBand="1" w:val="04A0"/>
      </w:tblPr>
      <w:tblGrid>
        <w:gridCol w:w="9720"/>
      </w:tblGrid>
      <w:tr>
        <w:tc>
          <w:tcPr>
            <w:tcW w:type="dxa" w:w="10166"/>
            <w:shd w:fill="F5F7FA"/>
            <w:tcMar>
              <w:top w:w="120" w:type="dxa"/>
              <w:start w:w="150" w:type="dxa"/>
              <w:bottom w:w="120" w:type="dxa"/>
              <w:end w:w="150" w:type="dxa"/>
            </w:tcMar>
            <w:tcBorders>
              <w:top w:val="single" w:sz="6" w:color="D0D5DD"/>
              <w:start w:val="single" w:sz="6" w:color="D0D5DD"/>
              <w:bottom w:val="single" w:sz="6" w:color="D0D5DD"/>
              <w:end w:val="single" w:sz="6" w:color="D0D5DD"/>
            </w:tcBorders>
          </w:tcPr>
          <w:p>
            <w:pPr>
              <w:keepNext w:val="0"/>
              <w:spacing w:before="0" w:after="0" w:line="252" w:lineRule="auto"/>
            </w:pPr>
            <w:r>
              <w:rPr>
                <w:rFonts w:ascii="DejaVu Sans Mono" w:hAnsi="DejaVu Sans Mono"/>
                <w:color w:val="17202A"/>
                <w:sz w:val="16"/>
              </w:rPr>
              <w:t>Do not mark the finding remediated because code was changed. Mark it remediated only when the root cause is addressed, the intended security property is tested, relevant regressions are checked, deployment/rollback is defined, and residual risk is recorded. If a required validation cannot be run, status is CONDITIONAL PASS or REWORK—not PASS.</w:t>
            </w:r>
          </w:p>
        </w:tc>
      </w:tr>
    </w:tbl>
    <w:p>
      <w:pPr>
        <w:spacing w:after="20"/>
      </w:pPr>
    </w:p>
    <w:tbl>
      <w:tblPr>
        <w:tblW w:type="auto" w:w="0"/>
        <w:jc w:val="center"/>
        <w:tblLayout w:type="fixed"/>
        <w:tblLook w:firstColumn="1" w:firstRow="1" w:lastColumn="0" w:lastRow="0" w:noHBand="0" w:noVBand="1" w:val="04A0"/>
      </w:tblPr>
      <w:tblGrid>
        <w:gridCol w:w="115"/>
        <w:gridCol w:w="9792"/>
      </w:tblGrid>
      <w:tr>
        <w:tc>
          <w:tcPr>
            <w:tcW w:type="dxa" w:w="5083"/>
            <w:shd w:fill="14833B"/>
            <w:tcMar>
              <w:top w:w="60" w:type="dxa"/>
              <w:start w:w="0" w:type="dxa"/>
              <w:bottom w:w="60" w:type="dxa"/>
              <w:end w:w="0" w:type="dxa"/>
            </w:tcMar>
            <w:vAlign w:val="center"/>
          </w:tcPr>
          <w:p/>
        </w:tc>
        <w:tc>
          <w:tcPr>
            <w:tcW w:type="dxa" w:w="5083"/>
            <w:shd w:fill="EAF8EF"/>
            <w:tcMar>
              <w:top w:w="110" w:type="dxa"/>
              <w:start w:w="150" w:type="dxa"/>
              <w:bottom w:w="110" w:type="dxa"/>
              <w:end w:w="150" w:type="dxa"/>
            </w:tcMar>
          </w:tcPr>
          <w:p>
            <w:pPr>
              <w:keepNext/>
              <w:spacing w:before="0" w:after="40" w:line="240" w:lineRule="auto"/>
            </w:pPr>
            <w:r>
              <w:rPr>
                <w:rFonts w:ascii="Arial" w:hAnsi="Arial"/>
                <w:b/>
                <w:color w:val="14833B"/>
                <w:sz w:val="14"/>
              </w:rPr>
              <w:t>DEFENDER ADVANTAGE</w:t>
            </w:r>
          </w:p>
          <w:p>
            <w:pPr>
              <w:keepNext w:val="0"/>
              <w:spacing w:before="0" w:after="0" w:line="259" w:lineRule="auto"/>
            </w:pPr>
            <w:r>
              <w:rPr>
                <w:rFonts w:ascii="Arial" w:hAnsi="Arial"/>
                <w:color w:val="17202A"/>
                <w:sz w:val="18"/>
              </w:rPr>
              <w:t>OpenAI reports that GPT-5.6 is presently stronger at finding and fixing vulnerabilities than at reliably executing autonomous end-to-end attacks against hardened targets. The guide therefore concentrates advanced capability on evidence-based remediation and defensive operations.</w:t>
            </w:r>
          </w:p>
        </w:tc>
      </w:tr>
    </w:tbl>
    <w:p>
      <w:pPr>
        <w:spacing w:after="20"/>
      </w:pPr>
    </w:p>
    <w:p>
      <w:pPr>
        <w:keepNext w:val="0"/>
        <w:spacing w:before="60" w:after="0" w:line="240" w:lineRule="auto"/>
      </w:pPr>
      <w:r>
        <w:rPr>
          <w:rFonts w:ascii="Arial" w:hAnsi="Arial"/>
          <w:b/>
          <w:color w:val="667085"/>
          <w:sz w:val="14"/>
        </w:rPr>
        <w:t xml:space="preserve">Sources: </w:t>
      </w:r>
      <w:r>
        <w:rPr>
          <w:rFonts w:ascii="Arial" w:hAnsi="Arial"/>
          <w:color w:val="667085"/>
          <w:sz w:val="14"/>
        </w:rPr>
        <w:t>S05</w:t>
      </w:r>
    </w:p>
    <w:p>
      <w:r>
        <w:br w:type="page"/>
      </w:r>
    </w:p>
    <w:p>
      <w:pPr>
        <w:keepNext/>
        <w:spacing w:before="0" w:after="40" w:line="259" w:lineRule="auto"/>
      </w:pPr>
      <w:r>
        <w:rPr>
          <w:rFonts w:ascii="Arial" w:hAnsi="Arial"/>
          <w:b/>
          <w:i w:val="0"/>
          <w:color w:val="1473E6"/>
          <w:sz w:val="14"/>
        </w:rPr>
        <w:t>PUBLISHING CONTROL</w:t>
      </w:r>
    </w:p>
    <w:p>
      <w:pPr>
        <w:keepNext/>
        <w:spacing w:before="0" w:after="80" w:line="240" w:lineRule="auto"/>
      </w:pPr>
      <w:r>
        <w:rPr>
          <w:rFonts w:ascii="Arial" w:hAnsi="Arial"/>
          <w:b/>
          <w:color w:val="1473E6"/>
          <w:sz w:val="31"/>
        </w:rPr>
        <w:t xml:space="preserve">31  </w:t>
      </w:r>
      <w:r>
        <w:rPr>
          <w:rFonts w:ascii="Arial" w:hAnsi="Arial"/>
          <w:b/>
          <w:color w:val="081827"/>
          <w:sz w:val="31"/>
        </w:rPr>
        <w:t>Prompt anti-patterns and corrections</w:t>
      </w:r>
    </w:p>
    <w:p>
      <w:pPr>
        <w:keepNext w:val="0"/>
        <w:spacing w:before="0" w:after="100" w:line="240" w:lineRule="auto"/>
        <w:pBdr>
          <w:bottom w:val="single" w:sz="6" w:space="1" w:color="E4E7EC"/>
        </w:pBdr>
      </w:pPr>
    </w:p>
    <w:tbl>
      <w:tblPr>
        <w:tblW w:type="auto" w:w="0"/>
        <w:jc w:val="center"/>
        <w:tblLayout w:type="fixed"/>
        <w:tblLook w:firstColumn="1" w:firstRow="1" w:lastColumn="0" w:lastRow="0" w:noHBand="0" w:noVBand="1" w:val="04A0"/>
      </w:tblPr>
      <w:tblGrid>
        <w:gridCol w:w="2088"/>
        <w:gridCol w:w="3528"/>
        <w:gridCol w:w="4176"/>
      </w:tblGrid>
      <w:tr>
        <w:trPr>
          <w:tblHeader w:val="true"/>
        </w:trPr>
        <w:tc>
          <w:tcPr>
            <w:tcW w:type="dxa" w:w="3389"/>
            <w:shd w:fill="081827"/>
            <w:tcMar>
              <w:top w:w="90" w:type="dxa"/>
              <w:start w:w="90" w:type="dxa"/>
              <w:bottom w:w="90" w:type="dxa"/>
              <w:end w:w="90" w:type="dxa"/>
            </w:tcMar>
            <w:vAlign w:val="center"/>
          </w:tcPr>
          <w:p>
            <w:pPr>
              <w:keepNext w:val="0"/>
              <w:spacing w:before="0" w:after="0" w:line="240" w:lineRule="auto"/>
              <w:jc w:val="center"/>
            </w:pPr>
            <w:r>
              <w:rPr>
                <w:rFonts w:ascii="Arial" w:hAnsi="Arial"/>
                <w:b/>
                <w:color w:val="FFFFFF"/>
                <w:sz w:val="15"/>
              </w:rPr>
              <w:t>Anti-pattern</w:t>
            </w:r>
          </w:p>
        </w:tc>
        <w:tc>
          <w:tcPr>
            <w:tcW w:type="dxa" w:w="3389"/>
            <w:shd w:fill="081827"/>
            <w:tcMar>
              <w:top w:w="90" w:type="dxa"/>
              <w:start w:w="90" w:type="dxa"/>
              <w:bottom w:w="90" w:type="dxa"/>
              <w:end w:w="90" w:type="dxa"/>
            </w:tcMar>
            <w:vAlign w:val="center"/>
          </w:tcPr>
          <w:p>
            <w:pPr>
              <w:keepNext w:val="0"/>
              <w:spacing w:before="0" w:after="0" w:line="240" w:lineRule="auto"/>
              <w:jc w:val="center"/>
            </w:pPr>
            <w:r>
              <w:rPr>
                <w:rFonts w:ascii="Arial" w:hAnsi="Arial"/>
                <w:b/>
                <w:color w:val="FFFFFF"/>
                <w:sz w:val="15"/>
              </w:rPr>
              <w:t>Why it fails</w:t>
            </w:r>
          </w:p>
        </w:tc>
        <w:tc>
          <w:tcPr>
            <w:tcW w:type="dxa" w:w="3389"/>
            <w:shd w:fill="081827"/>
            <w:tcMar>
              <w:top w:w="90" w:type="dxa"/>
              <w:start w:w="90" w:type="dxa"/>
              <w:bottom w:w="90" w:type="dxa"/>
              <w:end w:w="90" w:type="dxa"/>
            </w:tcMar>
            <w:vAlign w:val="center"/>
          </w:tcPr>
          <w:p>
            <w:pPr>
              <w:keepNext w:val="0"/>
              <w:spacing w:before="0" w:after="0" w:line="240" w:lineRule="auto"/>
              <w:jc w:val="center"/>
            </w:pPr>
            <w:r>
              <w:rPr>
                <w:rFonts w:ascii="Arial" w:hAnsi="Arial"/>
                <w:b/>
                <w:color w:val="FFFFFF"/>
                <w:sz w:val="15"/>
              </w:rPr>
              <w:t>Correction</w:t>
            </w:r>
          </w:p>
        </w:tc>
      </w:tr>
      <w:tr>
        <w:tc>
          <w:tcPr>
            <w:tcW w:type="dxa" w:w="2088"/>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4"/>
              </w:rPr>
              <w:t>Title stacking</w:t>
            </w:r>
          </w:p>
        </w:tc>
        <w:tc>
          <w:tcPr>
            <w:tcW w:type="dxa" w:w="3528"/>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4"/>
              </w:rPr>
              <w:t>Creates competing personas without decision rights.</w:t>
            </w:r>
          </w:p>
        </w:tc>
        <w:tc>
          <w:tcPr>
            <w:tcW w:type="dxa" w:w="4176"/>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4"/>
              </w:rPr>
              <w:t>One accountable role plus specialist lenses and priority order.</w:t>
            </w:r>
          </w:p>
        </w:tc>
      </w:tr>
      <w:tr>
        <w:tc>
          <w:tcPr>
            <w:tcW w:type="dxa" w:w="2088"/>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4"/>
              </w:rPr>
              <w:t>“Think step by step” as a quality strategy</w:t>
            </w:r>
          </w:p>
        </w:tc>
        <w:tc>
          <w:tcPr>
            <w:tcW w:type="dxa" w:w="3528"/>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4"/>
              </w:rPr>
              <w:t>Does not replace configuration, evidence, or validation.</w:t>
            </w:r>
          </w:p>
        </w:tc>
        <w:tc>
          <w:tcPr>
            <w:tcW w:type="dxa" w:w="4176"/>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4"/>
              </w:rPr>
              <w:t>Select reasoning in the product/API; request conclusions, evidence, tests, and risks.</w:t>
            </w:r>
          </w:p>
        </w:tc>
      </w:tr>
      <w:tr>
        <w:tc>
          <w:tcPr>
            <w:tcW w:type="dxa" w:w="2088"/>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4"/>
              </w:rPr>
              <w:t>Maximum effort by default</w:t>
            </w:r>
          </w:p>
        </w:tc>
        <w:tc>
          <w:tcPr>
            <w:tcW w:type="dxa" w:w="3528"/>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4"/>
              </w:rPr>
              <w:t>Can waste latency/tokens without measured gain.</w:t>
            </w:r>
          </w:p>
        </w:tc>
        <w:tc>
          <w:tcPr>
            <w:tcW w:type="dxa" w:w="4176"/>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4"/>
              </w:rPr>
              <w:t>Benchmark the same setting and one lower; compare xhigh/max and standard/pro.</w:t>
            </w:r>
          </w:p>
        </w:tc>
      </w:tr>
      <w:tr>
        <w:tc>
          <w:tcPr>
            <w:tcW w:type="dxa" w:w="2088"/>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4"/>
              </w:rPr>
              <w:t>“Use all tools”</w:t>
            </w:r>
          </w:p>
        </w:tc>
        <w:tc>
          <w:tcPr>
            <w:tcW w:type="dxa" w:w="3528"/>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4"/>
              </w:rPr>
              <w:t>Expands scope and increases irrelevant work.</w:t>
            </w:r>
          </w:p>
        </w:tc>
        <w:tc>
          <w:tcPr>
            <w:tcW w:type="dxa" w:w="4176"/>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4"/>
              </w:rPr>
              <w:t>Authorize the minimum capability set required.</w:t>
            </w:r>
          </w:p>
        </w:tc>
      </w:tr>
      <w:tr>
        <w:tc>
          <w:tcPr>
            <w:tcW w:type="dxa" w:w="2088"/>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4"/>
              </w:rPr>
              <w:t>Repeated warnings</w:t>
            </w:r>
          </w:p>
        </w:tc>
        <w:tc>
          <w:tcPr>
            <w:tcW w:type="dxa" w:w="3528"/>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4"/>
              </w:rPr>
              <w:t>Consumes context and can cause unnecessary pauses.</w:t>
            </w:r>
          </w:p>
        </w:tc>
        <w:tc>
          <w:tcPr>
            <w:tcW w:type="dxa" w:w="4176"/>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4"/>
              </w:rPr>
              <w:t>State each boundary once in the execution section.</w:t>
            </w:r>
          </w:p>
        </w:tc>
      </w:tr>
      <w:tr>
        <w:tc>
          <w:tcPr>
            <w:tcW w:type="dxa" w:w="2088"/>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4"/>
              </w:rPr>
              <w:t>Never ask questions</w:t>
            </w:r>
          </w:p>
        </w:tc>
        <w:tc>
          <w:tcPr>
            <w:tcW w:type="dxa" w:w="3528"/>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4"/>
              </w:rPr>
              <w:t>Forces unsafe assumptions in material ambiguity.</w:t>
            </w:r>
          </w:p>
        </w:tc>
        <w:tc>
          <w:tcPr>
            <w:tcW w:type="dxa" w:w="4176"/>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4"/>
              </w:rPr>
              <w:t>Ask only when correctness, authorization, or scope changes.</w:t>
            </w:r>
          </w:p>
        </w:tc>
      </w:tr>
      <w:tr>
        <w:tc>
          <w:tcPr>
            <w:tcW w:type="dxa" w:w="2088"/>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4"/>
              </w:rPr>
              <w:t>No output schema</w:t>
            </w:r>
          </w:p>
        </w:tc>
        <w:tc>
          <w:tcPr>
            <w:tcW w:type="dxa" w:w="3528"/>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4"/>
              </w:rPr>
              <w:t>Produces verbose or unusable answers.</w:t>
            </w:r>
          </w:p>
        </w:tc>
        <w:tc>
          <w:tcPr>
            <w:tcW w:type="dxa" w:w="4176"/>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4"/>
              </w:rPr>
              <w:t>Define exact sections, fields, ordering, and length.</w:t>
            </w:r>
          </w:p>
        </w:tc>
      </w:tr>
      <w:tr>
        <w:tc>
          <w:tcPr>
            <w:tcW w:type="dxa" w:w="2088"/>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4"/>
              </w:rPr>
              <w:t>No completion test</w:t>
            </w:r>
          </w:p>
        </w:tc>
        <w:tc>
          <w:tcPr>
            <w:tcW w:type="dxa" w:w="3528"/>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4"/>
              </w:rPr>
              <w:t>Encourages premature “done” claims.</w:t>
            </w:r>
          </w:p>
        </w:tc>
        <w:tc>
          <w:tcPr>
            <w:tcW w:type="dxa" w:w="4176"/>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4"/>
              </w:rPr>
              <w:t>Define objective acceptance and validation gates.</w:t>
            </w:r>
          </w:p>
        </w:tc>
      </w:tr>
      <w:tr>
        <w:tc>
          <w:tcPr>
            <w:tcW w:type="dxa" w:w="2088"/>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4"/>
              </w:rPr>
              <w:t>Connected app = permission</w:t>
            </w:r>
          </w:p>
        </w:tc>
        <w:tc>
          <w:tcPr>
            <w:tcW w:type="dxa" w:w="3528"/>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4"/>
              </w:rPr>
              <w:t>Misstates access and can expose sensitive assumptions.</w:t>
            </w:r>
          </w:p>
        </w:tc>
        <w:tc>
          <w:tcPr>
            <w:tcW w:type="dxa" w:w="4176"/>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4"/>
              </w:rPr>
              <w:t>Respect app, workspace, and source-system permissions.</w:t>
            </w:r>
          </w:p>
        </w:tc>
      </w:tr>
      <w:tr>
        <w:tc>
          <w:tcPr>
            <w:tcW w:type="dxa" w:w="2088"/>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4"/>
              </w:rPr>
              <w:t>Cyber euphemisms to bypass safeguards</w:t>
            </w:r>
          </w:p>
        </w:tc>
        <w:tc>
          <w:tcPr>
            <w:tcW w:type="dxa" w:w="3528"/>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4"/>
              </w:rPr>
              <w:t>Obscures intent and undermines legitimate defense.</w:t>
            </w:r>
          </w:p>
        </w:tc>
        <w:tc>
          <w:tcPr>
            <w:tcW w:type="dxa" w:w="4176"/>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4"/>
              </w:rPr>
              <w:t>State authorization and defensive purpose directly.</w:t>
            </w:r>
          </w:p>
        </w:tc>
      </w:tr>
    </w:tbl>
    <w:p>
      <w:pPr>
        <w:spacing w:after="20"/>
      </w:pPr>
    </w:p>
    <w:p>
      <w:pPr>
        <w:keepNext w:val="0"/>
        <w:spacing w:before="60" w:after="0" w:line="240" w:lineRule="auto"/>
      </w:pPr>
      <w:r>
        <w:rPr>
          <w:rFonts w:ascii="Arial" w:hAnsi="Arial"/>
          <w:b/>
          <w:color w:val="667085"/>
          <w:sz w:val="14"/>
        </w:rPr>
        <w:t xml:space="preserve">Sources: </w:t>
      </w:r>
      <w:r>
        <w:rPr>
          <w:rFonts w:ascii="Arial" w:hAnsi="Arial"/>
          <w:color w:val="667085"/>
          <w:sz w:val="14"/>
        </w:rPr>
        <w:t>S01, S04, S05, S08</w:t>
      </w:r>
    </w:p>
    <w:p>
      <w:r>
        <w:br w:type="page"/>
      </w:r>
    </w:p>
    <w:p>
      <w:pPr>
        <w:keepNext/>
        <w:spacing w:before="0" w:after="40" w:line="259" w:lineRule="auto"/>
      </w:pPr>
      <w:r>
        <w:rPr>
          <w:rFonts w:ascii="Arial" w:hAnsi="Arial"/>
          <w:b/>
          <w:i w:val="0"/>
          <w:color w:val="1473E6"/>
          <w:sz w:val="14"/>
        </w:rPr>
        <w:t>PUBLISHING CONTROL</w:t>
      </w:r>
    </w:p>
    <w:p>
      <w:pPr>
        <w:keepNext/>
        <w:spacing w:before="0" w:after="80" w:line="240" w:lineRule="auto"/>
      </w:pPr>
      <w:r>
        <w:rPr>
          <w:rFonts w:ascii="Arial" w:hAnsi="Arial"/>
          <w:b/>
          <w:color w:val="1473E6"/>
          <w:sz w:val="31"/>
        </w:rPr>
        <w:t xml:space="preserve">32  </w:t>
      </w:r>
      <w:r>
        <w:rPr>
          <w:rFonts w:ascii="Arial" w:hAnsi="Arial"/>
          <w:b/>
          <w:color w:val="081827"/>
          <w:sz w:val="31"/>
        </w:rPr>
        <w:t>Prompt-card production standard</w:t>
      </w:r>
    </w:p>
    <w:p>
      <w:pPr>
        <w:keepNext w:val="0"/>
        <w:spacing w:before="0" w:after="100" w:line="240" w:lineRule="auto"/>
        <w:pBdr>
          <w:bottom w:val="single" w:sz="6" w:space="1" w:color="E4E7EC"/>
        </w:pBdr>
      </w:pPr>
    </w:p>
    <w:tbl>
      <w:tblPr>
        <w:tblW w:type="auto" w:w="0"/>
        <w:jc w:val="center"/>
        <w:tblLayout w:type="fixed"/>
        <w:tblLook w:firstColumn="1" w:firstRow="1" w:lastColumn="0" w:lastRow="0" w:noHBand="0" w:noVBand="1" w:val="04A0"/>
      </w:tblPr>
      <w:tblGrid>
        <w:gridCol w:w="2520"/>
        <w:gridCol w:w="7272"/>
      </w:tblGrid>
      <w:tr>
        <w:trPr>
          <w:tblHeader w:val="true"/>
        </w:trPr>
        <w:tc>
          <w:tcPr>
            <w:tcW w:type="dxa" w:w="5083"/>
            <w:shd w:fill="081827"/>
            <w:tcMar>
              <w:top w:w="90" w:type="dxa"/>
              <w:start w:w="90" w:type="dxa"/>
              <w:bottom w:w="90" w:type="dxa"/>
              <w:end w:w="90" w:type="dxa"/>
            </w:tcMar>
            <w:vAlign w:val="center"/>
          </w:tcPr>
          <w:p>
            <w:pPr>
              <w:keepNext w:val="0"/>
              <w:spacing w:before="0" w:after="0" w:line="240" w:lineRule="auto"/>
              <w:jc w:val="center"/>
            </w:pPr>
            <w:r>
              <w:rPr>
                <w:rFonts w:ascii="Arial" w:hAnsi="Arial"/>
                <w:b/>
                <w:color w:val="FFFFFF"/>
                <w:sz w:val="15"/>
              </w:rPr>
              <w:t>Card field</w:t>
            </w:r>
          </w:p>
        </w:tc>
        <w:tc>
          <w:tcPr>
            <w:tcW w:type="dxa" w:w="5083"/>
            <w:shd w:fill="081827"/>
            <w:tcMar>
              <w:top w:w="90" w:type="dxa"/>
              <w:start w:w="90" w:type="dxa"/>
              <w:bottom w:w="90" w:type="dxa"/>
              <w:end w:w="90" w:type="dxa"/>
            </w:tcMar>
            <w:vAlign w:val="center"/>
          </w:tcPr>
          <w:p>
            <w:pPr>
              <w:keepNext w:val="0"/>
              <w:spacing w:before="0" w:after="0" w:line="240" w:lineRule="auto"/>
              <w:jc w:val="center"/>
            </w:pPr>
            <w:r>
              <w:rPr>
                <w:rFonts w:ascii="Arial" w:hAnsi="Arial"/>
                <w:b/>
                <w:color w:val="FFFFFF"/>
                <w:sz w:val="15"/>
              </w:rPr>
              <w:t>Requirement</w:t>
            </w:r>
          </w:p>
        </w:tc>
      </w:tr>
      <w:tr>
        <w:tc>
          <w:tcPr>
            <w:tcW w:type="dxa" w:w="2520"/>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ID and title</w:t>
            </w:r>
          </w:p>
        </w:tc>
        <w:tc>
          <w:tcPr>
            <w:tcW w:type="dxa" w:w="7272"/>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Stable identifier; outcome-oriented name.</w:t>
            </w:r>
          </w:p>
        </w:tc>
      </w:tr>
      <w:tr>
        <w:tc>
          <w:tcPr>
            <w:tcW w:type="dxa" w:w="2520"/>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Use case</w:t>
            </w:r>
          </w:p>
        </w:tc>
        <w:tc>
          <w:tcPr>
            <w:tcW w:type="dxa" w:w="7272"/>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When to use and when not to use.</w:t>
            </w:r>
          </w:p>
        </w:tc>
      </w:tr>
      <w:tr>
        <w:tc>
          <w:tcPr>
            <w:tcW w:type="dxa" w:w="2520"/>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Surface</w:t>
            </w:r>
          </w:p>
        </w:tc>
        <w:tc>
          <w:tcPr>
            <w:tcW w:type="dxa" w:w="7272"/>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ChatGPT, API, Codex, or surface-agnostic.</w:t>
            </w:r>
          </w:p>
        </w:tc>
      </w:tr>
      <w:tr>
        <w:tc>
          <w:tcPr>
            <w:tcW w:type="dxa" w:w="2520"/>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Recommended configuration</w:t>
            </w:r>
          </w:p>
        </w:tc>
        <w:tc>
          <w:tcPr>
            <w:tcW w:type="dxa" w:w="7272"/>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Starting model/reasoning; benchmark/escalation note.</w:t>
            </w:r>
          </w:p>
        </w:tc>
      </w:tr>
      <w:tr>
        <w:tc>
          <w:tcPr>
            <w:tcW w:type="dxa" w:w="2520"/>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Required inputs</w:t>
            </w:r>
          </w:p>
        </w:tc>
        <w:tc>
          <w:tcPr>
            <w:tcW w:type="dxa" w:w="7272"/>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Files, evidence, authorization, variables.</w:t>
            </w:r>
          </w:p>
        </w:tc>
      </w:tr>
      <w:tr>
        <w:tc>
          <w:tcPr>
            <w:tcW w:type="dxa" w:w="2520"/>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Copy-ready prompt</w:t>
            </w:r>
          </w:p>
        </w:tc>
        <w:tc>
          <w:tcPr>
            <w:tcW w:type="dxa" w:w="7272"/>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DIRECT-compliant template with replaceable fields.</w:t>
            </w:r>
          </w:p>
        </w:tc>
      </w:tr>
      <w:tr>
        <w:tc>
          <w:tcPr>
            <w:tcW w:type="dxa" w:w="2520"/>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Variable map</w:t>
            </w:r>
          </w:p>
        </w:tc>
        <w:tc>
          <w:tcPr>
            <w:tcW w:type="dxa" w:w="7272"/>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Definitions, allowed values, examples.</w:t>
            </w:r>
          </w:p>
        </w:tc>
      </w:tr>
      <w:tr>
        <w:tc>
          <w:tcPr>
            <w:tcW w:type="dxa" w:w="2520"/>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Output contract</w:t>
            </w:r>
          </w:p>
        </w:tc>
        <w:tc>
          <w:tcPr>
            <w:tcW w:type="dxa" w:w="7272"/>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Exact sections, schema, artifact, length.</w:t>
            </w:r>
          </w:p>
        </w:tc>
      </w:tr>
      <w:tr>
        <w:tc>
          <w:tcPr>
            <w:tcW w:type="dxa" w:w="2520"/>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Validation</w:t>
            </w:r>
          </w:p>
        </w:tc>
        <w:tc>
          <w:tcPr>
            <w:tcW w:type="dxa" w:w="7272"/>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Checks, tests, evidence, release threshold.</w:t>
            </w:r>
          </w:p>
        </w:tc>
      </w:tr>
      <w:tr>
        <w:tc>
          <w:tcPr>
            <w:tcW w:type="dxa" w:w="2520"/>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Tool/Skill associations</w:t>
            </w:r>
          </w:p>
        </w:tc>
        <w:tc>
          <w:tcPr>
            <w:tcW w:type="dxa" w:w="7272"/>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Only verified or conditional capabilities; no universal-access claim.</w:t>
            </w:r>
          </w:p>
        </w:tc>
      </w:tr>
      <w:tr>
        <w:tc>
          <w:tcPr>
            <w:tcW w:type="dxa" w:w="2520"/>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Token note</w:t>
            </w:r>
          </w:p>
        </w:tc>
        <w:tc>
          <w:tcPr>
            <w:tcW w:type="dxa" w:w="7272"/>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What can be inherited, cached, omitted, or lowered.</w:t>
            </w:r>
          </w:p>
        </w:tc>
      </w:tr>
      <w:tr>
        <w:tc>
          <w:tcPr>
            <w:tcW w:type="dxa" w:w="2520"/>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Security/compliance note</w:t>
            </w:r>
          </w:p>
        </w:tc>
        <w:tc>
          <w:tcPr>
            <w:tcW w:type="dxa" w:w="7272"/>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Approval, privacy, scope, or cyber boundary.</w:t>
            </w:r>
          </w:p>
        </w:tc>
      </w:tr>
      <w:tr>
        <w:tc>
          <w:tcPr>
            <w:tcW w:type="dxa" w:w="2520"/>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Source note</w:t>
            </w:r>
          </w:p>
        </w:tc>
        <w:tc>
          <w:tcPr>
            <w:tcW w:type="dxa" w:w="7272"/>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Official source IDs supporting product-specific claims.</w:t>
            </w:r>
          </w:p>
        </w:tc>
      </w:tr>
    </w:tbl>
    <w:p>
      <w:pPr>
        <w:spacing w:after="20"/>
      </w:pPr>
    </w:p>
    <w:p>
      <w:pPr>
        <w:keepNext/>
        <w:spacing w:before="100" w:after="60" w:line="240" w:lineRule="auto"/>
      </w:pPr>
      <w:r>
        <w:rPr>
          <w:rFonts w:ascii="Arial" w:hAnsi="Arial"/>
          <w:b/>
          <w:color w:val="081827"/>
          <w:sz w:val="21"/>
        </w:rPr>
        <w:t>Card status</w:t>
      </w:r>
    </w:p>
    <w:tbl>
      <w:tblPr>
        <w:tblW w:type="auto" w:w="0"/>
        <w:jc w:val="center"/>
        <w:tblLayout w:type="fixed"/>
        <w:tblLook w:firstColumn="1" w:firstRow="1" w:lastColumn="0" w:lastRow="0" w:noHBand="0" w:noVBand="1" w:val="04A0"/>
      </w:tblPr>
      <w:tblGrid>
        <w:gridCol w:w="2160"/>
        <w:gridCol w:w="7632"/>
      </w:tblGrid>
      <w:tr>
        <w:trPr>
          <w:tblHeader w:val="true"/>
        </w:trPr>
        <w:tc>
          <w:tcPr>
            <w:tcW w:type="dxa" w:w="5083"/>
            <w:shd w:fill="081827"/>
            <w:tcMar>
              <w:top w:w="90" w:type="dxa"/>
              <w:start w:w="90" w:type="dxa"/>
              <w:bottom w:w="90" w:type="dxa"/>
              <w:end w:w="90" w:type="dxa"/>
            </w:tcMar>
            <w:vAlign w:val="center"/>
          </w:tcPr>
          <w:p>
            <w:pPr>
              <w:keepNext w:val="0"/>
              <w:spacing w:before="0" w:after="0" w:line="240" w:lineRule="auto"/>
              <w:jc w:val="center"/>
            </w:pPr>
            <w:r>
              <w:rPr>
                <w:rFonts w:ascii="Arial" w:hAnsi="Arial"/>
                <w:b/>
                <w:color w:val="FFFFFF"/>
                <w:sz w:val="15"/>
              </w:rPr>
              <w:t>Status</w:t>
            </w:r>
          </w:p>
        </w:tc>
        <w:tc>
          <w:tcPr>
            <w:tcW w:type="dxa" w:w="5083"/>
            <w:shd w:fill="081827"/>
            <w:tcMar>
              <w:top w:w="90" w:type="dxa"/>
              <w:start w:w="90" w:type="dxa"/>
              <w:bottom w:w="90" w:type="dxa"/>
              <w:end w:w="90" w:type="dxa"/>
            </w:tcMar>
            <w:vAlign w:val="center"/>
          </w:tcPr>
          <w:p>
            <w:pPr>
              <w:keepNext w:val="0"/>
              <w:spacing w:before="0" w:after="0" w:line="240" w:lineRule="auto"/>
              <w:jc w:val="center"/>
            </w:pPr>
            <w:r>
              <w:rPr>
                <w:rFonts w:ascii="Arial" w:hAnsi="Arial"/>
                <w:b/>
                <w:color w:val="FFFFFF"/>
                <w:sz w:val="15"/>
              </w:rPr>
              <w:t>Meaning</w:t>
            </w:r>
          </w:p>
        </w:tc>
      </w:tr>
      <w:tr>
        <w:tc>
          <w:tcPr>
            <w:tcW w:type="dxa" w:w="2160"/>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6"/>
              </w:rPr>
              <w:t>DRAFT</w:t>
            </w:r>
          </w:p>
        </w:tc>
        <w:tc>
          <w:tcPr>
            <w:tcW w:type="dxa" w:w="7632"/>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6"/>
              </w:rPr>
              <w:t>Prompt written but not tested.</w:t>
            </w:r>
          </w:p>
        </w:tc>
      </w:tr>
      <w:tr>
        <w:tc>
          <w:tcPr>
            <w:tcW w:type="dxa" w:w="2160"/>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6"/>
              </w:rPr>
              <w:t>TESTED</w:t>
            </w:r>
          </w:p>
        </w:tc>
        <w:tc>
          <w:tcPr>
            <w:tcW w:type="dxa" w:w="7632"/>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6"/>
              </w:rPr>
              <w:t>Run on representative examples with recorded results.</w:t>
            </w:r>
          </w:p>
        </w:tc>
      </w:tr>
      <w:tr>
        <w:tc>
          <w:tcPr>
            <w:tcW w:type="dxa" w:w="2160"/>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6"/>
              </w:rPr>
              <w:t>RELEASED</w:t>
            </w:r>
          </w:p>
        </w:tc>
        <w:tc>
          <w:tcPr>
            <w:tcW w:type="dxa" w:w="7632"/>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6"/>
              </w:rPr>
              <w:t>Meets threshold and editorial review.</w:t>
            </w:r>
          </w:p>
        </w:tc>
      </w:tr>
      <w:tr>
        <w:tc>
          <w:tcPr>
            <w:tcW w:type="dxa" w:w="2160"/>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6"/>
              </w:rPr>
              <w:t>CONDITIONAL</w:t>
            </w:r>
          </w:p>
        </w:tc>
        <w:tc>
          <w:tcPr>
            <w:tcW w:type="dxa" w:w="7632"/>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6"/>
              </w:rPr>
              <w:t>Requires a named environment, app, Skill, authorization, or plan.</w:t>
            </w:r>
          </w:p>
        </w:tc>
      </w:tr>
      <w:tr>
        <w:tc>
          <w:tcPr>
            <w:tcW w:type="dxa" w:w="2160"/>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6"/>
              </w:rPr>
              <w:t>DEPRECATED</w:t>
            </w:r>
          </w:p>
        </w:tc>
        <w:tc>
          <w:tcPr>
            <w:tcW w:type="dxa" w:w="7632"/>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6"/>
              </w:rPr>
              <w:t>Superseded or no longer accurate.</w:t>
            </w:r>
          </w:p>
        </w:tc>
      </w:tr>
    </w:tbl>
    <w:p>
      <w:pPr>
        <w:spacing w:after="20"/>
      </w:pPr>
    </w:p>
    <w:p>
      <w:r>
        <w:br w:type="page"/>
      </w:r>
    </w:p>
    <w:p>
      <w:pPr>
        <w:keepNext/>
        <w:spacing w:before="0" w:after="40" w:line="259" w:lineRule="auto"/>
      </w:pPr>
      <w:r>
        <w:rPr>
          <w:rFonts w:ascii="Arial" w:hAnsi="Arial"/>
          <w:b/>
          <w:i w:val="0"/>
          <w:color w:val="1473E6"/>
          <w:sz w:val="14"/>
        </w:rPr>
        <w:t>RELEASE CONTROL</w:t>
      </w:r>
    </w:p>
    <w:p>
      <w:pPr>
        <w:keepNext/>
        <w:spacing w:before="0" w:after="80" w:line="240" w:lineRule="auto"/>
      </w:pPr>
      <w:r>
        <w:rPr>
          <w:rFonts w:ascii="Arial" w:hAnsi="Arial"/>
          <w:b/>
          <w:color w:val="1473E6"/>
          <w:sz w:val="31"/>
        </w:rPr>
        <w:t xml:space="preserve">33  </w:t>
      </w:r>
      <w:r>
        <w:rPr>
          <w:rFonts w:ascii="Arial" w:hAnsi="Arial"/>
          <w:b/>
          <w:color w:val="081827"/>
          <w:sz w:val="31"/>
        </w:rPr>
        <w:t>Phase 3 entry criteria</w:t>
      </w:r>
    </w:p>
    <w:p>
      <w:pPr>
        <w:keepNext w:val="0"/>
        <w:spacing w:before="0" w:after="100" w:line="240" w:lineRule="auto"/>
        <w:pBdr>
          <w:bottom w:val="single" w:sz="6" w:space="1" w:color="E4E7EC"/>
        </w:pBdr>
      </w:pPr>
    </w:p>
    <w:tbl>
      <w:tblPr>
        <w:tblW w:type="auto" w:w="0"/>
        <w:jc w:val="center"/>
        <w:tblLayout w:type="fixed"/>
        <w:tblLook w:firstColumn="1" w:firstRow="1" w:lastColumn="0" w:lastRow="0" w:noHBand="0" w:noVBand="1" w:val="04A0"/>
      </w:tblPr>
      <w:tblGrid>
        <w:gridCol w:w="115"/>
        <w:gridCol w:w="9792"/>
      </w:tblGrid>
      <w:tr>
        <w:tc>
          <w:tcPr>
            <w:tcW w:type="dxa" w:w="5083"/>
            <w:shd w:fill="14833B"/>
            <w:tcMar>
              <w:top w:w="60" w:type="dxa"/>
              <w:start w:w="0" w:type="dxa"/>
              <w:bottom w:w="60" w:type="dxa"/>
              <w:end w:w="0" w:type="dxa"/>
            </w:tcMar>
            <w:vAlign w:val="center"/>
          </w:tcPr>
          <w:p/>
        </w:tc>
        <w:tc>
          <w:tcPr>
            <w:tcW w:type="dxa" w:w="5083"/>
            <w:shd w:fill="EAF8EF"/>
            <w:tcMar>
              <w:top w:w="110" w:type="dxa"/>
              <w:start w:w="150" w:type="dxa"/>
              <w:bottom w:w="110" w:type="dxa"/>
              <w:end w:w="150" w:type="dxa"/>
            </w:tcMar>
          </w:tcPr>
          <w:p>
            <w:pPr>
              <w:keepNext/>
              <w:spacing w:before="0" w:after="40" w:line="240" w:lineRule="auto"/>
            </w:pPr>
            <w:r>
              <w:rPr>
                <w:rFonts w:ascii="Arial" w:hAnsi="Arial"/>
                <w:b/>
                <w:color w:val="14833B"/>
                <w:sz w:val="14"/>
              </w:rPr>
              <w:t>PHASE 3 AUTHORIZED</w:t>
            </w:r>
          </w:p>
          <w:p>
            <w:pPr>
              <w:keepNext w:val="0"/>
              <w:spacing w:before="0" w:after="0" w:line="259" w:lineRule="auto"/>
            </w:pPr>
            <w:r>
              <w:rPr>
                <w:rFonts w:ascii="Arial" w:hAnsi="Arial"/>
                <w:color w:val="17202A"/>
                <w:sz w:val="18"/>
              </w:rPr>
              <w:t>The architecture is ready to govern production of the leadership prompt library. No domain prompt may bypass DIRECT, capability truthfulness, validation gates, or the cyber control plane.</w:t>
            </w:r>
          </w:p>
        </w:tc>
      </w:tr>
    </w:tbl>
    <w:p>
      <w:pPr>
        <w:spacing w:after="20"/>
      </w:pPr>
    </w:p>
    <w:tbl>
      <w:tblPr>
        <w:tblW w:type="auto" w:w="0"/>
        <w:jc w:val="center"/>
        <w:tblLayout w:type="fixed"/>
        <w:tblLook w:firstColumn="1" w:firstRow="1" w:lastColumn="0" w:lastRow="0" w:noHBand="0" w:noVBand="1" w:val="04A0"/>
      </w:tblPr>
      <w:tblGrid>
        <w:gridCol w:w="2664"/>
        <w:gridCol w:w="1152"/>
        <w:gridCol w:w="5976"/>
      </w:tblGrid>
      <w:tr>
        <w:trPr>
          <w:tblHeader w:val="true"/>
        </w:trPr>
        <w:tc>
          <w:tcPr>
            <w:tcW w:type="dxa" w:w="3389"/>
            <w:shd w:fill="081827"/>
            <w:tcMar>
              <w:top w:w="90" w:type="dxa"/>
              <w:start w:w="90" w:type="dxa"/>
              <w:bottom w:w="90" w:type="dxa"/>
              <w:end w:w="90" w:type="dxa"/>
            </w:tcMar>
            <w:vAlign w:val="center"/>
          </w:tcPr>
          <w:p>
            <w:pPr>
              <w:keepNext w:val="0"/>
              <w:spacing w:before="0" w:after="0" w:line="240" w:lineRule="auto"/>
              <w:jc w:val="center"/>
            </w:pPr>
            <w:r>
              <w:rPr>
                <w:rFonts w:ascii="Arial" w:hAnsi="Arial"/>
                <w:b/>
                <w:color w:val="FFFFFF"/>
                <w:sz w:val="15"/>
              </w:rPr>
              <w:t>Gate</w:t>
            </w:r>
          </w:p>
        </w:tc>
        <w:tc>
          <w:tcPr>
            <w:tcW w:type="dxa" w:w="3389"/>
            <w:shd w:fill="081827"/>
            <w:tcMar>
              <w:top w:w="90" w:type="dxa"/>
              <w:start w:w="90" w:type="dxa"/>
              <w:bottom w:w="90" w:type="dxa"/>
              <w:end w:w="90" w:type="dxa"/>
            </w:tcMar>
            <w:vAlign w:val="center"/>
          </w:tcPr>
          <w:p>
            <w:pPr>
              <w:keepNext w:val="0"/>
              <w:spacing w:before="0" w:after="0" w:line="240" w:lineRule="auto"/>
              <w:jc w:val="center"/>
            </w:pPr>
            <w:r>
              <w:rPr>
                <w:rFonts w:ascii="Arial" w:hAnsi="Arial"/>
                <w:b/>
                <w:color w:val="FFFFFF"/>
                <w:sz w:val="15"/>
              </w:rPr>
              <w:t>Status</w:t>
            </w:r>
          </w:p>
        </w:tc>
        <w:tc>
          <w:tcPr>
            <w:tcW w:type="dxa" w:w="3389"/>
            <w:shd w:fill="081827"/>
            <w:tcMar>
              <w:top w:w="90" w:type="dxa"/>
              <w:start w:w="90" w:type="dxa"/>
              <w:bottom w:w="90" w:type="dxa"/>
              <w:end w:w="90" w:type="dxa"/>
            </w:tcMar>
            <w:vAlign w:val="center"/>
          </w:tcPr>
          <w:p>
            <w:pPr>
              <w:keepNext w:val="0"/>
              <w:spacing w:before="0" w:after="0" w:line="240" w:lineRule="auto"/>
              <w:jc w:val="center"/>
            </w:pPr>
            <w:r>
              <w:rPr>
                <w:rFonts w:ascii="Arial" w:hAnsi="Arial"/>
                <w:b/>
                <w:color w:val="FFFFFF"/>
                <w:sz w:val="15"/>
              </w:rPr>
              <w:t>Acceptance evidence</w:t>
            </w:r>
          </w:p>
        </w:tc>
      </w:tr>
      <w:tr>
        <w:tc>
          <w:tcPr>
            <w:tcW w:type="dxa" w:w="2664"/>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G1 — Product terminology</w:t>
            </w:r>
          </w:p>
        </w:tc>
        <w:tc>
          <w:tcPr>
            <w:tcW w:type="dxa" w:w="1152"/>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PASS</w:t>
            </w:r>
          </w:p>
        </w:tc>
        <w:tc>
          <w:tcPr>
            <w:tcW w:type="dxa" w:w="5976"/>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ChatGPT and API controls separated; High and Pro correctly represented.</w:t>
            </w:r>
          </w:p>
        </w:tc>
      </w:tr>
      <w:tr>
        <w:tc>
          <w:tcPr>
            <w:tcW w:type="dxa" w:w="2664"/>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G2 — DIRECT architecture</w:t>
            </w:r>
          </w:p>
        </w:tc>
        <w:tc>
          <w:tcPr>
            <w:tcW w:type="dxa" w:w="1152"/>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PASS</w:t>
            </w:r>
          </w:p>
        </w:tc>
        <w:tc>
          <w:tcPr>
            <w:tcW w:type="dxa" w:w="5976"/>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Six fields defined with templates and examples.</w:t>
            </w:r>
          </w:p>
        </w:tc>
      </w:tr>
      <w:tr>
        <w:tc>
          <w:tcPr>
            <w:tcW w:type="dxa" w:w="2664"/>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G3 — Prompt tiers</w:t>
            </w:r>
          </w:p>
        </w:tc>
        <w:tc>
          <w:tcPr>
            <w:tcW w:type="dxa" w:w="1152"/>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PASS</w:t>
            </w:r>
          </w:p>
        </w:tc>
        <w:tc>
          <w:tcPr>
            <w:tcW w:type="dxa" w:w="5976"/>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Executive Compact, Production High, and Audit-Grade templates locked.</w:t>
            </w:r>
          </w:p>
        </w:tc>
      </w:tr>
      <w:tr>
        <w:tc>
          <w:tcPr>
            <w:tcW w:type="dxa" w:w="2664"/>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G4 — Role model</w:t>
            </w:r>
          </w:p>
        </w:tc>
        <w:tc>
          <w:tcPr>
            <w:tcW w:type="dxa" w:w="1152"/>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PASS</w:t>
            </w:r>
          </w:p>
        </w:tc>
        <w:tc>
          <w:tcPr>
            <w:tcW w:type="dxa" w:w="5976"/>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One accountable role plus lenses, priorities, rights, and exclusions.</w:t>
            </w:r>
          </w:p>
        </w:tc>
      </w:tr>
      <w:tr>
        <w:tc>
          <w:tcPr>
            <w:tcW w:type="dxa" w:w="2664"/>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G5 — Efficiency controls</w:t>
            </w:r>
          </w:p>
        </w:tc>
        <w:tc>
          <w:tcPr>
            <w:tcW w:type="dxa" w:w="1152"/>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PASS</w:t>
            </w:r>
          </w:p>
        </w:tc>
        <w:tc>
          <w:tcPr>
            <w:tcW w:type="dxa" w:w="5976"/>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Reasoning selection, token layers, caching/context controls documented.</w:t>
            </w:r>
          </w:p>
        </w:tc>
      </w:tr>
      <w:tr>
        <w:tc>
          <w:tcPr>
            <w:tcW w:type="dxa" w:w="2664"/>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G6 — Capability controls</w:t>
            </w:r>
          </w:p>
        </w:tc>
        <w:tc>
          <w:tcPr>
            <w:tcW w:type="dxa" w:w="1152"/>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PASS</w:t>
            </w:r>
          </w:p>
        </w:tc>
        <w:tc>
          <w:tcPr>
            <w:tcW w:type="dxa" w:w="5976"/>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Skills, plugins, apps, tools, permissions, and availability separated.</w:t>
            </w:r>
          </w:p>
        </w:tc>
      </w:tr>
      <w:tr>
        <w:tc>
          <w:tcPr>
            <w:tcW w:type="dxa" w:w="2664"/>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G7 — Quality controls</w:t>
            </w:r>
          </w:p>
        </w:tc>
        <w:tc>
          <w:tcPr>
            <w:tcW w:type="dxa" w:w="1152"/>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PASS</w:t>
            </w:r>
          </w:p>
        </w:tc>
        <w:tc>
          <w:tcPr>
            <w:tcW w:type="dxa" w:w="5976"/>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Output contracts, validation gates, scoring, and release statuses defined.</w:t>
            </w:r>
          </w:p>
        </w:tc>
      </w:tr>
      <w:tr>
        <w:tc>
          <w:tcPr>
            <w:tcW w:type="dxa" w:w="2664"/>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G8 — Cyber controls</w:t>
            </w:r>
          </w:p>
        </w:tc>
        <w:tc>
          <w:tcPr>
            <w:tcW w:type="dxa" w:w="1152"/>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PASS</w:t>
            </w:r>
          </w:p>
        </w:tc>
        <w:tc>
          <w:tcPr>
            <w:tcW w:type="dxa" w:w="5976"/>
            <w:tcMar>
              <w:top w:w="80" w:type="dxa"/>
              <w:start w:w="90" w:type="dxa"/>
              <w:bottom w:w="80" w:type="dxa"/>
              <w:end w:w="90" w:type="dxa"/>
            </w:tcMar>
            <w:vAlign w:val="center"/>
            <w:shd w:fill="F8FAFC"/>
            <w:tcBorders>
              <w:bottom w:val="single" w:sz="3" w:color="E4E7EC"/>
            </w:tcBorders>
          </w:tcPr>
          <w:p>
            <w:pPr>
              <w:keepNext w:val="0"/>
              <w:spacing w:before="0" w:after="0" w:line="245" w:lineRule="auto"/>
              <w:jc w:val="left"/>
            </w:pPr>
            <w:r>
              <w:rPr>
                <w:rFonts w:ascii="Arial" w:hAnsi="Arial"/>
                <w:b w:val="0"/>
                <w:color w:val="17202A"/>
                <w:sz w:val="15"/>
              </w:rPr>
              <w:t>Authorization, routing, finding schema, and remediation gates defined.</w:t>
            </w:r>
          </w:p>
        </w:tc>
      </w:tr>
      <w:tr>
        <w:tc>
          <w:tcPr>
            <w:tcW w:type="dxa" w:w="2664"/>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G9 — Publishing schema</w:t>
            </w:r>
          </w:p>
        </w:tc>
        <w:tc>
          <w:tcPr>
            <w:tcW w:type="dxa" w:w="1152"/>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PASS</w:t>
            </w:r>
          </w:p>
        </w:tc>
        <w:tc>
          <w:tcPr>
            <w:tcW w:type="dxa" w:w="5976"/>
            <w:tcMar>
              <w:top w:w="80" w:type="dxa"/>
              <w:start w:w="90" w:type="dxa"/>
              <w:bottom w:w="80" w:type="dxa"/>
              <w:end w:w="90" w:type="dxa"/>
            </w:tcMar>
            <w:vAlign w:val="center"/>
            <w:tcBorders>
              <w:bottom w:val="single" w:sz="3" w:color="E4E7EC"/>
            </w:tcBorders>
          </w:tcPr>
          <w:p>
            <w:pPr>
              <w:keepNext w:val="0"/>
              <w:spacing w:before="0" w:after="0" w:line="245" w:lineRule="auto"/>
              <w:jc w:val="left"/>
            </w:pPr>
            <w:r>
              <w:rPr>
                <w:rFonts w:ascii="Arial" w:hAnsi="Arial"/>
                <w:b w:val="0"/>
                <w:color w:val="17202A"/>
                <w:sz w:val="15"/>
              </w:rPr>
              <w:t>Prompt-card metadata and lifecycle statuses locked.</w:t>
            </w:r>
          </w:p>
        </w:tc>
      </w:tr>
    </w:tbl>
    <w:p>
      <w:pPr>
        <w:spacing w:after="20"/>
      </w:pPr>
    </w:p>
    <w:p>
      <w:pPr>
        <w:keepNext/>
        <w:spacing w:before="100" w:after="60" w:line="240" w:lineRule="auto"/>
      </w:pPr>
      <w:r>
        <w:rPr>
          <w:rFonts w:ascii="Arial" w:hAnsi="Arial"/>
          <w:b/>
          <w:color w:val="081827"/>
          <w:sz w:val="21"/>
        </w:rPr>
        <w:t>Phase 3 authorized workstreams</w:t>
      </w:r>
    </w:p>
    <w:p>
      <w:pPr>
        <w:pStyle w:val="ListBullet"/>
        <w:keepNext w:val="0"/>
        <w:spacing w:before="0" w:after="48" w:line="254" w:lineRule="auto"/>
        <w:ind w:left="259" w:hanging="173"/>
      </w:pPr>
      <w:r>
        <w:rPr>
          <w:rFonts w:ascii="Arial" w:hAnsi="Arial"/>
          <w:color w:val="17202A"/>
          <w:sz w:val="18"/>
        </w:rPr>
        <w:t>Solution architecture and technical-decision prompt suite.</w:t>
      </w:r>
    </w:p>
    <w:p>
      <w:pPr>
        <w:pStyle w:val="ListBullet"/>
        <w:keepNext w:val="0"/>
        <w:spacing w:before="0" w:after="48" w:line="254" w:lineRule="auto"/>
        <w:ind w:left="259" w:hanging="173"/>
      </w:pPr>
      <w:r>
        <w:rPr>
          <w:rFonts w:ascii="Arial" w:hAnsi="Arial"/>
          <w:color w:val="17202A"/>
          <w:sz w:val="18"/>
        </w:rPr>
        <w:t>Engineering leadership, code review, debugging, implementation, and release prompt suite.</w:t>
      </w:r>
    </w:p>
    <w:p>
      <w:pPr>
        <w:pStyle w:val="ListBullet"/>
        <w:keepNext w:val="0"/>
        <w:spacing w:before="0" w:after="48" w:line="254" w:lineRule="auto"/>
        <w:ind w:left="259" w:hanging="173"/>
      </w:pPr>
      <w:r>
        <w:rPr>
          <w:rFonts w:ascii="Arial" w:hAnsi="Arial"/>
          <w:color w:val="17202A"/>
          <w:sz w:val="18"/>
        </w:rPr>
        <w:t>Product, design, frontend, accessibility, and artifact-production prompt suite.</w:t>
      </w:r>
    </w:p>
    <w:p>
      <w:pPr>
        <w:pStyle w:val="ListBullet"/>
        <w:keepNext w:val="0"/>
        <w:spacing w:before="0" w:after="48" w:line="254" w:lineRule="auto"/>
        <w:ind w:left="259" w:hanging="173"/>
      </w:pPr>
      <w:r>
        <w:rPr>
          <w:rFonts w:ascii="Arial" w:hAnsi="Arial"/>
          <w:color w:val="17202A"/>
          <w:sz w:val="18"/>
        </w:rPr>
        <w:t>Data, integrations, automation, operations, and executive leadership prompt suite.</w:t>
      </w:r>
    </w:p>
    <w:p>
      <w:pPr>
        <w:pStyle w:val="ListBullet"/>
        <w:keepNext w:val="0"/>
        <w:spacing w:before="0" w:after="48" w:line="254" w:lineRule="auto"/>
        <w:ind w:left="259" w:hanging="173"/>
      </w:pPr>
      <w:r>
        <w:rPr>
          <w:rFonts w:ascii="Arial" w:hAnsi="Arial"/>
          <w:color w:val="17202A"/>
          <w:sz w:val="18"/>
        </w:rPr>
        <w:t>Defensive cybersecurity prompt suite developed under the Phase 2 cyber control plane.</w:t>
      </w:r>
    </w:p>
    <w:p>
      <w:pPr>
        <w:keepNext/>
        <w:spacing w:before="100" w:after="60" w:line="240" w:lineRule="auto"/>
      </w:pPr>
      <w:r>
        <w:rPr>
          <w:rFonts w:ascii="Arial" w:hAnsi="Arial"/>
          <w:b/>
          <w:color w:val="081827"/>
          <w:sz w:val="21"/>
        </w:rPr>
        <w:t>Change-control rule</w:t>
      </w:r>
    </w:p>
    <w:p>
      <w:pPr>
        <w:keepNext w:val="0"/>
        <w:spacing w:before="0" w:after="100" w:line="259" w:lineRule="auto"/>
      </w:pPr>
      <w:r>
        <w:rPr>
          <w:rFonts w:ascii="Arial" w:hAnsi="Arial"/>
          <w:b w:val="0"/>
          <w:i w:val="0"/>
          <w:color w:val="17202A"/>
          <w:sz w:val="18"/>
        </w:rPr>
        <w:t>If official OpenAI product behavior changes, update the source lock and the affected Phase 2 control before changing downstream prompts. Domain prompts inherit these controls; they do not silently redefine them.</w:t>
      </w:r>
    </w:p>
    <w:p>
      <w:r>
        <w:br w:type="page"/>
      </w:r>
    </w:p>
    <w:p>
      <w:pPr>
        <w:keepNext/>
        <w:spacing w:before="0" w:after="40" w:line="259" w:lineRule="auto"/>
      </w:pPr>
      <w:r>
        <w:rPr>
          <w:rFonts w:ascii="Arial" w:hAnsi="Arial"/>
          <w:b/>
          <w:i w:val="0"/>
          <w:color w:val="1473E6"/>
          <w:sz w:val="14"/>
        </w:rPr>
        <w:t>SOURCES</w:t>
      </w:r>
    </w:p>
    <w:p>
      <w:pPr>
        <w:keepNext/>
        <w:spacing w:before="0" w:after="80" w:line="240" w:lineRule="auto"/>
      </w:pPr>
      <w:r>
        <w:rPr>
          <w:rFonts w:ascii="Arial" w:hAnsi="Arial"/>
          <w:b/>
          <w:color w:val="1473E6"/>
          <w:sz w:val="31"/>
        </w:rPr>
        <w:t xml:space="preserve">A  </w:t>
      </w:r>
      <w:r>
        <w:rPr>
          <w:rFonts w:ascii="Arial" w:hAnsi="Arial"/>
          <w:b/>
          <w:color w:val="081827"/>
          <w:sz w:val="31"/>
        </w:rPr>
        <w:t>Official source register — model and prompting</w:t>
      </w:r>
    </w:p>
    <w:p>
      <w:pPr>
        <w:keepNext w:val="0"/>
        <w:spacing w:before="0" w:after="100" w:line="240" w:lineRule="auto"/>
        <w:pBdr>
          <w:bottom w:val="single" w:sz="6" w:space="1" w:color="E4E7EC"/>
        </w:pBdr>
      </w:pPr>
    </w:p>
    <w:tbl>
      <w:tblPr>
        <w:tblW w:type="auto" w:w="0"/>
        <w:jc w:val="center"/>
        <w:tblLayout w:type="fixed"/>
        <w:tblLook w:firstColumn="1" w:firstRow="1" w:lastColumn="0" w:lastRow="0" w:noHBand="0" w:noVBand="1" w:val="04A0"/>
      </w:tblPr>
      <w:tblGrid>
        <w:gridCol w:w="792"/>
        <w:gridCol w:w="9000"/>
      </w:tblGrid>
      <w:tr>
        <w:tc>
          <w:tcPr>
            <w:tcW w:type="dxa" w:w="5083"/>
            <w:shd w:fill="EAF3FF"/>
            <w:tcMar>
              <w:top w:w="90" w:type="dxa"/>
              <w:start w:w="70" w:type="dxa"/>
              <w:bottom w:w="90" w:type="dxa"/>
              <w:end w:w="70" w:type="dxa"/>
            </w:tcMar>
          </w:tcPr>
          <w:p>
            <w:pPr>
              <w:keepNext w:val="0"/>
              <w:spacing w:before="0" w:after="0" w:line="240" w:lineRule="auto"/>
              <w:jc w:val="center"/>
            </w:pPr>
            <w:r>
              <w:rPr>
                <w:rFonts w:ascii="Arial" w:hAnsi="Arial"/>
                <w:b/>
                <w:color w:val="1473E6"/>
                <w:sz w:val="15"/>
              </w:rPr>
              <w:t>S01</w:t>
            </w:r>
          </w:p>
        </w:tc>
        <w:tc>
          <w:tcPr>
            <w:tcW w:type="dxa" w:w="5083"/>
            <w:shd w:fill="F8FAFC"/>
            <w:tcMar>
              <w:top w:w="90" w:type="dxa"/>
              <w:start w:w="110" w:type="dxa"/>
              <w:bottom w:w="90" w:type="dxa"/>
              <w:end w:w="110" w:type="dxa"/>
            </w:tcMar>
          </w:tcPr>
          <w:p>
            <w:pPr>
              <w:keepNext w:val="0"/>
              <w:spacing w:before="0" w:after="40" w:line="240" w:lineRule="auto"/>
            </w:pPr>
            <w:r>
              <w:rPr>
                <w:rFonts w:ascii="Arial" w:hAnsi="Arial"/>
                <w:b/>
                <w:color w:val="081827"/>
                <w:sz w:val="17"/>
              </w:rPr>
              <w:t>OpenAI API — Model guidance: Using GPT-5.6</w:t>
            </w:r>
          </w:p>
          <w:p>
            <w:pPr>
              <w:keepNext w:val="0"/>
              <w:spacing w:before="0" w:after="40" w:line="240" w:lineRule="auto"/>
            </w:pPr>
            <w:r>
              <w:rPr>
                <w:rFonts w:ascii="Arial" w:hAnsi="Arial"/>
                <w:color w:val="1473E6"/>
                <w:sz w:val="14"/>
              </w:rPr>
              <w:t>https://developers.openai.com/api/docs/guides/latest-model</w:t>
            </w:r>
          </w:p>
          <w:p>
            <w:pPr>
              <w:keepNext w:val="0"/>
              <w:spacing w:before="0" w:after="0" w:line="247" w:lineRule="auto"/>
            </w:pPr>
            <w:r>
              <w:rPr>
                <w:rFonts w:ascii="Arial" w:hAnsi="Arial"/>
                <w:color w:val="475467"/>
                <w:sz w:val="15"/>
              </w:rPr>
              <w:t>Model family, outcome-focused prompting, reasoning effort, Pro mode, verbosity, caching, persisted reasoning, programmatic tool calling, multi-agent beta, autonomy boundaries.</w:t>
            </w:r>
          </w:p>
        </w:tc>
      </w:tr>
    </w:tbl>
    <w:p>
      <w:pPr>
        <w:spacing w:after="20"/>
      </w:pPr>
    </w:p>
    <w:tbl>
      <w:tblPr>
        <w:tblW w:type="auto" w:w="0"/>
        <w:jc w:val="center"/>
        <w:tblLayout w:type="fixed"/>
        <w:tblLook w:firstColumn="1" w:firstRow="1" w:lastColumn="0" w:lastRow="0" w:noHBand="0" w:noVBand="1" w:val="04A0"/>
      </w:tblPr>
      <w:tblGrid>
        <w:gridCol w:w="792"/>
        <w:gridCol w:w="9000"/>
      </w:tblGrid>
      <w:tr>
        <w:tc>
          <w:tcPr>
            <w:tcW w:type="dxa" w:w="5083"/>
            <w:shd w:fill="EAF3FF"/>
            <w:tcMar>
              <w:top w:w="90" w:type="dxa"/>
              <w:start w:w="70" w:type="dxa"/>
              <w:bottom w:w="90" w:type="dxa"/>
              <w:end w:w="70" w:type="dxa"/>
            </w:tcMar>
          </w:tcPr>
          <w:p>
            <w:pPr>
              <w:keepNext w:val="0"/>
              <w:spacing w:before="0" w:after="0" w:line="240" w:lineRule="auto"/>
              <w:jc w:val="center"/>
            </w:pPr>
            <w:r>
              <w:rPr>
                <w:rFonts w:ascii="Arial" w:hAnsi="Arial"/>
                <w:b/>
                <w:color w:val="1473E6"/>
                <w:sz w:val="15"/>
              </w:rPr>
              <w:t>S02</w:t>
            </w:r>
          </w:p>
        </w:tc>
        <w:tc>
          <w:tcPr>
            <w:tcW w:type="dxa" w:w="5083"/>
            <w:shd w:fill="F8FAFC"/>
            <w:tcMar>
              <w:top w:w="90" w:type="dxa"/>
              <w:start w:w="110" w:type="dxa"/>
              <w:bottom w:w="90" w:type="dxa"/>
              <w:end w:w="110" w:type="dxa"/>
            </w:tcMar>
          </w:tcPr>
          <w:p>
            <w:pPr>
              <w:keepNext w:val="0"/>
              <w:spacing w:before="0" w:after="40" w:line="240" w:lineRule="auto"/>
            </w:pPr>
            <w:r>
              <w:rPr>
                <w:rFonts w:ascii="Arial" w:hAnsi="Arial"/>
                <w:b/>
                <w:color w:val="081827"/>
                <w:sz w:val="17"/>
              </w:rPr>
              <w:t>OpenAI API — Models catalog</w:t>
            </w:r>
          </w:p>
          <w:p>
            <w:pPr>
              <w:keepNext w:val="0"/>
              <w:spacing w:before="0" w:after="40" w:line="240" w:lineRule="auto"/>
            </w:pPr>
            <w:r>
              <w:rPr>
                <w:rFonts w:ascii="Arial" w:hAnsi="Arial"/>
                <w:color w:val="1473E6"/>
                <w:sz w:val="14"/>
              </w:rPr>
              <w:t>https://developers.openai.com/api/docs/models</w:t>
            </w:r>
          </w:p>
          <w:p>
            <w:pPr>
              <w:keepNext w:val="0"/>
              <w:spacing w:before="0" w:after="0" w:line="247" w:lineRule="auto"/>
            </w:pPr>
            <w:r>
              <w:rPr>
                <w:rFonts w:ascii="Arial" w:hAnsi="Arial"/>
                <w:color w:val="475467"/>
                <w:sz w:val="15"/>
              </w:rPr>
              <w:t>Sol/Terra/Luna positioning; supported reasoning values and tool categories.</w:t>
            </w:r>
          </w:p>
        </w:tc>
      </w:tr>
    </w:tbl>
    <w:p>
      <w:pPr>
        <w:spacing w:after="20"/>
      </w:pPr>
    </w:p>
    <w:tbl>
      <w:tblPr>
        <w:tblW w:type="auto" w:w="0"/>
        <w:jc w:val="center"/>
        <w:tblLayout w:type="fixed"/>
        <w:tblLook w:firstColumn="1" w:firstRow="1" w:lastColumn="0" w:lastRow="0" w:noHBand="0" w:noVBand="1" w:val="04A0"/>
      </w:tblPr>
      <w:tblGrid>
        <w:gridCol w:w="792"/>
        <w:gridCol w:w="9000"/>
      </w:tblGrid>
      <w:tr>
        <w:tc>
          <w:tcPr>
            <w:tcW w:type="dxa" w:w="5083"/>
            <w:shd w:fill="EAF3FF"/>
            <w:tcMar>
              <w:top w:w="90" w:type="dxa"/>
              <w:start w:w="70" w:type="dxa"/>
              <w:bottom w:w="90" w:type="dxa"/>
              <w:end w:w="70" w:type="dxa"/>
            </w:tcMar>
          </w:tcPr>
          <w:p>
            <w:pPr>
              <w:keepNext w:val="0"/>
              <w:spacing w:before="0" w:after="0" w:line="240" w:lineRule="auto"/>
              <w:jc w:val="center"/>
            </w:pPr>
            <w:r>
              <w:rPr>
                <w:rFonts w:ascii="Arial" w:hAnsi="Arial"/>
                <w:b/>
                <w:color w:val="1473E6"/>
                <w:sz w:val="15"/>
              </w:rPr>
              <w:t>S03</w:t>
            </w:r>
          </w:p>
        </w:tc>
        <w:tc>
          <w:tcPr>
            <w:tcW w:type="dxa" w:w="5083"/>
            <w:shd w:fill="F8FAFC"/>
            <w:tcMar>
              <w:top w:w="90" w:type="dxa"/>
              <w:start w:w="110" w:type="dxa"/>
              <w:bottom w:w="90" w:type="dxa"/>
              <w:end w:w="110" w:type="dxa"/>
            </w:tcMar>
          </w:tcPr>
          <w:p>
            <w:pPr>
              <w:keepNext w:val="0"/>
              <w:spacing w:before="0" w:after="40" w:line="240" w:lineRule="auto"/>
            </w:pPr>
            <w:r>
              <w:rPr>
                <w:rFonts w:ascii="Arial" w:hAnsi="Arial"/>
                <w:b/>
                <w:color w:val="081827"/>
                <w:sz w:val="17"/>
              </w:rPr>
              <w:t>OpenAI Help Center — GPT-5.6 in ChatGPT</w:t>
            </w:r>
          </w:p>
          <w:p>
            <w:pPr>
              <w:keepNext w:val="0"/>
              <w:spacing w:before="0" w:after="40" w:line="240" w:lineRule="auto"/>
            </w:pPr>
            <w:r>
              <w:rPr>
                <w:rFonts w:ascii="Arial" w:hAnsi="Arial"/>
                <w:color w:val="1473E6"/>
                <w:sz w:val="14"/>
              </w:rPr>
              <w:t>https://help.openai.com/en/articles/20001354-gpt-56-in-chatgpt</w:t>
            </w:r>
          </w:p>
          <w:p>
            <w:pPr>
              <w:keepNext w:val="0"/>
              <w:spacing w:before="0" w:after="0" w:line="247" w:lineRule="auto"/>
            </w:pPr>
            <w:r>
              <w:rPr>
                <w:rFonts w:ascii="Arial" w:hAnsi="Arial"/>
                <w:color w:val="475467"/>
                <w:sz w:val="15"/>
              </w:rPr>
              <w:t>ChatGPT Medium, High, Extra High, and Pro behavior and plan/workspace dependence.</w:t>
            </w:r>
          </w:p>
        </w:tc>
      </w:tr>
    </w:tbl>
    <w:p>
      <w:pPr>
        <w:spacing w:after="20"/>
      </w:pPr>
    </w:p>
    <w:tbl>
      <w:tblPr>
        <w:tblW w:type="auto" w:w="0"/>
        <w:jc w:val="center"/>
        <w:tblLayout w:type="fixed"/>
        <w:tblLook w:firstColumn="1" w:firstRow="1" w:lastColumn="0" w:lastRow="0" w:noHBand="0" w:noVBand="1" w:val="04A0"/>
      </w:tblPr>
      <w:tblGrid>
        <w:gridCol w:w="792"/>
        <w:gridCol w:w="9000"/>
      </w:tblGrid>
      <w:tr>
        <w:tc>
          <w:tcPr>
            <w:tcW w:type="dxa" w:w="5083"/>
            <w:shd w:fill="EAF3FF"/>
            <w:tcMar>
              <w:top w:w="90" w:type="dxa"/>
              <w:start w:w="70" w:type="dxa"/>
              <w:bottom w:w="90" w:type="dxa"/>
              <w:end w:w="70" w:type="dxa"/>
            </w:tcMar>
          </w:tcPr>
          <w:p>
            <w:pPr>
              <w:keepNext w:val="0"/>
              <w:spacing w:before="0" w:after="0" w:line="240" w:lineRule="auto"/>
              <w:jc w:val="center"/>
            </w:pPr>
            <w:r>
              <w:rPr>
                <w:rFonts w:ascii="Arial" w:hAnsi="Arial"/>
                <w:b/>
                <w:color w:val="1473E6"/>
                <w:sz w:val="15"/>
              </w:rPr>
              <w:t>S04</w:t>
            </w:r>
          </w:p>
        </w:tc>
        <w:tc>
          <w:tcPr>
            <w:tcW w:type="dxa" w:w="5083"/>
            <w:shd w:fill="F8FAFC"/>
            <w:tcMar>
              <w:top w:w="90" w:type="dxa"/>
              <w:start w:w="110" w:type="dxa"/>
              <w:bottom w:w="90" w:type="dxa"/>
              <w:end w:w="110" w:type="dxa"/>
            </w:tcMar>
          </w:tcPr>
          <w:p>
            <w:pPr>
              <w:keepNext w:val="0"/>
              <w:spacing w:before="0" w:after="40" w:line="240" w:lineRule="auto"/>
            </w:pPr>
            <w:r>
              <w:rPr>
                <w:rFonts w:ascii="Arial" w:hAnsi="Arial"/>
                <w:b/>
                <w:color w:val="081827"/>
                <w:sz w:val="17"/>
              </w:rPr>
              <w:t>OpenAI Help Center — Skills in ChatGPT</w:t>
            </w:r>
          </w:p>
          <w:p>
            <w:pPr>
              <w:keepNext w:val="0"/>
              <w:spacing w:before="0" w:after="40" w:line="240" w:lineRule="auto"/>
            </w:pPr>
            <w:r>
              <w:rPr>
                <w:rFonts w:ascii="Arial" w:hAnsi="Arial"/>
                <w:color w:val="1473E6"/>
                <w:sz w:val="14"/>
              </w:rPr>
              <w:t>https://help.openai.com/en/articles/20001066-skills-in-chatgpt</w:t>
            </w:r>
          </w:p>
          <w:p>
            <w:pPr>
              <w:keepNext w:val="0"/>
              <w:spacing w:before="0" w:after="0" w:line="247" w:lineRule="auto"/>
            </w:pPr>
            <w:r>
              <w:rPr>
                <w:rFonts w:ascii="Arial" w:hAnsi="Arial"/>
                <w:color w:val="475467"/>
                <w:sz w:val="15"/>
              </w:rPr>
              <w:t>Skills as reusable workflows with instructions, examples, supporting resources, and code.</w:t>
            </w:r>
          </w:p>
        </w:tc>
      </w:tr>
    </w:tbl>
    <w:p>
      <w:pPr>
        <w:spacing w:after="20"/>
      </w:pPr>
    </w:p>
    <w:tbl>
      <w:tblPr>
        <w:tblW w:type="auto" w:w="0"/>
        <w:jc w:val="center"/>
        <w:tblLayout w:type="fixed"/>
        <w:tblLook w:firstColumn="1" w:firstRow="1" w:lastColumn="0" w:lastRow="0" w:noHBand="0" w:noVBand="1" w:val="04A0"/>
      </w:tblPr>
      <w:tblGrid>
        <w:gridCol w:w="792"/>
        <w:gridCol w:w="9000"/>
      </w:tblGrid>
      <w:tr>
        <w:tc>
          <w:tcPr>
            <w:tcW w:type="dxa" w:w="5083"/>
            <w:shd w:fill="EAF3FF"/>
            <w:tcMar>
              <w:top w:w="90" w:type="dxa"/>
              <w:start w:w="70" w:type="dxa"/>
              <w:bottom w:w="90" w:type="dxa"/>
              <w:end w:w="70" w:type="dxa"/>
            </w:tcMar>
          </w:tcPr>
          <w:p>
            <w:pPr>
              <w:keepNext w:val="0"/>
              <w:spacing w:before="0" w:after="0" w:line="240" w:lineRule="auto"/>
              <w:jc w:val="center"/>
            </w:pPr>
            <w:r>
              <w:rPr>
                <w:rFonts w:ascii="Arial" w:hAnsi="Arial"/>
                <w:b/>
                <w:color w:val="1473E6"/>
                <w:sz w:val="15"/>
              </w:rPr>
              <w:t>S07</w:t>
            </w:r>
          </w:p>
        </w:tc>
        <w:tc>
          <w:tcPr>
            <w:tcW w:type="dxa" w:w="5083"/>
            <w:shd w:fill="F8FAFC"/>
            <w:tcMar>
              <w:top w:w="90" w:type="dxa"/>
              <w:start w:w="110" w:type="dxa"/>
              <w:bottom w:w="90" w:type="dxa"/>
              <w:end w:w="110" w:type="dxa"/>
            </w:tcMar>
          </w:tcPr>
          <w:p>
            <w:pPr>
              <w:keepNext w:val="0"/>
              <w:spacing w:before="0" w:after="40" w:line="240" w:lineRule="auto"/>
            </w:pPr>
            <w:r>
              <w:rPr>
                <w:rFonts w:ascii="Arial" w:hAnsi="Arial"/>
                <w:b/>
                <w:color w:val="081827"/>
                <w:sz w:val="17"/>
              </w:rPr>
              <w:t>OpenAI Help Center — Plugins in ChatGPT and Codex</w:t>
            </w:r>
          </w:p>
          <w:p>
            <w:pPr>
              <w:keepNext w:val="0"/>
              <w:spacing w:before="0" w:after="40" w:line="240" w:lineRule="auto"/>
            </w:pPr>
            <w:r>
              <w:rPr>
                <w:rFonts w:ascii="Arial" w:hAnsi="Arial"/>
                <w:color w:val="1473E6"/>
                <w:sz w:val="14"/>
              </w:rPr>
              <w:t>https://help.openai.com/en/articles/20001256</w:t>
            </w:r>
          </w:p>
          <w:p>
            <w:pPr>
              <w:keepNext w:val="0"/>
              <w:spacing w:before="0" w:after="0" w:line="247" w:lineRule="auto"/>
            </w:pPr>
            <w:r>
              <w:rPr>
                <w:rFonts w:ascii="Arial" w:hAnsi="Arial"/>
                <w:color w:val="475467"/>
                <w:sz w:val="15"/>
              </w:rPr>
              <w:t>Plugins as packages of Skills, apps, and app templates; role/workspace dependencies.</w:t>
            </w:r>
          </w:p>
        </w:tc>
      </w:tr>
    </w:tbl>
    <w:p>
      <w:pPr>
        <w:spacing w:after="20"/>
      </w:pPr>
    </w:p>
    <w:tbl>
      <w:tblPr>
        <w:tblW w:type="auto" w:w="0"/>
        <w:jc w:val="center"/>
        <w:tblLayout w:type="fixed"/>
        <w:tblLook w:firstColumn="1" w:firstRow="1" w:lastColumn="0" w:lastRow="0" w:noHBand="0" w:noVBand="1" w:val="04A0"/>
      </w:tblPr>
      <w:tblGrid>
        <w:gridCol w:w="792"/>
        <w:gridCol w:w="9000"/>
      </w:tblGrid>
      <w:tr>
        <w:tc>
          <w:tcPr>
            <w:tcW w:type="dxa" w:w="5083"/>
            <w:shd w:fill="EAF3FF"/>
            <w:tcMar>
              <w:top w:w="90" w:type="dxa"/>
              <w:start w:w="70" w:type="dxa"/>
              <w:bottom w:w="90" w:type="dxa"/>
              <w:end w:w="70" w:type="dxa"/>
            </w:tcMar>
          </w:tcPr>
          <w:p>
            <w:pPr>
              <w:keepNext w:val="0"/>
              <w:spacing w:before="0" w:after="0" w:line="240" w:lineRule="auto"/>
              <w:jc w:val="center"/>
            </w:pPr>
            <w:r>
              <w:rPr>
                <w:rFonts w:ascii="Arial" w:hAnsi="Arial"/>
                <w:b/>
                <w:color w:val="1473E6"/>
                <w:sz w:val="15"/>
              </w:rPr>
              <w:t>S08</w:t>
            </w:r>
          </w:p>
        </w:tc>
        <w:tc>
          <w:tcPr>
            <w:tcW w:type="dxa" w:w="5083"/>
            <w:shd w:fill="F8FAFC"/>
            <w:tcMar>
              <w:top w:w="90" w:type="dxa"/>
              <w:start w:w="110" w:type="dxa"/>
              <w:bottom w:w="90" w:type="dxa"/>
              <w:end w:w="110" w:type="dxa"/>
            </w:tcMar>
          </w:tcPr>
          <w:p>
            <w:pPr>
              <w:keepNext w:val="0"/>
              <w:spacing w:before="0" w:after="40" w:line="240" w:lineRule="auto"/>
            </w:pPr>
            <w:r>
              <w:rPr>
                <w:rFonts w:ascii="Arial" w:hAnsi="Arial"/>
                <w:b/>
                <w:color w:val="081827"/>
                <w:sz w:val="17"/>
              </w:rPr>
              <w:t>OpenAI Help Center — Apps in ChatGPT</w:t>
            </w:r>
          </w:p>
          <w:p>
            <w:pPr>
              <w:keepNext w:val="0"/>
              <w:spacing w:before="0" w:after="40" w:line="240" w:lineRule="auto"/>
            </w:pPr>
            <w:r>
              <w:rPr>
                <w:rFonts w:ascii="Arial" w:hAnsi="Arial"/>
                <w:color w:val="1473E6"/>
                <w:sz w:val="14"/>
              </w:rPr>
              <w:t>https://help.openai.com/en/articles/11487775</w:t>
            </w:r>
          </w:p>
          <w:p>
            <w:pPr>
              <w:keepNext w:val="0"/>
              <w:spacing w:before="0" w:after="0" w:line="247" w:lineRule="auto"/>
            </w:pPr>
            <w:r>
              <w:rPr>
                <w:rFonts w:ascii="Arial" w:hAnsi="Arial"/>
                <w:color w:val="475467"/>
                <w:sz w:val="15"/>
              </w:rPr>
              <w:t>Connected data/actions, app permissions, approval controls, and source-system access limits.</w:t>
            </w:r>
          </w:p>
        </w:tc>
      </w:tr>
    </w:tbl>
    <w:p>
      <w:pPr>
        <w:spacing w:after="20"/>
      </w:pPr>
    </w:p>
    <w:tbl>
      <w:tblPr>
        <w:tblW w:type="auto" w:w="0"/>
        <w:jc w:val="center"/>
        <w:tblLayout w:type="fixed"/>
        <w:tblLook w:firstColumn="1" w:firstRow="1" w:lastColumn="0" w:lastRow="0" w:noHBand="0" w:noVBand="1" w:val="04A0"/>
      </w:tblPr>
      <w:tblGrid>
        <w:gridCol w:w="115"/>
        <w:gridCol w:w="9792"/>
      </w:tblGrid>
      <w:tr>
        <w:tc>
          <w:tcPr>
            <w:tcW w:type="dxa" w:w="5083"/>
            <w:shd w:fill="B96800"/>
            <w:tcMar>
              <w:top w:w="60" w:type="dxa"/>
              <w:start w:w="0" w:type="dxa"/>
              <w:bottom w:w="60" w:type="dxa"/>
              <w:end w:w="0" w:type="dxa"/>
            </w:tcMar>
            <w:vAlign w:val="center"/>
          </w:tcPr>
          <w:p/>
        </w:tc>
        <w:tc>
          <w:tcPr>
            <w:tcW w:type="dxa" w:w="5083"/>
            <w:shd w:fill="FFF4DF"/>
            <w:tcMar>
              <w:top w:w="110" w:type="dxa"/>
              <w:start w:w="150" w:type="dxa"/>
              <w:bottom w:w="110" w:type="dxa"/>
              <w:end w:w="150" w:type="dxa"/>
            </w:tcMar>
          </w:tcPr>
          <w:p>
            <w:pPr>
              <w:keepNext/>
              <w:spacing w:before="0" w:after="40" w:line="240" w:lineRule="auto"/>
            </w:pPr>
            <w:r>
              <w:rPr>
                <w:rFonts w:ascii="Arial" w:hAnsi="Arial"/>
                <w:b/>
                <w:color w:val="B96800"/>
                <w:sz w:val="14"/>
              </w:rPr>
              <w:t>SOURCE DATE</w:t>
            </w:r>
          </w:p>
          <w:p>
            <w:pPr>
              <w:keepNext w:val="0"/>
              <w:spacing w:before="0" w:after="0" w:line="259" w:lineRule="auto"/>
            </w:pPr>
            <w:r>
              <w:rPr>
                <w:rFonts w:ascii="Arial" w:hAnsi="Arial"/>
                <w:color w:val="17202A"/>
                <w:sz w:val="18"/>
              </w:rPr>
              <w:t>Source register verified July 26, 2026. Product availability, limits, beta status, and policy language are volatile and must be rechecked before final publication.</w:t>
            </w:r>
          </w:p>
        </w:tc>
      </w:tr>
    </w:tbl>
    <w:p>
      <w:pPr>
        <w:spacing w:after="20"/>
      </w:pPr>
    </w:p>
    <w:p>
      <w:r>
        <w:br w:type="page"/>
      </w:r>
    </w:p>
    <w:p>
      <w:pPr>
        <w:keepNext/>
        <w:spacing w:before="0" w:after="40" w:line="259" w:lineRule="auto"/>
      </w:pPr>
      <w:r>
        <w:rPr>
          <w:rFonts w:ascii="Arial" w:hAnsi="Arial"/>
          <w:b/>
          <w:i w:val="0"/>
          <w:color w:val="1473E6"/>
          <w:sz w:val="14"/>
        </w:rPr>
        <w:t>SOURCES</w:t>
      </w:r>
    </w:p>
    <w:p>
      <w:pPr>
        <w:keepNext/>
        <w:spacing w:before="0" w:after="80" w:line="240" w:lineRule="auto"/>
      </w:pPr>
      <w:r>
        <w:rPr>
          <w:rFonts w:ascii="Arial" w:hAnsi="Arial"/>
          <w:b/>
          <w:color w:val="1473E6"/>
          <w:sz w:val="31"/>
        </w:rPr>
        <w:t xml:space="preserve">B  </w:t>
      </w:r>
      <w:r>
        <w:rPr>
          <w:rFonts w:ascii="Arial" w:hAnsi="Arial"/>
          <w:b/>
          <w:color w:val="081827"/>
          <w:sz w:val="31"/>
        </w:rPr>
        <w:t>Official source register — cybersecurity and governance</w:t>
      </w:r>
    </w:p>
    <w:p>
      <w:pPr>
        <w:keepNext w:val="0"/>
        <w:spacing w:before="0" w:after="100" w:line="240" w:lineRule="auto"/>
        <w:pBdr>
          <w:bottom w:val="single" w:sz="6" w:space="1" w:color="E4E7EC"/>
        </w:pBdr>
      </w:pPr>
    </w:p>
    <w:tbl>
      <w:tblPr>
        <w:tblW w:type="auto" w:w="0"/>
        <w:jc w:val="center"/>
        <w:tblLayout w:type="fixed"/>
        <w:tblLook w:firstColumn="1" w:firstRow="1" w:lastColumn="0" w:lastRow="0" w:noHBand="0" w:noVBand="1" w:val="04A0"/>
      </w:tblPr>
      <w:tblGrid>
        <w:gridCol w:w="792"/>
        <w:gridCol w:w="9000"/>
      </w:tblGrid>
      <w:tr>
        <w:tc>
          <w:tcPr>
            <w:tcW w:type="dxa" w:w="5083"/>
            <w:shd w:fill="E9F7F7"/>
            <w:tcMar>
              <w:top w:w="90" w:type="dxa"/>
              <w:start w:w="70" w:type="dxa"/>
              <w:bottom w:w="90" w:type="dxa"/>
              <w:end w:w="70" w:type="dxa"/>
            </w:tcMar>
          </w:tcPr>
          <w:p>
            <w:pPr>
              <w:keepNext w:val="0"/>
              <w:spacing w:before="0" w:after="0" w:line="240" w:lineRule="auto"/>
              <w:jc w:val="center"/>
            </w:pPr>
            <w:r>
              <w:rPr>
                <w:rFonts w:ascii="Arial" w:hAnsi="Arial"/>
                <w:b/>
                <w:color w:val="007C83"/>
                <w:sz w:val="15"/>
              </w:rPr>
              <w:t>S05</w:t>
            </w:r>
          </w:p>
        </w:tc>
        <w:tc>
          <w:tcPr>
            <w:tcW w:type="dxa" w:w="5083"/>
            <w:shd w:fill="F8FAFC"/>
            <w:tcMar>
              <w:top w:w="90" w:type="dxa"/>
              <w:start w:w="110" w:type="dxa"/>
              <w:bottom w:w="90" w:type="dxa"/>
              <w:end w:w="110" w:type="dxa"/>
            </w:tcMar>
          </w:tcPr>
          <w:p>
            <w:pPr>
              <w:keepNext w:val="0"/>
              <w:spacing w:before="0" w:after="40" w:line="240" w:lineRule="auto"/>
            </w:pPr>
            <w:r>
              <w:rPr>
                <w:rFonts w:ascii="Arial" w:hAnsi="Arial"/>
                <w:b/>
                <w:color w:val="081827"/>
                <w:sz w:val="17"/>
              </w:rPr>
              <w:t>OpenAI Deployment Safety Hub — GPT-5.6 System Card</w:t>
            </w:r>
          </w:p>
          <w:p>
            <w:pPr>
              <w:keepNext w:val="0"/>
              <w:spacing w:before="0" w:after="40" w:line="240" w:lineRule="auto"/>
            </w:pPr>
            <w:r>
              <w:rPr>
                <w:rFonts w:ascii="Arial" w:hAnsi="Arial"/>
                <w:color w:val="1473E6"/>
                <w:sz w:val="14"/>
              </w:rPr>
              <w:t>https://deploymentsafety.openai.com/gpt-5-6</w:t>
            </w:r>
          </w:p>
          <w:p>
            <w:pPr>
              <w:keepNext w:val="0"/>
              <w:spacing w:before="0" w:after="0" w:line="247" w:lineRule="auto"/>
            </w:pPr>
            <w:r>
              <w:rPr>
                <w:rFonts w:ascii="Arial" w:hAnsi="Arial"/>
                <w:color w:val="475467"/>
                <w:sz w:val="15"/>
              </w:rPr>
              <w:t>Preparedness classification, cyber capability findings, safeguards, allowed defensive uses, and restricted harmful uses.</w:t>
            </w:r>
          </w:p>
        </w:tc>
      </w:tr>
    </w:tbl>
    <w:p>
      <w:pPr>
        <w:spacing w:after="20"/>
      </w:pPr>
    </w:p>
    <w:tbl>
      <w:tblPr>
        <w:tblW w:type="auto" w:w="0"/>
        <w:jc w:val="center"/>
        <w:tblLayout w:type="fixed"/>
        <w:tblLook w:firstColumn="1" w:firstRow="1" w:lastColumn="0" w:lastRow="0" w:noHBand="0" w:noVBand="1" w:val="04A0"/>
      </w:tblPr>
      <w:tblGrid>
        <w:gridCol w:w="792"/>
        <w:gridCol w:w="9000"/>
      </w:tblGrid>
      <w:tr>
        <w:tc>
          <w:tcPr>
            <w:tcW w:type="dxa" w:w="5083"/>
            <w:shd w:fill="E9F7F7"/>
            <w:tcMar>
              <w:top w:w="90" w:type="dxa"/>
              <w:start w:w="70" w:type="dxa"/>
              <w:bottom w:w="90" w:type="dxa"/>
              <w:end w:w="70" w:type="dxa"/>
            </w:tcMar>
          </w:tcPr>
          <w:p>
            <w:pPr>
              <w:keepNext w:val="0"/>
              <w:spacing w:before="0" w:after="0" w:line="240" w:lineRule="auto"/>
              <w:jc w:val="center"/>
            </w:pPr>
            <w:r>
              <w:rPr>
                <w:rFonts w:ascii="Arial" w:hAnsi="Arial"/>
                <w:b/>
                <w:color w:val="007C83"/>
                <w:sz w:val="15"/>
              </w:rPr>
              <w:t>S06</w:t>
            </w:r>
          </w:p>
        </w:tc>
        <w:tc>
          <w:tcPr>
            <w:tcW w:type="dxa" w:w="5083"/>
            <w:shd w:fill="F8FAFC"/>
            <w:tcMar>
              <w:top w:w="90" w:type="dxa"/>
              <w:start w:w="110" w:type="dxa"/>
              <w:bottom w:w="90" w:type="dxa"/>
              <w:end w:w="110" w:type="dxa"/>
            </w:tcMar>
          </w:tcPr>
          <w:p>
            <w:pPr>
              <w:keepNext w:val="0"/>
              <w:spacing w:before="0" w:after="40" w:line="240" w:lineRule="auto"/>
            </w:pPr>
            <w:r>
              <w:rPr>
                <w:rFonts w:ascii="Arial" w:hAnsi="Arial"/>
                <w:b/>
                <w:color w:val="081827"/>
                <w:sz w:val="17"/>
              </w:rPr>
              <w:t>OpenAI Help Center — Trusted Access for Cyber overview</w:t>
            </w:r>
          </w:p>
          <w:p>
            <w:pPr>
              <w:keepNext w:val="0"/>
              <w:spacing w:before="0" w:after="40" w:line="240" w:lineRule="auto"/>
            </w:pPr>
            <w:r>
              <w:rPr>
                <w:rFonts w:ascii="Arial" w:hAnsi="Arial"/>
                <w:color w:val="1473E6"/>
                <w:sz w:val="14"/>
              </w:rPr>
              <w:t>https://help.openai.com/en/articles/20001258-openai-daybreak-trusted-access-for-cyber-overview</w:t>
            </w:r>
          </w:p>
          <w:p>
            <w:pPr>
              <w:keepNext w:val="0"/>
              <w:spacing w:before="0" w:after="0" w:line="247" w:lineRule="auto"/>
            </w:pPr>
            <w:r>
              <w:rPr>
                <w:rFonts w:ascii="Arial" w:hAnsi="Arial"/>
                <w:color w:val="475467"/>
                <w:sz w:val="15"/>
              </w:rPr>
              <w:t>Authorized defensive scope, eligibility, governance, and continuing policy/access requirements.</w:t>
            </w:r>
          </w:p>
        </w:tc>
      </w:tr>
    </w:tbl>
    <w:p>
      <w:pPr>
        <w:spacing w:after="20"/>
      </w:pPr>
    </w:p>
    <w:tbl>
      <w:tblPr>
        <w:tblW w:type="auto" w:w="0"/>
        <w:jc w:val="center"/>
        <w:tblLayout w:type="fixed"/>
        <w:tblLook w:firstColumn="1" w:firstRow="1" w:lastColumn="0" w:lastRow="0" w:noHBand="0" w:noVBand="1" w:val="04A0"/>
      </w:tblPr>
      <w:tblGrid>
        <w:gridCol w:w="792"/>
        <w:gridCol w:w="9000"/>
      </w:tblGrid>
      <w:tr>
        <w:tc>
          <w:tcPr>
            <w:tcW w:type="dxa" w:w="5083"/>
            <w:shd w:fill="E9F7F7"/>
            <w:tcMar>
              <w:top w:w="90" w:type="dxa"/>
              <w:start w:w="70" w:type="dxa"/>
              <w:bottom w:w="90" w:type="dxa"/>
              <w:end w:w="70" w:type="dxa"/>
            </w:tcMar>
          </w:tcPr>
          <w:p>
            <w:pPr>
              <w:keepNext w:val="0"/>
              <w:spacing w:before="0" w:after="0" w:line="240" w:lineRule="auto"/>
              <w:jc w:val="center"/>
            </w:pPr>
            <w:r>
              <w:rPr>
                <w:rFonts w:ascii="Arial" w:hAnsi="Arial"/>
                <w:b/>
                <w:color w:val="007C83"/>
                <w:sz w:val="15"/>
              </w:rPr>
              <w:t>S09</w:t>
            </w:r>
          </w:p>
        </w:tc>
        <w:tc>
          <w:tcPr>
            <w:tcW w:type="dxa" w:w="5083"/>
            <w:shd w:fill="F8FAFC"/>
            <w:tcMar>
              <w:top w:w="90" w:type="dxa"/>
              <w:start w:w="110" w:type="dxa"/>
              <w:bottom w:w="90" w:type="dxa"/>
              <w:end w:w="110" w:type="dxa"/>
            </w:tcMar>
          </w:tcPr>
          <w:p>
            <w:pPr>
              <w:keepNext w:val="0"/>
              <w:spacing w:before="0" w:after="40" w:line="240" w:lineRule="auto"/>
            </w:pPr>
            <w:r>
              <w:rPr>
                <w:rFonts w:ascii="Arial" w:hAnsi="Arial"/>
                <w:b/>
                <w:color w:val="081827"/>
                <w:sz w:val="17"/>
              </w:rPr>
              <w:t>OpenAI Help Center — Admin controls, security, and compliance for plugins and apps</w:t>
            </w:r>
          </w:p>
          <w:p>
            <w:pPr>
              <w:keepNext w:val="0"/>
              <w:spacing w:before="0" w:after="40" w:line="240" w:lineRule="auto"/>
            </w:pPr>
            <w:r>
              <w:rPr>
                <w:rFonts w:ascii="Arial" w:hAnsi="Arial"/>
                <w:color w:val="1473E6"/>
                <w:sz w:val="14"/>
              </w:rPr>
              <w:t>https://help.openai.com/en/articles/11509118-admin-controls-security-and-compliance-for-plugins-and-apps</w:t>
            </w:r>
          </w:p>
          <w:p>
            <w:pPr>
              <w:keepNext w:val="0"/>
              <w:spacing w:before="0" w:after="0" w:line="247" w:lineRule="auto"/>
            </w:pPr>
            <w:r>
              <w:rPr>
                <w:rFonts w:ascii="Arial" w:hAnsi="Arial"/>
                <w:color w:val="475467"/>
                <w:sz w:val="15"/>
              </w:rPr>
              <w:t>Workspace roles, app access, action controls, and administrative permissions.</w:t>
            </w:r>
          </w:p>
        </w:tc>
      </w:tr>
    </w:tbl>
    <w:p>
      <w:pPr>
        <w:spacing w:after="20"/>
      </w:pPr>
    </w:p>
    <w:tbl>
      <w:tblPr>
        <w:tblW w:type="auto" w:w="0"/>
        <w:jc w:val="center"/>
        <w:tblLayout w:type="fixed"/>
        <w:tblLook w:firstColumn="1" w:firstRow="1" w:lastColumn="0" w:lastRow="0" w:noHBand="0" w:noVBand="1" w:val="04A0"/>
      </w:tblPr>
      <w:tblGrid>
        <w:gridCol w:w="792"/>
        <w:gridCol w:w="9000"/>
      </w:tblGrid>
      <w:tr>
        <w:tc>
          <w:tcPr>
            <w:tcW w:type="dxa" w:w="5083"/>
            <w:shd w:fill="E9F7F7"/>
            <w:tcMar>
              <w:top w:w="90" w:type="dxa"/>
              <w:start w:w="70" w:type="dxa"/>
              <w:bottom w:w="90" w:type="dxa"/>
              <w:end w:w="70" w:type="dxa"/>
            </w:tcMar>
          </w:tcPr>
          <w:p>
            <w:pPr>
              <w:keepNext w:val="0"/>
              <w:spacing w:before="0" w:after="0" w:line="240" w:lineRule="auto"/>
              <w:jc w:val="center"/>
            </w:pPr>
            <w:r>
              <w:rPr>
                <w:rFonts w:ascii="Arial" w:hAnsi="Arial"/>
                <w:b/>
                <w:color w:val="007C83"/>
                <w:sz w:val="15"/>
              </w:rPr>
              <w:t>S10</w:t>
            </w:r>
          </w:p>
        </w:tc>
        <w:tc>
          <w:tcPr>
            <w:tcW w:type="dxa" w:w="5083"/>
            <w:shd w:fill="F8FAFC"/>
            <w:tcMar>
              <w:top w:w="90" w:type="dxa"/>
              <w:start w:w="110" w:type="dxa"/>
              <w:bottom w:w="90" w:type="dxa"/>
              <w:end w:w="110" w:type="dxa"/>
            </w:tcMar>
          </w:tcPr>
          <w:p>
            <w:pPr>
              <w:keepNext w:val="0"/>
              <w:spacing w:before="0" w:after="40" w:line="240" w:lineRule="auto"/>
            </w:pPr>
            <w:r>
              <w:rPr>
                <w:rFonts w:ascii="Arial" w:hAnsi="Arial"/>
                <w:b/>
                <w:color w:val="081827"/>
                <w:sz w:val="17"/>
              </w:rPr>
              <w:t>OpenAI Help Center — Additional safety checks for biological and cybersecurity requests</w:t>
            </w:r>
          </w:p>
          <w:p>
            <w:pPr>
              <w:keepNext w:val="0"/>
              <w:spacing w:before="0" w:after="40" w:line="240" w:lineRule="auto"/>
            </w:pPr>
            <w:r>
              <w:rPr>
                <w:rFonts w:ascii="Arial" w:hAnsi="Arial"/>
                <w:color w:val="1473E6"/>
                <w:sz w:val="14"/>
              </w:rPr>
              <w:t>https://help.openai.com/en/articles/20001326-additional-safety-checks-for-biological-and-cybersecurity-requests-in-chatgpt-codex-and-the-api</w:t>
            </w:r>
          </w:p>
          <w:p>
            <w:pPr>
              <w:keepNext w:val="0"/>
              <w:spacing w:before="0" w:after="0" w:line="247" w:lineRule="auto"/>
            </w:pPr>
            <w:r>
              <w:rPr>
                <w:rFonts w:ascii="Arial" w:hAnsi="Arial"/>
                <w:color w:val="475467"/>
                <w:sz w:val="15"/>
              </w:rPr>
              <w:t>Additional automated checks, possible delay/blocking, and interpretation.</w:t>
            </w:r>
          </w:p>
        </w:tc>
      </w:tr>
    </w:tbl>
    <w:p>
      <w:pPr>
        <w:spacing w:after="20"/>
      </w:pPr>
    </w:p>
    <w:tbl>
      <w:tblPr>
        <w:tblW w:type="auto" w:w="0"/>
        <w:jc w:val="center"/>
        <w:tblLayout w:type="fixed"/>
        <w:tblLook w:firstColumn="1" w:firstRow="1" w:lastColumn="0" w:lastRow="0" w:noHBand="0" w:noVBand="1" w:val="04A0"/>
      </w:tblPr>
      <w:tblGrid>
        <w:gridCol w:w="792"/>
        <w:gridCol w:w="9000"/>
      </w:tblGrid>
      <w:tr>
        <w:tc>
          <w:tcPr>
            <w:tcW w:type="dxa" w:w="5083"/>
            <w:shd w:fill="E9F7F7"/>
            <w:tcMar>
              <w:top w:w="90" w:type="dxa"/>
              <w:start w:w="70" w:type="dxa"/>
              <w:bottom w:w="90" w:type="dxa"/>
              <w:end w:w="70" w:type="dxa"/>
            </w:tcMar>
          </w:tcPr>
          <w:p>
            <w:pPr>
              <w:keepNext w:val="0"/>
              <w:spacing w:before="0" w:after="0" w:line="240" w:lineRule="auto"/>
              <w:jc w:val="center"/>
            </w:pPr>
            <w:r>
              <w:rPr>
                <w:rFonts w:ascii="Arial" w:hAnsi="Arial"/>
                <w:b/>
                <w:color w:val="007C83"/>
                <w:sz w:val="15"/>
              </w:rPr>
              <w:t>S11</w:t>
            </w:r>
          </w:p>
        </w:tc>
        <w:tc>
          <w:tcPr>
            <w:tcW w:type="dxa" w:w="5083"/>
            <w:shd w:fill="F8FAFC"/>
            <w:tcMar>
              <w:top w:w="90" w:type="dxa"/>
              <w:start w:w="110" w:type="dxa"/>
              <w:bottom w:w="90" w:type="dxa"/>
              <w:end w:w="110" w:type="dxa"/>
            </w:tcMar>
          </w:tcPr>
          <w:p>
            <w:pPr>
              <w:keepNext w:val="0"/>
              <w:spacing w:before="0" w:after="40" w:line="240" w:lineRule="auto"/>
            </w:pPr>
            <w:r>
              <w:rPr>
                <w:rFonts w:ascii="Arial" w:hAnsi="Arial"/>
                <w:b/>
                <w:color w:val="081827"/>
                <w:sz w:val="17"/>
              </w:rPr>
              <w:t>OpenAI — Cybersecurity in the Intelligence Age</w:t>
            </w:r>
          </w:p>
          <w:p>
            <w:pPr>
              <w:keepNext w:val="0"/>
              <w:spacing w:before="0" w:after="40" w:line="240" w:lineRule="auto"/>
            </w:pPr>
            <w:r>
              <w:rPr>
                <w:rFonts w:ascii="Arial" w:hAnsi="Arial"/>
                <w:color w:val="1473E6"/>
                <w:sz w:val="14"/>
              </w:rPr>
              <w:t>https://openai.com/index/cybersecurity-in-the-intelligence-age/</w:t>
            </w:r>
          </w:p>
          <w:p>
            <w:pPr>
              <w:keepNext w:val="0"/>
              <w:spacing w:before="0" w:after="0" w:line="247" w:lineRule="auto"/>
            </w:pPr>
            <w:r>
              <w:rPr>
                <w:rFonts w:ascii="Arial" w:hAnsi="Arial"/>
                <w:color w:val="475467"/>
                <w:sz w:val="15"/>
              </w:rPr>
              <w:t>Defensive-access strategy, resilience, visibility, control, and responsible capability expansion.</w:t>
            </w:r>
          </w:p>
        </w:tc>
      </w:tr>
    </w:tbl>
    <w:p>
      <w:pPr>
        <w:spacing w:after="20"/>
      </w:pPr>
    </w:p>
    <w:tbl>
      <w:tblPr>
        <w:tblW w:type="auto" w:w="0"/>
        <w:jc w:val="center"/>
        <w:tblLayout w:type="fixed"/>
        <w:tblLook w:firstColumn="1" w:firstRow="1" w:lastColumn="0" w:lastRow="0" w:noHBand="0" w:noVBand="1" w:val="04A0"/>
      </w:tblPr>
      <w:tblGrid>
        <w:gridCol w:w="792"/>
        <w:gridCol w:w="9000"/>
      </w:tblGrid>
      <w:tr>
        <w:tc>
          <w:tcPr>
            <w:tcW w:type="dxa" w:w="5083"/>
            <w:shd w:fill="E9F7F7"/>
            <w:tcMar>
              <w:top w:w="90" w:type="dxa"/>
              <w:start w:w="70" w:type="dxa"/>
              <w:bottom w:w="90" w:type="dxa"/>
              <w:end w:w="70" w:type="dxa"/>
            </w:tcMar>
          </w:tcPr>
          <w:p>
            <w:pPr>
              <w:keepNext w:val="0"/>
              <w:spacing w:before="0" w:after="0" w:line="240" w:lineRule="auto"/>
              <w:jc w:val="center"/>
            </w:pPr>
            <w:r>
              <w:rPr>
                <w:rFonts w:ascii="Arial" w:hAnsi="Arial"/>
                <w:b/>
                <w:color w:val="007C83"/>
                <w:sz w:val="15"/>
              </w:rPr>
              <w:t>S12</w:t>
            </w:r>
          </w:p>
        </w:tc>
        <w:tc>
          <w:tcPr>
            <w:tcW w:type="dxa" w:w="5083"/>
            <w:shd w:fill="F8FAFC"/>
            <w:tcMar>
              <w:top w:w="90" w:type="dxa"/>
              <w:start w:w="110" w:type="dxa"/>
              <w:bottom w:w="90" w:type="dxa"/>
              <w:end w:w="110" w:type="dxa"/>
            </w:tcMar>
          </w:tcPr>
          <w:p>
            <w:pPr>
              <w:keepNext w:val="0"/>
              <w:spacing w:before="0" w:after="40" w:line="240" w:lineRule="auto"/>
            </w:pPr>
            <w:r>
              <w:rPr>
                <w:rFonts w:ascii="Arial" w:hAnsi="Arial"/>
                <w:b/>
                <w:color w:val="081827"/>
                <w:sz w:val="17"/>
              </w:rPr>
              <w:t>OpenAI — Terms and policies index</w:t>
            </w:r>
          </w:p>
          <w:p>
            <w:pPr>
              <w:keepNext w:val="0"/>
              <w:spacing w:before="0" w:after="40" w:line="240" w:lineRule="auto"/>
            </w:pPr>
            <w:r>
              <w:rPr>
                <w:rFonts w:ascii="Arial" w:hAnsi="Arial"/>
                <w:color w:val="1473E6"/>
                <w:sz w:val="14"/>
              </w:rPr>
              <w:t>https://openai.com/policies/</w:t>
            </w:r>
          </w:p>
          <w:p>
            <w:pPr>
              <w:keepNext w:val="0"/>
              <w:spacing w:before="0" w:after="0" w:line="247" w:lineRule="auto"/>
            </w:pPr>
            <w:r>
              <w:rPr>
                <w:rFonts w:ascii="Arial" w:hAnsi="Arial"/>
                <w:color w:val="475467"/>
                <w:sz w:val="15"/>
              </w:rPr>
              <w:t>Current entry point for Usage Policies and governing terms.</w:t>
            </w:r>
          </w:p>
        </w:tc>
      </w:tr>
    </w:tbl>
    <w:p>
      <w:pPr>
        <w:spacing w:after="20"/>
      </w:pPr>
    </w:p>
    <w:p>
      <w:pPr>
        <w:keepNext/>
        <w:spacing w:before="100" w:after="60" w:line="240" w:lineRule="auto"/>
      </w:pPr>
      <w:r>
        <w:rPr>
          <w:rFonts w:ascii="Arial" w:hAnsi="Arial"/>
          <w:b/>
          <w:color w:val="081827"/>
          <w:sz w:val="21"/>
        </w:rPr>
        <w:t>Publication maintenance protocol</w:t>
      </w:r>
    </w:p>
    <w:p>
      <w:pPr>
        <w:keepNext w:val="0"/>
        <w:spacing w:before="0" w:after="60" w:line="254" w:lineRule="auto"/>
        <w:ind w:left="259" w:hanging="259"/>
      </w:pPr>
      <w:r>
        <w:rPr>
          <w:rFonts w:ascii="Arial" w:hAnsi="Arial"/>
          <w:b/>
          <w:color w:val="1473E6"/>
          <w:sz w:val="17"/>
        </w:rPr>
        <w:t xml:space="preserve">1. </w:t>
      </w:r>
      <w:r>
        <w:rPr>
          <w:rFonts w:ascii="Arial" w:hAnsi="Arial"/>
          <w:color w:val="17202A"/>
          <w:sz w:val="17"/>
        </w:rPr>
        <w:t>Recheck model guidance, ChatGPT model availability, Skills/plugins/apps documentation, system card, Trusted Access, additional safety checks, and Usage Policies.</w:t>
      </w:r>
    </w:p>
    <w:p>
      <w:pPr>
        <w:keepNext w:val="0"/>
        <w:spacing w:before="0" w:after="60" w:line="254" w:lineRule="auto"/>
        <w:ind w:left="259" w:hanging="259"/>
      </w:pPr>
      <w:r>
        <w:rPr>
          <w:rFonts w:ascii="Arial" w:hAnsi="Arial"/>
          <w:b/>
          <w:color w:val="1473E6"/>
          <w:sz w:val="17"/>
        </w:rPr>
        <w:t xml:space="preserve">2. </w:t>
      </w:r>
      <w:r>
        <w:rPr>
          <w:rFonts w:ascii="Arial" w:hAnsi="Arial"/>
          <w:color w:val="17202A"/>
          <w:sz w:val="17"/>
        </w:rPr>
        <w:t>Record access date and update any volatile model, plan, beta, price, permission, or policy statements.</w:t>
      </w:r>
    </w:p>
    <w:p>
      <w:pPr>
        <w:keepNext w:val="0"/>
        <w:spacing w:before="0" w:after="60" w:line="254" w:lineRule="auto"/>
        <w:ind w:left="259" w:hanging="259"/>
      </w:pPr>
      <w:r>
        <w:rPr>
          <w:rFonts w:ascii="Arial" w:hAnsi="Arial"/>
          <w:b/>
          <w:color w:val="1473E6"/>
          <w:sz w:val="17"/>
        </w:rPr>
        <w:t xml:space="preserve">3. </w:t>
      </w:r>
      <w:r>
        <w:rPr>
          <w:rFonts w:ascii="Arial" w:hAnsi="Arial"/>
          <w:color w:val="17202A"/>
          <w:sz w:val="17"/>
        </w:rPr>
        <w:t>Re-run representative prompt evaluations when model, prompt, Skill, tool, or source behavior changes.</w:t>
      </w:r>
    </w:p>
    <w:p>
      <w:pPr>
        <w:keepNext w:val="0"/>
        <w:spacing w:before="0" w:after="60" w:line="254" w:lineRule="auto"/>
        <w:ind w:left="259" w:hanging="259"/>
      </w:pPr>
      <w:r>
        <w:rPr>
          <w:rFonts w:ascii="Arial" w:hAnsi="Arial"/>
          <w:b/>
          <w:color w:val="1473E6"/>
          <w:sz w:val="17"/>
        </w:rPr>
        <w:t xml:space="preserve">4. </w:t>
      </w:r>
      <w:r>
        <w:rPr>
          <w:rFonts w:ascii="Arial" w:hAnsi="Arial"/>
          <w:color w:val="17202A"/>
          <w:sz w:val="17"/>
        </w:rPr>
        <w:t>Preserve historical versions of this control document so downstream prompt changes remain traceable.</w:t>
      </w:r>
    </w:p>
    <w:tbl>
      <w:tblPr>
        <w:tblW w:type="auto" w:w="0"/>
        <w:jc w:val="center"/>
        <w:tblLayout w:type="fixed"/>
        <w:tblLook w:firstColumn="1" w:firstRow="1" w:lastColumn="0" w:lastRow="0" w:noHBand="0" w:noVBand="1" w:val="04A0"/>
      </w:tblPr>
      <w:tblGrid>
        <w:gridCol w:w="115"/>
        <w:gridCol w:w="9792"/>
      </w:tblGrid>
      <w:tr>
        <w:tc>
          <w:tcPr>
            <w:tcW w:type="dxa" w:w="5083"/>
            <w:shd w:fill="14833B"/>
            <w:tcMar>
              <w:top w:w="60" w:type="dxa"/>
              <w:start w:w="0" w:type="dxa"/>
              <w:bottom w:w="60" w:type="dxa"/>
              <w:end w:w="0" w:type="dxa"/>
            </w:tcMar>
            <w:vAlign w:val="center"/>
          </w:tcPr>
          <w:p/>
        </w:tc>
        <w:tc>
          <w:tcPr>
            <w:tcW w:type="dxa" w:w="5083"/>
            <w:shd w:fill="EAF8EF"/>
            <w:tcMar>
              <w:top w:w="110" w:type="dxa"/>
              <w:start w:w="150" w:type="dxa"/>
              <w:bottom w:w="110" w:type="dxa"/>
              <w:end w:w="150" w:type="dxa"/>
            </w:tcMar>
          </w:tcPr>
          <w:p>
            <w:pPr>
              <w:keepNext/>
              <w:spacing w:before="0" w:after="40" w:line="240" w:lineRule="auto"/>
            </w:pPr>
            <w:r>
              <w:rPr>
                <w:rFonts w:ascii="Arial" w:hAnsi="Arial"/>
                <w:b/>
                <w:color w:val="14833B"/>
                <w:sz w:val="14"/>
              </w:rPr>
              <w:t>PHASE 2 RESULT</w:t>
            </w:r>
          </w:p>
          <w:p>
            <w:pPr>
              <w:keepNext w:val="0"/>
              <w:spacing w:before="0" w:after="0" w:line="259" w:lineRule="auto"/>
            </w:pPr>
            <w:r>
              <w:rPr>
                <w:rFonts w:ascii="Arial" w:hAnsi="Arial"/>
                <w:color w:val="17202A"/>
                <w:sz w:val="18"/>
              </w:rPr>
              <w:t>The prompt architecture, configuration method, validation system, and defensive cybersecurity control plane are locked and ready for Phase 3 domain prompt production.</w:t>
            </w:r>
          </w:p>
        </w:tc>
      </w:tr>
    </w:tbl>
    <w:p>
      <w:pPr>
        <w:spacing w:after="20"/>
      </w:pPr>
    </w:p>
    <w:sectPr w:rsidR="00FC693F" w:rsidRPr="0006063C" w:rsidSect="00034616">
      <w:headerReference w:type="default" r:id="rId9"/>
      <w:footerReference w:type="default" r:id="rId10"/>
      <w:footerReference w:type="first" r:id="rId11"/>
      <w:pgSz w:w="12240" w:h="15840"/>
      <w:pgMar w:top="893" w:right="1037" w:bottom="835" w:left="1037" w:header="461" w:footer="46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40" w:lineRule="auto"/>
      <w:jc w:val="right"/>
    </w:pPr>
    <w:r>
      <w:rPr>
        <w:rFonts w:ascii="Arial" w:hAnsi="Arial"/>
        <w:b/>
        <w:color w:val="667085"/>
        <w:sz w:val="13"/>
      </w:rPr>
      <w:t xml:space="preserve">PHASE 2  •  </w:t>
    </w:r>
    <w:r>
      <w:rPr>
        <w:rFonts w:ascii="Arial" w:hAnsi="Arial"/>
        <w:color w:val="667085"/>
        <w:sz w:val="16"/>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40" w:lineRule="auto"/>
      <w:jc w:val="center"/>
    </w:pPr>
    <w:r>
      <w:rPr>
        <w:rFonts w:ascii="Arial" w:hAnsi="Arial"/>
        <w:color w:val="667085"/>
        <w:sz w:val="13"/>
      </w:rPr>
      <w:t>Independent guide development record - not an official OpenAI publication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pBdr>
        <w:bottom w:val="single" w:sz="4" w:space="3" w:color="D0D5DD"/>
      </w:pBdr>
    </w:pPr>
    <w:r/>
    <w:r>
      <w:rPr>
        <w:rFonts w:ascii="Arial" w:hAnsi="Arial"/>
        <w:b/>
        <w:color w:val="667085"/>
        <w:sz w:val="13"/>
      </w:rPr>
      <w:t>GPT-5.6 SOL HIGH  /  PROMPT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7202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81827"/>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473E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81827"/>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8182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8"/>
    </w:rPr>
  </w:style>
  <w:style w:type="paragraph" w:styleId="ListBullet2">
    <w:name w:val="List Bullet 2"/>
    <w:basedOn w:val="Normal"/>
    <w:uiPriority w:val="99"/>
    <w:unhideWhenUsed/>
    <w:rsid w:val="00326F90"/>
    <w:pPr>
      <w:numPr>
        <w:numId w:val="2"/>
      </w:numPr>
      <w:contextualSpacing/>
    </w:pPr>
    <w:rPr>
      <w:rFonts w:ascii="Arial" w:hAnsi="Arial"/>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GPT-5.6 Sol High — Phase 2 Prompt Architecture &amp; Control System</dc:title>
  <dc:subject>DIRECT framework, reasoning selection, validation, efficiency, and defensive cybersecurity controls</dc:subject>
  <dc:creator>Independent guide development</dc:creator>
  <cp:keywords>GPT-5.6, Sol, prompt architecture, DIRECT, cybersecurity, reasoning, validation</cp:keywords>
  <dc:description>Independent guide; official OpenAI sources verified July 26, 2026.</dc:description>
  <cp:lastModifiedBy/>
  <cp:revision>1</cp:revision>
  <dcterms:created xsi:type="dcterms:W3CDTF">2013-12-23T23:15:00Z</dcterms:created>
  <dcterms:modified xsi:type="dcterms:W3CDTF">2013-12-23T23:15:00Z</dcterms:modified>
  <cp:category/>
</cp:coreProperties>
</file>