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Aptos" w:hAnsi="Aptos"/>
          <w:b/>
          <w:i w:val="0"/>
          <w:color w:val="071827"/>
          <w:sz w:val="68"/>
        </w:rPr>
        <w:t>GPT-5.6</w:t>
      </w:r>
    </w:p>
    <w:p>
      <w:r>
        <w:rPr>
          <w:rFonts w:ascii="Aptos" w:hAnsi="Aptos"/>
          <w:b/>
          <w:i w:val="0"/>
          <w:color w:val="1473E6"/>
          <w:sz w:val="68"/>
        </w:rPr>
        <w:t>SOL HIGH</w:t>
      </w:r>
    </w:p>
    <w:p>
      <w:pPr>
        <w:spacing w:after="320"/>
      </w:pPr>
      <w:r>
        <w:rPr>
          <w:rFonts w:ascii="Aptos" w:hAnsi="Aptos"/>
          <w:b/>
          <w:i w:val="0"/>
          <w:color w:val="16202A"/>
          <w:sz w:val="36"/>
        </w:rPr>
        <w:t>EXECUTIVE QUICK START</w:t>
      </w:r>
    </w:p>
    <w:p>
      <w:pPr>
        <w:spacing w:after="400"/>
      </w:pPr>
      <w:r>
        <w:rPr>
          <w:rFonts w:ascii="Aptos" w:hAnsi="Aptos"/>
          <w:b w:val="0"/>
          <w:i w:val="0"/>
          <w:color w:val="425466"/>
          <w:sz w:val="24"/>
        </w:rPr>
        <w:t>Select the right prompt. Supply decisive evidence. Bound authority. Validate the artifact. Retain the result.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144"/>
      </w:tblGrid>
      <w:tr>
        <w:tc>
          <w:tcPr>
            <w:tcW w:type="dxa" w:w="4968"/>
            <w:shd w:fill="178A4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68"/>
            <w:shd w:fill="EAF7EF"/>
            <w:tcMar>
              <w:top w:w="110" w:type="dxa"/>
              <w:start w:w="165" w:type="dxa"/>
              <w:bottom w:w="110" w:type="dxa"/>
              <w:end w:w="165" w:type="dxa"/>
            </w:tcMar>
          </w:tcPr>
          <w:p>
            <w:r>
              <w:rPr>
                <w:rFonts w:ascii="Aptos" w:hAnsi="Aptos"/>
                <w:b/>
                <w:i w:val="0"/>
                <w:color w:val="178A4B"/>
                <w:sz w:val="17"/>
              </w:rPr>
              <w:t>RELEASE STATUS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8"/>
              </w:rPr>
              <w:t>The 80-prompt library is structurally verified and approved for controlled pilot use. Production certification remains specific to the organization, configuration, tools, data, and authorization context.</w:t>
            </w:r>
          </w:p>
        </w:tc>
      </w:tr>
    </w:tbl>
    <w:p>
      <w:pPr>
        <w:spacing w:before="280"/>
      </w:pPr>
      <w:r>
        <w:rPr>
          <w:rFonts w:ascii="Aptos" w:hAnsi="Aptos"/>
          <w:b w:val="0"/>
          <w:i/>
          <w:color w:val="667085"/>
          <w:sz w:val="18"/>
        </w:rPr>
        <w:t>Use this reference with the Final Master Guide and Phase 3 copy-ready prompt library.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i w:val="0"/>
          <w:color w:val="1473E6"/>
          <w:sz w:val="32"/>
        </w:rPr>
        <w:t>1  Seven-step operating sequence</w:t>
      </w:r>
    </w:p>
    <w:p>
      <w:pPr>
        <w:spacing w:after="160"/>
      </w:pPr>
      <w:r>
        <w:rPr>
          <w:rFonts w:ascii="Aptos" w:hAnsi="Aptos"/>
          <w:b w:val="0"/>
          <w:i w:val="0"/>
          <w:color w:val="425466"/>
          <w:sz w:val="20"/>
        </w:rPr>
        <w:t>The minimum process for a consequential professional task.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182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Step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182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182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1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Choose the outcome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Select by decision or artifact, not title.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2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Supply evidence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Attach only sources that can change the result.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3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Set boundaries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Define permitted inspection, approval gates, exclusions, and stop conditions.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4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Choose selection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High is the default for complex work; escalate only when evaluated.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5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Run contract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Require evidence, assumptions, exact output, validation, and completion criteria.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6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Verify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Test, render, inspect, recalculate, cite, and confirm tool results.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7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Retain</w:t>
            </w:r>
          </w:p>
        </w:tc>
        <w:tc>
          <w:tcPr>
            <w:tcW w:type="dxa" w:w="6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Save prompt, inputs, configuration, tools, output, score, defects, and decision.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936"/>
            <w:shd w:fill="07182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FAST START PROMPT</w:t>
            </w:r>
          </w:p>
        </w:tc>
      </w:tr>
      <w:tr>
        <w:tc>
          <w:tcPr>
            <w:tcW w:type="dxa" w:w="9936"/>
            <w:shd w:fill="F7F9FC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r>
              <w:rPr>
                <w:rFonts w:ascii="Aptos Mono" w:hAnsi="Aptos Mono"/>
                <w:b w:val="0"/>
                <w:i w:val="0"/>
                <w:color w:val="16202A"/>
                <w:sz w:val="16"/>
              </w:rPr>
              <w:t>ROLE: You are the accountable [ROLE].</w:t>
              <w:br/>
              <w:t>MISSION: Produce [DECISION OR ARTIFACT].</w:t>
              <w:br/>
              <w:t>INPUTS: Use [FILES, CODE, DATA, STANDARDS, CONNECTED SOURCES].</w:t>
              <w:br/>
              <w:t>BOUNDARIES: Do not invent facts or access. Require approval for external, destructive, costly, or scope-expanding actions.</w:t>
              <w:br/>
              <w:t>RETURN: [SECTIONS, FORMAT, EVIDENCE, TESTS].</w:t>
              <w:br/>
              <w:t>COMPLETE ONLY WHEN: Claims are supported, validation is performed or pending is explicit, and unresolved risks are visible.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ptos" w:hAnsi="Aptos"/>
          <w:b/>
          <w:i w:val="0"/>
          <w:color w:val="1473E6"/>
          <w:sz w:val="32"/>
        </w:rPr>
        <w:t>2  Routing and selection</w:t>
      </w:r>
    </w:p>
    <w:p>
      <w:pPr>
        <w:spacing w:after="160"/>
      </w:pPr>
      <w:r>
        <w:rPr>
          <w:rFonts w:ascii="Aptos" w:hAnsi="Aptos"/>
          <w:b w:val="0"/>
          <w:i w:val="0"/>
          <w:color w:val="425466"/>
          <w:sz w:val="20"/>
        </w:rPr>
        <w:t>Start with the lowest evaluated configuration that passes the workload.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182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Workload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182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Starting selection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182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Required control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Routine transformation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Medium or lower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Exact output contract; basic review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Complex professional work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High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Production High prompt; evidence and validation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Architecture or release gate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Extra High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Traceability, tests, alternatives, residual risk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Difficult quality-first decision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Pro after evaluation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BFC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Representative trials must justify latency/token tradeoff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Authorized defensive security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High or higher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6"/>
              </w:rPr>
              <w:t>Mandatory authorization header and expert approval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144"/>
      </w:tblGrid>
      <w:tr>
        <w:tc>
          <w:tcPr>
            <w:tcW w:type="dxa" w:w="4968"/>
            <w:shd w:fill="148A8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68"/>
            <w:shd w:fill="E8F7F5"/>
            <w:tcMar>
              <w:top w:w="110" w:type="dxa"/>
              <w:start w:w="165" w:type="dxa"/>
              <w:bottom w:w="110" w:type="dxa"/>
              <w:end w:w="165" w:type="dxa"/>
            </w:tcMar>
          </w:tcPr>
          <w:p>
            <w:r>
              <w:rPr>
                <w:rFonts w:ascii="Aptos" w:hAnsi="Aptos"/>
                <w:b/>
                <w:i w:val="0"/>
                <w:color w:val="148A86"/>
                <w:sz w:val="17"/>
              </w:rPr>
              <w:t>EFFICIENCY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8"/>
              </w:rPr>
              <w:t>Compare the working configuration with the same reasoning setting and one level lower on representative tasks. Keep additional reasoning only when it produces a material measured gain.</w:t>
            </w:r>
          </w:p>
        </w:tc>
      </w:tr>
    </w:tbl>
    <w:p>
      <w:pPr>
        <w:spacing w:before="160"/>
      </w:pPr>
      <w:r>
        <w:rPr>
          <w:rFonts w:ascii="Aptos" w:hAnsi="Aptos"/>
          <w:b/>
          <w:i w:val="0"/>
          <w:color w:val="16202A"/>
          <w:sz w:val="23"/>
        </w:rPr>
        <w:t>Workspace readiness</w:t>
      </w:r>
    </w:p>
    <w:p>
      <w:pPr>
        <w:pStyle w:val="ListBullet"/>
        <w:spacing w:after="40"/>
        <w:ind w:left="288" w:hanging="187"/>
      </w:pPr>
      <w:r>
        <w:rPr>
          <w:rFonts w:ascii="Aptos" w:hAnsi="Aptos"/>
          <w:b w:val="0"/>
          <w:i w:val="0"/>
          <w:color w:val="16202A"/>
          <w:sz w:val="18"/>
        </w:rPr>
        <w:t>Confirm model and reasoning selections exposed by the plan or API account.</w:t>
      </w:r>
    </w:p>
    <w:p>
      <w:pPr>
        <w:pStyle w:val="ListBullet"/>
        <w:spacing w:after="40"/>
        <w:ind w:left="288" w:hanging="187"/>
      </w:pPr>
      <w:r>
        <w:rPr>
          <w:rFonts w:ascii="Aptos" w:hAnsi="Aptos"/>
          <w:b w:val="0"/>
          <w:i w:val="0"/>
          <w:color w:val="16202A"/>
          <w:sz w:val="18"/>
        </w:rPr>
        <w:t>Confirm required Skills/plugins are installed and apps are enabled and authenticated.</w:t>
      </w:r>
    </w:p>
    <w:p>
      <w:pPr>
        <w:pStyle w:val="ListBullet"/>
        <w:spacing w:after="40"/>
        <w:ind w:left="288" w:hanging="187"/>
      </w:pPr>
      <w:r>
        <w:rPr>
          <w:rFonts w:ascii="Aptos" w:hAnsi="Aptos"/>
          <w:b w:val="0"/>
          <w:i w:val="0"/>
          <w:color w:val="16202A"/>
          <w:sz w:val="18"/>
        </w:rPr>
        <w:t>Verify underlying source-system permissions; a plugin does not grant new data access.</w:t>
      </w:r>
    </w:p>
    <w:p>
      <w:pPr>
        <w:pStyle w:val="ListBullet"/>
        <w:spacing w:after="40"/>
        <w:ind w:left="288" w:hanging="187"/>
      </w:pPr>
      <w:r>
        <w:rPr>
          <w:rFonts w:ascii="Aptos" w:hAnsi="Aptos"/>
          <w:b w:val="0"/>
          <w:i w:val="0"/>
          <w:color w:val="16202A"/>
          <w:sz w:val="18"/>
        </w:rPr>
        <w:t>Define external-write, production-change, financial, destructive, and security-testing approvals.</w:t>
      </w:r>
    </w:p>
    <w:p>
      <w:pPr>
        <w:pStyle w:val="ListBullet"/>
        <w:spacing w:after="40"/>
        <w:ind w:left="288" w:hanging="187"/>
      </w:pPr>
      <w:r>
        <w:rPr>
          <w:rFonts w:ascii="Aptos" w:hAnsi="Aptos"/>
          <w:b w:val="0"/>
          <w:i w:val="0"/>
          <w:color w:val="16202A"/>
          <w:sz w:val="18"/>
        </w:rPr>
        <w:t>Classify sensitive data and establish retention, incident, and escalation paths.</w:t>
      </w:r>
    </w:p>
    <w:p>
      <w:r>
        <w:br w:type="page"/>
      </w:r>
    </w:p>
    <w:p>
      <w:pPr>
        <w:spacing w:after="80"/>
      </w:pPr>
      <w:r>
        <w:rPr>
          <w:rFonts w:ascii="Aptos" w:hAnsi="Aptos"/>
          <w:b/>
          <w:i w:val="0"/>
          <w:color w:val="1473E6"/>
          <w:sz w:val="32"/>
        </w:rPr>
        <w:t>3  Defensive cybersecurity control</w:t>
      </w:r>
    </w:p>
    <w:p>
      <w:pPr>
        <w:spacing w:after="160"/>
      </w:pPr>
      <w:r>
        <w:rPr>
          <w:rFonts w:ascii="Aptos" w:hAnsi="Aptos"/>
          <w:b w:val="0"/>
          <w:i w:val="0"/>
          <w:color w:val="425466"/>
          <w:sz w:val="20"/>
        </w:rPr>
        <w:t>Authorization is evidence, not a phrase added to bypass safeguards.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936"/>
            <w:shd w:fill="071827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MANDATORY CYBER HEADER</w:t>
            </w:r>
          </w:p>
        </w:tc>
      </w:tr>
      <w:tr>
        <w:tc>
          <w:tcPr>
            <w:tcW w:type="dxa" w:w="9936"/>
            <w:shd w:fill="F7F9FC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r>
              <w:rPr>
                <w:rFonts w:ascii="Aptos Mono" w:hAnsi="Aptos Mono"/>
                <w:b w:val="0"/>
                <w:i w:val="0"/>
                <w:color w:val="16202A"/>
                <w:sz w:val="16"/>
              </w:rPr>
              <w:t>AUTHORIZED DEFENSIVE CONTEXT</w:t>
              <w:br/>
              <w:t>Owner / authority: [ORGANIZATION, OWNER, OR ENGAGEMENT AUTHORITY]</w:t>
              <w:br/>
              <w:t>Target / environment: [NAMED CODEBASE, APPLICATION, TENANT, CLOUD ACCOUNT, LAB, OR PRODUCTION SCOPE]</w:t>
              <w:br/>
              <w:t>Permitted actions: [REVIEW, ANALYZE, PATCH, TEST IN AUTHORIZED ENVIRONMENT, DOCUMENT]</w:t>
              <w:br/>
              <w:t>Out of scope: [EXCLUDED SYSTEMS, DATA, TECHNIQUES, OR ACTIONS]</w:t>
              <w:br/>
              <w:t>Stop condition: [WHEN TO PAUSE OR ESCALATE]</w:t>
              <w:br/>
              <w:t>Evidence handling: [RETENTION, PRIVACY, DISCLOSURE]</w:t>
              <w:br/>
              <w:t>Defensive outcome: [PATCH, DETECTION, HARDENING, TRIAGE, RECOVERY, OR RISK DECISION]</w:t>
            </w:r>
          </w:p>
        </w:tc>
      </w:tr>
    </w:tbl>
    <w:p>
      <w:pPr>
        <w:spacing w:before="200"/>
      </w:pPr>
      <w:r>
        <w:rPr>
          <w:rFonts w:ascii="Aptos" w:hAnsi="Aptos"/>
          <w:b/>
          <w:i w:val="0"/>
          <w:color w:val="16202A"/>
          <w:sz w:val="23"/>
        </w:rPr>
        <w:t>Acceptance before completion</w:t>
      </w:r>
    </w:p>
    <w:p>
      <w:pPr>
        <w:pStyle w:val="ListBullet"/>
        <w:spacing w:after="40"/>
        <w:ind w:left="288" w:hanging="187"/>
      </w:pPr>
      <w:r>
        <w:rPr>
          <w:rFonts w:ascii="Aptos" w:hAnsi="Aptos"/>
          <w:b w:val="0"/>
          <w:i w:val="0"/>
          <w:color w:val="16202A"/>
          <w:sz w:val="18"/>
        </w:rPr>
        <w:t>Material claims cite evidence or are labeled as assumptions.</w:t>
      </w:r>
    </w:p>
    <w:p>
      <w:pPr>
        <w:pStyle w:val="ListBullet"/>
        <w:spacing w:after="40"/>
        <w:ind w:left="288" w:hanging="187"/>
      </w:pPr>
      <w:r>
        <w:rPr>
          <w:rFonts w:ascii="Aptos" w:hAnsi="Aptos"/>
          <w:b w:val="0"/>
          <w:i w:val="0"/>
          <w:color w:val="16202A"/>
          <w:sz w:val="18"/>
        </w:rPr>
        <w:t>The requested artifact or decision is complete and usable.</w:t>
      </w:r>
    </w:p>
    <w:p>
      <w:pPr>
        <w:pStyle w:val="ListBullet"/>
        <w:spacing w:after="40"/>
        <w:ind w:left="288" w:hanging="187"/>
      </w:pPr>
      <w:r>
        <w:rPr>
          <w:rFonts w:ascii="Aptos" w:hAnsi="Aptos"/>
          <w:b w:val="0"/>
          <w:i w:val="0"/>
          <w:color w:val="16202A"/>
          <w:sz w:val="18"/>
        </w:rPr>
        <w:t>Tests, renders, formula recalculation, citations, or tool confirmations are performed as applicable.</w:t>
      </w:r>
    </w:p>
    <w:p>
      <w:pPr>
        <w:pStyle w:val="ListBullet"/>
        <w:spacing w:after="40"/>
        <w:ind w:left="288" w:hanging="187"/>
      </w:pPr>
      <w:r>
        <w:rPr>
          <w:rFonts w:ascii="Aptos" w:hAnsi="Aptos"/>
          <w:b w:val="0"/>
          <w:i w:val="0"/>
          <w:color w:val="16202A"/>
          <w:sz w:val="18"/>
        </w:rPr>
        <w:t>External actions and production changes receive the required human approval.</w:t>
      </w:r>
    </w:p>
    <w:p>
      <w:pPr>
        <w:pStyle w:val="ListBullet"/>
        <w:spacing w:after="40"/>
        <w:ind w:left="288" w:hanging="187"/>
      </w:pPr>
      <w:r>
        <w:rPr>
          <w:rFonts w:ascii="Aptos" w:hAnsi="Aptos"/>
          <w:b w:val="0"/>
          <w:i w:val="0"/>
          <w:color w:val="16202A"/>
          <w:sz w:val="18"/>
        </w:rPr>
        <w:t>Cyber work remains inside the named target, permitted actions, safe environment, and stop conditions.</w:t>
      </w:r>
    </w:p>
    <w:p>
      <w:pPr>
        <w:pStyle w:val="ListBullet"/>
        <w:spacing w:after="40"/>
        <w:ind w:left="288" w:hanging="187"/>
      </w:pPr>
      <w:r>
        <w:rPr>
          <w:rFonts w:ascii="Aptos" w:hAnsi="Aptos"/>
          <w:b w:val="0"/>
          <w:i w:val="0"/>
          <w:color w:val="16202A"/>
          <w:sz w:val="18"/>
        </w:rPr>
        <w:t>Unresolved risks, residual risk, and pending validation are visible.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9144"/>
      </w:tblGrid>
      <w:tr>
        <w:tc>
          <w:tcPr>
            <w:tcW w:type="dxa" w:w="4968"/>
            <w:shd w:fill="C66A0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68"/>
            <w:shd w:fill="FFF3DA"/>
            <w:tcMar>
              <w:top w:w="110" w:type="dxa"/>
              <w:start w:w="165" w:type="dxa"/>
              <w:bottom w:w="110" w:type="dxa"/>
              <w:end w:w="165" w:type="dxa"/>
            </w:tcMar>
          </w:tcPr>
          <w:p>
            <w:r>
              <w:rPr>
                <w:rFonts w:ascii="Aptos" w:hAnsi="Aptos"/>
                <w:b/>
                <w:i w:val="0"/>
                <w:color w:val="C66A00"/>
                <w:sz w:val="17"/>
              </w:rPr>
              <w:t>FINAL RULE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6202A"/>
                <w:sz w:val="18"/>
              </w:rPr>
              <w:t>A polished response is not proof. Completion requires evidence, artifact-native validation, and accountable human ownership of material action.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835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7085"/>
        <w:sz w:val="14"/>
      </w:rPr>
      <w:t>Independent professional guide - verify current capabilities and authorization before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716"/>
      <w:gridCol w:w="4716"/>
    </w:tblGrid>
    <w:tr>
      <w:tc>
        <w:tcPr>
          <w:tcW w:type="dxa" w:w="4716"/>
        </w:tcPr>
        <w:p>
          <w:r>
            <w:rPr>
              <w:rFonts w:ascii="Aptos" w:hAnsi="Aptos"/>
              <w:b/>
              <w:i w:val="0"/>
              <w:color w:val="425466"/>
              <w:sz w:val="15"/>
            </w:rPr>
            <w:t>GPT-5.6 SOL HIGH</w:t>
          </w:r>
        </w:p>
      </w:tc>
      <w:tc>
        <w:tcPr>
          <w:tcW w:type="dxa" w:w="4716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67085"/>
              <w:sz w:val="15"/>
            </w:rPr>
            <w:t>EXECUTIVE QUICK START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GPT-5.6 Sol High - Executive Quick Start</dc:title>
  <dc:subject>Four-page operating reference for the final prompt guide</dc:subject>
  <dc:creator>Independent Technology Architecture Guide</dc:creator>
  <cp:keywords/>
  <dc:description>Independent guide; not an OpenAI publication.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