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092B7" w14:textId="77777777" w:rsidR="00CE2546" w:rsidRPr="00B7342E" w:rsidRDefault="00AA12CF">
      <w:pPr>
        <w:rPr>
          <w:rFonts w:ascii="Arial" w:hAnsi="Arial" w:cs="Arial"/>
          <w:sz w:val="24"/>
          <w:szCs w:val="24"/>
          <w:lang w:val="en-US"/>
        </w:rPr>
      </w:pPr>
      <w:r w:rsidRPr="00B7342E">
        <w:rPr>
          <w:rFonts w:ascii="Arial" w:hAnsi="Arial" w:cs="Arial"/>
          <w:sz w:val="24"/>
          <w:szCs w:val="24"/>
          <w:lang w:val="en-US"/>
        </w:rPr>
        <w:t>Lease or Buy?</w:t>
      </w:r>
    </w:p>
    <w:p w14:paraId="13693799" w14:textId="77777777" w:rsidR="00AA12CF" w:rsidRPr="00B7342E" w:rsidRDefault="007F555F">
      <w:pPr>
        <w:rPr>
          <w:rFonts w:ascii="Arial" w:hAnsi="Arial" w:cs="Arial"/>
          <w:sz w:val="24"/>
          <w:szCs w:val="24"/>
          <w:lang w:val="en-US"/>
        </w:rPr>
      </w:pPr>
      <w:r w:rsidRPr="00B7342E">
        <w:rPr>
          <w:rFonts w:ascii="Arial" w:hAnsi="Arial" w:cs="Arial"/>
          <w:sz w:val="24"/>
          <w:szCs w:val="24"/>
          <w:lang w:val="en-US"/>
        </w:rPr>
        <w:t>A Lease is a contract specifying the terms under which the owner of some property transfers the right to use the property to someone else, without transferring legal ownership.</w:t>
      </w:r>
    </w:p>
    <w:p w14:paraId="46869623" w14:textId="77777777" w:rsidR="007F555F" w:rsidRPr="00B7342E" w:rsidRDefault="007F555F">
      <w:pPr>
        <w:rPr>
          <w:rFonts w:ascii="Arial" w:hAnsi="Arial" w:cs="Arial"/>
          <w:sz w:val="24"/>
          <w:szCs w:val="24"/>
          <w:lang w:val="en-US"/>
        </w:rPr>
      </w:pPr>
      <w:r w:rsidRPr="00B7342E">
        <w:rPr>
          <w:rFonts w:ascii="Arial" w:hAnsi="Arial" w:cs="Arial"/>
          <w:sz w:val="24"/>
          <w:szCs w:val="24"/>
          <w:lang w:val="en-US"/>
        </w:rPr>
        <w:t>Lessee: Company using the leased asset enjoys flexibility, and reduced risk through leasing rather than buying.</w:t>
      </w:r>
    </w:p>
    <w:p w14:paraId="343AA757" w14:textId="77777777" w:rsidR="007F555F" w:rsidRPr="00B7342E" w:rsidRDefault="007F555F">
      <w:pPr>
        <w:rPr>
          <w:rFonts w:ascii="Arial" w:hAnsi="Arial" w:cs="Arial"/>
          <w:sz w:val="24"/>
          <w:szCs w:val="24"/>
          <w:lang w:val="en-US"/>
        </w:rPr>
      </w:pPr>
      <w:r w:rsidRPr="00B7342E">
        <w:rPr>
          <w:rFonts w:ascii="Arial" w:hAnsi="Arial" w:cs="Arial"/>
          <w:sz w:val="24"/>
          <w:szCs w:val="24"/>
          <w:lang w:val="en-US"/>
        </w:rPr>
        <w:t>Lessor: company that owns the leased asset uses attractiveness of leasing to increase sales and to establish long-term relationships with customers.</w:t>
      </w:r>
    </w:p>
    <w:p w14:paraId="49327A4A" w14:textId="77777777" w:rsidR="007F555F" w:rsidRPr="00B7342E" w:rsidRDefault="007F555F">
      <w:pPr>
        <w:rPr>
          <w:rFonts w:ascii="Arial" w:hAnsi="Arial" w:cs="Arial"/>
          <w:sz w:val="24"/>
          <w:szCs w:val="24"/>
          <w:lang w:val="en-US"/>
        </w:rPr>
      </w:pPr>
      <w:r w:rsidRPr="00B7342E">
        <w:rPr>
          <w:rFonts w:ascii="Arial" w:hAnsi="Arial" w:cs="Arial"/>
          <w:sz w:val="24"/>
          <w:szCs w:val="24"/>
          <w:lang w:val="en-US"/>
        </w:rPr>
        <w:t xml:space="preserve">In </w:t>
      </w:r>
      <w:r w:rsidR="007009B5" w:rsidRPr="00B7342E">
        <w:rPr>
          <w:rFonts w:ascii="Arial" w:hAnsi="Arial" w:cs="Arial"/>
          <w:sz w:val="24"/>
          <w:szCs w:val="24"/>
          <w:lang w:val="en-US"/>
        </w:rPr>
        <w:t>fact,</w:t>
      </w:r>
      <w:r w:rsidRPr="00B7342E">
        <w:rPr>
          <w:rFonts w:ascii="Arial" w:hAnsi="Arial" w:cs="Arial"/>
          <w:sz w:val="24"/>
          <w:szCs w:val="24"/>
          <w:lang w:val="en-US"/>
        </w:rPr>
        <w:t xml:space="preserve"> leasing is just a creative, alternative way to finance the acquisition of the right to use an asset.</w:t>
      </w:r>
    </w:p>
    <w:p w14:paraId="308A3FE0" w14:textId="77777777" w:rsidR="007F555F" w:rsidRPr="00B7342E" w:rsidRDefault="007009B5">
      <w:pPr>
        <w:rPr>
          <w:rFonts w:ascii="Arial" w:hAnsi="Arial" w:cs="Arial"/>
          <w:sz w:val="24"/>
          <w:szCs w:val="24"/>
          <w:lang w:val="en-US"/>
        </w:rPr>
      </w:pPr>
      <w:r w:rsidRPr="00B7342E">
        <w:rPr>
          <w:rFonts w:ascii="Arial" w:hAnsi="Arial" w:cs="Arial"/>
          <w:sz w:val="24"/>
          <w:szCs w:val="24"/>
          <w:lang w:val="en-US"/>
        </w:rPr>
        <w:t>Another attraction of the lease is a lower monthly payment. (cost)</w:t>
      </w:r>
    </w:p>
    <w:p w14:paraId="42C149CB" w14:textId="77777777" w:rsidR="007009B5" w:rsidRPr="00B7342E" w:rsidRDefault="007009B5">
      <w:pPr>
        <w:rPr>
          <w:rFonts w:ascii="Arial" w:hAnsi="Arial" w:cs="Arial"/>
          <w:sz w:val="24"/>
          <w:szCs w:val="24"/>
          <w:lang w:val="en-US"/>
        </w:rPr>
      </w:pPr>
      <w:r w:rsidRPr="00B7342E">
        <w:rPr>
          <w:rFonts w:ascii="Arial" w:hAnsi="Arial" w:cs="Arial"/>
          <w:sz w:val="24"/>
          <w:szCs w:val="24"/>
          <w:lang w:val="en-US"/>
        </w:rPr>
        <w:t>You can lease a car for a lower amount that you would have to pay on a monthly payment to buy the same car.</w:t>
      </w:r>
    </w:p>
    <w:p w14:paraId="0C38CD49" w14:textId="77777777" w:rsidR="007009B5" w:rsidRPr="00B7342E" w:rsidRDefault="007009B5">
      <w:pPr>
        <w:rPr>
          <w:rFonts w:ascii="Arial" w:hAnsi="Arial" w:cs="Arial"/>
          <w:sz w:val="24"/>
          <w:szCs w:val="24"/>
          <w:lang w:val="en-US"/>
        </w:rPr>
      </w:pPr>
      <w:r w:rsidRPr="00B7342E">
        <w:rPr>
          <w:rFonts w:ascii="Arial" w:hAnsi="Arial" w:cs="Arial"/>
          <w:sz w:val="24"/>
          <w:szCs w:val="24"/>
          <w:lang w:val="en-US"/>
        </w:rPr>
        <w:t xml:space="preserve">When buying a car for example, you are buying not only the car buy also the whole life or right of the car and of you </w:t>
      </w:r>
      <w:proofErr w:type="gramStart"/>
      <w:r w:rsidRPr="00B7342E">
        <w:rPr>
          <w:rFonts w:ascii="Arial" w:hAnsi="Arial" w:cs="Arial"/>
          <w:sz w:val="24"/>
          <w:szCs w:val="24"/>
          <w:lang w:val="en-US"/>
        </w:rPr>
        <w:t>have to</w:t>
      </w:r>
      <w:proofErr w:type="gramEnd"/>
      <w:r w:rsidRPr="00B7342E">
        <w:rPr>
          <w:rFonts w:ascii="Arial" w:hAnsi="Arial" w:cs="Arial"/>
          <w:sz w:val="24"/>
          <w:szCs w:val="24"/>
          <w:lang w:val="en-US"/>
        </w:rPr>
        <w:t xml:space="preserve"> pay for all of that. If instead you lease a car, you only buy for the time of his acquisition and not for all those years that you are not going to use.</w:t>
      </w:r>
    </w:p>
    <w:p w14:paraId="7A282981" w14:textId="77777777" w:rsidR="007009B5" w:rsidRPr="00B7342E" w:rsidRDefault="007009B5">
      <w:pPr>
        <w:rPr>
          <w:rFonts w:ascii="Arial" w:hAnsi="Arial" w:cs="Arial"/>
          <w:sz w:val="24"/>
          <w:szCs w:val="24"/>
          <w:lang w:val="en-US"/>
        </w:rPr>
      </w:pPr>
      <w:r w:rsidRPr="00B7342E">
        <w:rPr>
          <w:rFonts w:ascii="Arial" w:hAnsi="Arial" w:cs="Arial"/>
          <w:sz w:val="24"/>
          <w:szCs w:val="24"/>
          <w:lang w:val="en-US"/>
        </w:rPr>
        <w:t>If you plan to keep your product for five years or more, buying will certainly costs you less than a series of leases. If you plan to constantly upgrade to a new car, say every two or three years, then leasing may give you total lower</w:t>
      </w:r>
      <w:r w:rsidR="00DF05A7" w:rsidRPr="00B7342E">
        <w:rPr>
          <w:rFonts w:ascii="Arial" w:hAnsi="Arial" w:cs="Arial"/>
          <w:sz w:val="24"/>
          <w:szCs w:val="24"/>
          <w:lang w:val="en-US"/>
        </w:rPr>
        <w:t xml:space="preserve"> monthly payments.</w:t>
      </w:r>
    </w:p>
    <w:p w14:paraId="71CD3EB5" w14:textId="77777777" w:rsidR="00DF05A7" w:rsidRPr="00B7342E" w:rsidRDefault="00DF05A7">
      <w:pPr>
        <w:rPr>
          <w:rFonts w:ascii="Arial" w:hAnsi="Arial" w:cs="Arial"/>
          <w:sz w:val="24"/>
          <w:szCs w:val="24"/>
          <w:lang w:val="en-US"/>
        </w:rPr>
      </w:pPr>
    </w:p>
    <w:p w14:paraId="69EBA7E7" w14:textId="77777777" w:rsidR="00AA12CF" w:rsidRPr="00B7342E" w:rsidRDefault="00DF05A7">
      <w:pPr>
        <w:rPr>
          <w:rFonts w:ascii="Arial" w:hAnsi="Arial" w:cs="Arial"/>
          <w:sz w:val="24"/>
          <w:szCs w:val="24"/>
          <w:lang w:val="en-US"/>
        </w:rPr>
      </w:pPr>
      <w:r w:rsidRPr="00B7342E">
        <w:rPr>
          <w:rFonts w:ascii="Arial" w:hAnsi="Arial" w:cs="Arial"/>
          <w:sz w:val="24"/>
          <w:szCs w:val="24"/>
          <w:lang w:val="en-US"/>
        </w:rPr>
        <w:t>Pros and cons of a lease.</w:t>
      </w:r>
    </w:p>
    <w:p w14:paraId="10953664" w14:textId="77777777" w:rsidR="00DF05A7" w:rsidRPr="00B7342E" w:rsidRDefault="00DF05A7">
      <w:pPr>
        <w:rPr>
          <w:rFonts w:ascii="Arial" w:hAnsi="Arial" w:cs="Arial"/>
          <w:sz w:val="24"/>
          <w:szCs w:val="24"/>
          <w:lang w:val="en-US"/>
        </w:rPr>
      </w:pPr>
      <w:r w:rsidRPr="00B7342E">
        <w:rPr>
          <w:rFonts w:ascii="Arial" w:hAnsi="Arial" w:cs="Arial"/>
          <w:sz w:val="24"/>
          <w:szCs w:val="24"/>
          <w:lang w:val="en-US"/>
        </w:rPr>
        <w:t>Advantages of leasing:</w:t>
      </w:r>
    </w:p>
    <w:p w14:paraId="47545C44" w14:textId="77777777" w:rsidR="00DF05A7" w:rsidRPr="00B7342E" w:rsidRDefault="00DD28DD">
      <w:pPr>
        <w:rPr>
          <w:rFonts w:ascii="Arial" w:hAnsi="Arial" w:cs="Arial"/>
          <w:sz w:val="24"/>
          <w:szCs w:val="24"/>
          <w:lang w:val="en-US"/>
        </w:rPr>
      </w:pPr>
      <w:r w:rsidRPr="00B7342E">
        <w:rPr>
          <w:rFonts w:ascii="Arial" w:hAnsi="Arial" w:cs="Arial"/>
          <w:sz w:val="24"/>
          <w:szCs w:val="24"/>
          <w:lang w:val="en-US"/>
        </w:rPr>
        <w:t>1</w:t>
      </w:r>
      <w:r w:rsidR="00DF05A7" w:rsidRPr="00B7342E">
        <w:rPr>
          <w:rFonts w:ascii="Arial" w:hAnsi="Arial" w:cs="Arial"/>
          <w:sz w:val="24"/>
          <w:szCs w:val="24"/>
          <w:lang w:val="en-US"/>
        </w:rPr>
        <w:t>-No down payment:</w:t>
      </w:r>
    </w:p>
    <w:p w14:paraId="0A64708D" w14:textId="77777777" w:rsidR="00DF05A7" w:rsidRPr="00B7342E" w:rsidRDefault="00DF05A7">
      <w:pPr>
        <w:rPr>
          <w:rFonts w:ascii="Arial" w:hAnsi="Arial" w:cs="Arial"/>
          <w:sz w:val="24"/>
          <w:szCs w:val="24"/>
          <w:lang w:val="en-US"/>
        </w:rPr>
      </w:pPr>
      <w:r w:rsidRPr="00B7342E">
        <w:rPr>
          <w:rFonts w:ascii="Arial" w:hAnsi="Arial" w:cs="Arial"/>
          <w:sz w:val="24"/>
          <w:szCs w:val="24"/>
          <w:lang w:val="en-US"/>
        </w:rPr>
        <w:t xml:space="preserve">Most debt-financed purchases of property require a portion of the purchase price to be paid immediately by the borrower. Lease agreements instead are frequently structured so that 100% of the value of the property is financed through the lease. Which makes the lease attractive for company that don’t have </w:t>
      </w:r>
      <w:proofErr w:type="gramStart"/>
      <w:r w:rsidRPr="00B7342E">
        <w:rPr>
          <w:rFonts w:ascii="Arial" w:hAnsi="Arial" w:cs="Arial"/>
          <w:sz w:val="24"/>
          <w:szCs w:val="24"/>
          <w:lang w:val="en-US"/>
        </w:rPr>
        <w:t>sufficient</w:t>
      </w:r>
      <w:proofErr w:type="gramEnd"/>
      <w:r w:rsidRPr="00B7342E">
        <w:rPr>
          <w:rFonts w:ascii="Arial" w:hAnsi="Arial" w:cs="Arial"/>
          <w:sz w:val="24"/>
          <w:szCs w:val="24"/>
          <w:lang w:val="en-US"/>
        </w:rPr>
        <w:t xml:space="preserve"> cash for down payments or that wishes to use available capital for other operating or investing purposes.</w:t>
      </w:r>
    </w:p>
    <w:p w14:paraId="4A3E8E84" w14:textId="77777777" w:rsidR="00DF05A7" w:rsidRPr="00B7342E" w:rsidRDefault="00DD28DD">
      <w:pPr>
        <w:rPr>
          <w:rFonts w:ascii="Arial" w:hAnsi="Arial" w:cs="Arial"/>
          <w:sz w:val="24"/>
          <w:szCs w:val="24"/>
          <w:lang w:val="en-US"/>
        </w:rPr>
      </w:pPr>
      <w:r w:rsidRPr="00B7342E">
        <w:rPr>
          <w:rFonts w:ascii="Arial" w:hAnsi="Arial" w:cs="Arial"/>
          <w:sz w:val="24"/>
          <w:szCs w:val="24"/>
          <w:lang w:val="en-US"/>
        </w:rPr>
        <w:t>2</w:t>
      </w:r>
      <w:r w:rsidR="00DF05A7" w:rsidRPr="00B7342E">
        <w:rPr>
          <w:rFonts w:ascii="Arial" w:hAnsi="Arial" w:cs="Arial"/>
          <w:sz w:val="24"/>
          <w:szCs w:val="24"/>
          <w:lang w:val="en-US"/>
        </w:rPr>
        <w:t>-Avoid risks of ownership</w:t>
      </w:r>
    </w:p>
    <w:p w14:paraId="5CEE27C2" w14:textId="77777777" w:rsidR="00DF05A7" w:rsidRPr="00B7342E" w:rsidRDefault="00DD28DD">
      <w:pPr>
        <w:rPr>
          <w:rFonts w:ascii="Arial" w:hAnsi="Arial" w:cs="Arial"/>
          <w:sz w:val="24"/>
          <w:szCs w:val="24"/>
          <w:lang w:val="en-US"/>
        </w:rPr>
      </w:pPr>
      <w:r w:rsidRPr="00B7342E">
        <w:rPr>
          <w:rFonts w:ascii="Arial" w:hAnsi="Arial" w:cs="Arial"/>
          <w:sz w:val="24"/>
          <w:szCs w:val="24"/>
          <w:lang w:val="en-US"/>
        </w:rPr>
        <w:t>a</w:t>
      </w:r>
      <w:r w:rsidR="00DF05A7" w:rsidRPr="00B7342E">
        <w:rPr>
          <w:rFonts w:ascii="Arial" w:hAnsi="Arial" w:cs="Arial"/>
          <w:sz w:val="24"/>
          <w:szCs w:val="24"/>
          <w:lang w:val="en-US"/>
        </w:rPr>
        <w:t>- Casualty loss</w:t>
      </w:r>
    </w:p>
    <w:p w14:paraId="37781418" w14:textId="77777777" w:rsidR="00DF05A7" w:rsidRPr="00B7342E" w:rsidRDefault="00DD28DD">
      <w:pPr>
        <w:rPr>
          <w:rFonts w:ascii="Arial" w:hAnsi="Arial" w:cs="Arial"/>
          <w:sz w:val="24"/>
          <w:szCs w:val="24"/>
          <w:lang w:val="en-US"/>
        </w:rPr>
      </w:pPr>
      <w:r w:rsidRPr="00B7342E">
        <w:rPr>
          <w:rFonts w:ascii="Arial" w:hAnsi="Arial" w:cs="Arial"/>
          <w:sz w:val="24"/>
          <w:szCs w:val="24"/>
          <w:lang w:val="en-US"/>
        </w:rPr>
        <w:t>b</w:t>
      </w:r>
      <w:r w:rsidR="00DF05A7" w:rsidRPr="00B7342E">
        <w:rPr>
          <w:rFonts w:ascii="Arial" w:hAnsi="Arial" w:cs="Arial"/>
          <w:sz w:val="24"/>
          <w:szCs w:val="24"/>
          <w:lang w:val="en-US"/>
        </w:rPr>
        <w:t>-</w:t>
      </w:r>
      <w:r w:rsidRPr="00B7342E">
        <w:rPr>
          <w:rFonts w:ascii="Arial" w:hAnsi="Arial" w:cs="Arial"/>
          <w:sz w:val="24"/>
          <w:szCs w:val="24"/>
          <w:lang w:val="en-US"/>
        </w:rPr>
        <w:t>Obsolescence</w:t>
      </w:r>
    </w:p>
    <w:p w14:paraId="14A7B5A9" w14:textId="77777777" w:rsidR="00DD28DD" w:rsidRPr="00B7342E" w:rsidRDefault="00DD28DD">
      <w:pPr>
        <w:rPr>
          <w:rFonts w:ascii="Arial" w:hAnsi="Arial" w:cs="Arial"/>
          <w:sz w:val="24"/>
          <w:szCs w:val="24"/>
          <w:lang w:val="en-US"/>
        </w:rPr>
      </w:pPr>
      <w:r w:rsidRPr="00B7342E">
        <w:rPr>
          <w:rFonts w:ascii="Arial" w:hAnsi="Arial" w:cs="Arial"/>
          <w:sz w:val="24"/>
          <w:szCs w:val="24"/>
          <w:lang w:val="en-US"/>
        </w:rPr>
        <w:t>c-Changing economic conditions</w:t>
      </w:r>
    </w:p>
    <w:p w14:paraId="00F0DF2D" w14:textId="77777777" w:rsidR="00DD28DD" w:rsidRPr="00B7342E" w:rsidRDefault="00DD28DD">
      <w:pPr>
        <w:rPr>
          <w:rFonts w:ascii="Arial" w:hAnsi="Arial" w:cs="Arial"/>
          <w:sz w:val="24"/>
          <w:szCs w:val="24"/>
          <w:lang w:val="en-US"/>
        </w:rPr>
      </w:pPr>
      <w:r w:rsidRPr="00B7342E">
        <w:rPr>
          <w:rFonts w:ascii="Arial" w:hAnsi="Arial" w:cs="Arial"/>
          <w:sz w:val="24"/>
          <w:szCs w:val="24"/>
          <w:lang w:val="en-US"/>
        </w:rPr>
        <w:t>d-Physical deterioration</w:t>
      </w:r>
    </w:p>
    <w:p w14:paraId="33AE7F77" w14:textId="77777777" w:rsidR="00DD28DD" w:rsidRPr="00B7342E" w:rsidRDefault="00DD28DD">
      <w:pPr>
        <w:rPr>
          <w:rFonts w:ascii="Arial" w:hAnsi="Arial" w:cs="Arial"/>
          <w:sz w:val="24"/>
          <w:szCs w:val="24"/>
          <w:lang w:val="en-US"/>
        </w:rPr>
      </w:pPr>
      <w:r w:rsidRPr="00B7342E">
        <w:rPr>
          <w:rFonts w:ascii="Arial" w:hAnsi="Arial" w:cs="Arial"/>
          <w:sz w:val="24"/>
          <w:szCs w:val="24"/>
          <w:lang w:val="en-US"/>
        </w:rPr>
        <w:t>Once you no longer need it, you end the agreement and no need to pay anything anymore.</w:t>
      </w:r>
    </w:p>
    <w:p w14:paraId="485CC1F6" w14:textId="77777777" w:rsidR="00DF05A7" w:rsidRPr="00B7342E" w:rsidRDefault="00DD28DD">
      <w:pPr>
        <w:rPr>
          <w:rFonts w:ascii="Arial" w:hAnsi="Arial" w:cs="Arial"/>
          <w:sz w:val="24"/>
          <w:szCs w:val="24"/>
          <w:lang w:val="en-US"/>
        </w:rPr>
      </w:pPr>
      <w:r w:rsidRPr="00B7342E">
        <w:rPr>
          <w:rFonts w:ascii="Arial" w:hAnsi="Arial" w:cs="Arial"/>
          <w:sz w:val="24"/>
          <w:szCs w:val="24"/>
          <w:lang w:val="en-US"/>
        </w:rPr>
        <w:lastRenderedPageBreak/>
        <w:t>3</w:t>
      </w:r>
      <w:r w:rsidR="00DF05A7" w:rsidRPr="00B7342E">
        <w:rPr>
          <w:rFonts w:ascii="Arial" w:hAnsi="Arial" w:cs="Arial"/>
          <w:sz w:val="24"/>
          <w:szCs w:val="24"/>
          <w:lang w:val="en-US"/>
        </w:rPr>
        <w:t>-Flexibility</w:t>
      </w:r>
      <w:r w:rsidRPr="00B7342E">
        <w:rPr>
          <w:rFonts w:ascii="Arial" w:hAnsi="Arial" w:cs="Arial"/>
          <w:sz w:val="24"/>
          <w:szCs w:val="24"/>
          <w:lang w:val="en-US"/>
        </w:rPr>
        <w:t>: It is the primary reason for the popularity of automobile leasing</w:t>
      </w:r>
    </w:p>
    <w:p w14:paraId="2989D585" w14:textId="77777777" w:rsidR="00DF05A7" w:rsidRPr="00B7342E" w:rsidRDefault="00DD28DD">
      <w:pPr>
        <w:rPr>
          <w:rFonts w:ascii="Arial" w:hAnsi="Arial" w:cs="Arial"/>
          <w:sz w:val="24"/>
          <w:szCs w:val="24"/>
          <w:lang w:val="en-US"/>
        </w:rPr>
      </w:pPr>
      <w:r w:rsidRPr="00B7342E">
        <w:rPr>
          <w:rFonts w:ascii="Arial" w:hAnsi="Arial" w:cs="Arial"/>
          <w:sz w:val="24"/>
          <w:szCs w:val="24"/>
          <w:lang w:val="en-US"/>
        </w:rPr>
        <w:t>4</w:t>
      </w:r>
      <w:r w:rsidR="00DF05A7" w:rsidRPr="00B7342E">
        <w:rPr>
          <w:rFonts w:ascii="Arial" w:hAnsi="Arial" w:cs="Arial"/>
          <w:sz w:val="24"/>
          <w:szCs w:val="24"/>
          <w:lang w:val="en-US"/>
        </w:rPr>
        <w:t>-Simplicity</w:t>
      </w:r>
    </w:p>
    <w:p w14:paraId="27D114B4" w14:textId="77777777" w:rsidR="00DF05A7" w:rsidRPr="00B7342E" w:rsidRDefault="00DD28DD">
      <w:pPr>
        <w:rPr>
          <w:rFonts w:ascii="Arial" w:hAnsi="Arial" w:cs="Arial"/>
          <w:sz w:val="24"/>
          <w:szCs w:val="24"/>
          <w:lang w:val="en-US"/>
        </w:rPr>
      </w:pPr>
      <w:r w:rsidRPr="00B7342E">
        <w:rPr>
          <w:rFonts w:ascii="Arial" w:hAnsi="Arial" w:cs="Arial"/>
          <w:sz w:val="24"/>
          <w:szCs w:val="24"/>
          <w:lang w:val="en-US"/>
        </w:rPr>
        <w:t>Advantages for the company that lease:</w:t>
      </w:r>
    </w:p>
    <w:p w14:paraId="1B13F883" w14:textId="77777777" w:rsidR="00DD28DD" w:rsidRPr="00B7342E" w:rsidRDefault="00DD28DD">
      <w:pPr>
        <w:rPr>
          <w:rFonts w:ascii="Arial" w:hAnsi="Arial" w:cs="Arial"/>
          <w:sz w:val="24"/>
          <w:szCs w:val="24"/>
          <w:lang w:val="en-US"/>
        </w:rPr>
      </w:pPr>
      <w:r w:rsidRPr="00B7342E">
        <w:rPr>
          <w:rFonts w:ascii="Arial" w:hAnsi="Arial" w:cs="Arial"/>
          <w:sz w:val="24"/>
          <w:szCs w:val="24"/>
          <w:lang w:val="en-US"/>
        </w:rPr>
        <w:t>-Increase sales</w:t>
      </w:r>
    </w:p>
    <w:p w14:paraId="68317920" w14:textId="77777777" w:rsidR="00DD28DD" w:rsidRPr="00B7342E" w:rsidRDefault="00DD28DD">
      <w:pPr>
        <w:rPr>
          <w:rFonts w:ascii="Arial" w:hAnsi="Arial" w:cs="Arial"/>
          <w:sz w:val="24"/>
          <w:szCs w:val="24"/>
          <w:lang w:val="en-US"/>
        </w:rPr>
      </w:pPr>
      <w:r w:rsidRPr="00B7342E">
        <w:rPr>
          <w:rFonts w:ascii="Arial" w:hAnsi="Arial" w:cs="Arial"/>
          <w:sz w:val="24"/>
          <w:szCs w:val="24"/>
          <w:lang w:val="en-US"/>
        </w:rPr>
        <w:t>-Ongoing business relationships</w:t>
      </w:r>
    </w:p>
    <w:p w14:paraId="4D00C207" w14:textId="77777777" w:rsidR="00DD28DD" w:rsidRPr="00B7342E" w:rsidRDefault="00DD28DD">
      <w:pPr>
        <w:rPr>
          <w:rFonts w:ascii="Arial" w:hAnsi="Arial" w:cs="Arial"/>
          <w:sz w:val="24"/>
          <w:szCs w:val="24"/>
          <w:lang w:val="en-US"/>
        </w:rPr>
      </w:pPr>
      <w:r w:rsidRPr="00B7342E">
        <w:rPr>
          <w:rFonts w:ascii="Arial" w:hAnsi="Arial" w:cs="Arial"/>
          <w:sz w:val="24"/>
          <w:szCs w:val="24"/>
          <w:lang w:val="en-US"/>
        </w:rPr>
        <w:t>-residual value retained</w:t>
      </w:r>
    </w:p>
    <w:p w14:paraId="3120549F" w14:textId="77777777" w:rsidR="00DD28DD" w:rsidRPr="00B7342E" w:rsidRDefault="00DD28DD">
      <w:pPr>
        <w:rPr>
          <w:rFonts w:ascii="Arial" w:hAnsi="Arial" w:cs="Arial"/>
          <w:sz w:val="24"/>
          <w:szCs w:val="24"/>
        </w:rPr>
      </w:pPr>
      <w:r w:rsidRPr="00B7342E">
        <w:rPr>
          <w:rFonts w:ascii="Arial" w:hAnsi="Arial" w:cs="Arial"/>
          <w:sz w:val="24"/>
          <w:szCs w:val="24"/>
        </w:rPr>
        <w:t xml:space="preserve">-more </w:t>
      </w:r>
      <w:proofErr w:type="spellStart"/>
      <w:r w:rsidRPr="00B7342E">
        <w:rPr>
          <w:rFonts w:ascii="Arial" w:hAnsi="Arial" w:cs="Arial"/>
          <w:sz w:val="24"/>
          <w:szCs w:val="24"/>
        </w:rPr>
        <w:t>profit</w:t>
      </w:r>
      <w:proofErr w:type="spellEnd"/>
      <w:r w:rsidRPr="00B7342E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B7342E">
        <w:rPr>
          <w:rFonts w:ascii="Arial" w:hAnsi="Arial" w:cs="Arial"/>
          <w:sz w:val="24"/>
          <w:szCs w:val="24"/>
        </w:rPr>
        <w:t>customer</w:t>
      </w:r>
      <w:proofErr w:type="spellEnd"/>
    </w:p>
    <w:p w14:paraId="405B1594" w14:textId="77777777" w:rsidR="000E5278" w:rsidRPr="00B7342E" w:rsidRDefault="000E5278" w:rsidP="000E527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24"/>
          <w:szCs w:val="24"/>
          <w:lang w:eastAsia="de-DE"/>
        </w:rPr>
      </w:pPr>
      <w:r w:rsidRPr="00B7342E">
        <w:rPr>
          <w:rFonts w:ascii="Arial" w:eastAsia="Times New Roman" w:hAnsi="Arial" w:cs="Arial"/>
          <w:b/>
          <w:bCs/>
          <w:color w:val="212529"/>
          <w:sz w:val="24"/>
          <w:szCs w:val="24"/>
          <w:lang w:eastAsia="de-DE"/>
        </w:rPr>
        <w:t>Vergleich Finanzierungs-/Leasingangebot Roboter</w:t>
      </w:r>
    </w:p>
    <w:p w14:paraId="0157A2FD" w14:textId="77777777" w:rsidR="000C689D" w:rsidRPr="00B7342E" w:rsidRDefault="000C689D">
      <w:pPr>
        <w:rPr>
          <w:rFonts w:ascii="Arial" w:hAnsi="Arial" w:cs="Arial"/>
          <w:sz w:val="24"/>
          <w:szCs w:val="24"/>
        </w:rPr>
      </w:pPr>
    </w:p>
    <w:p w14:paraId="1A147DAF" w14:textId="77777777" w:rsidR="000C689D" w:rsidRPr="00B7342E" w:rsidRDefault="000C689D">
      <w:pPr>
        <w:rPr>
          <w:rFonts w:ascii="Arial" w:hAnsi="Arial" w:cs="Arial"/>
          <w:sz w:val="24"/>
          <w:szCs w:val="24"/>
          <w:lang w:val="en-US"/>
        </w:rPr>
      </w:pPr>
      <w:r w:rsidRPr="00B7342E">
        <w:rPr>
          <w:rFonts w:ascii="Arial" w:hAnsi="Arial" w:cs="Arial"/>
          <w:sz w:val="24"/>
          <w:szCs w:val="24"/>
          <w:lang w:val="en-US"/>
        </w:rPr>
        <w:t>1.Darlehen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1301"/>
        <w:gridCol w:w="1259"/>
        <w:gridCol w:w="1353"/>
        <w:gridCol w:w="1693"/>
        <w:gridCol w:w="1901"/>
      </w:tblGrid>
      <w:tr w:rsidR="00A10A93" w:rsidRPr="00B7342E" w14:paraId="0AD5000C" w14:textId="77777777" w:rsidTr="00A10A93">
        <w:tc>
          <w:tcPr>
            <w:tcW w:w="1555" w:type="dxa"/>
          </w:tcPr>
          <w:p w14:paraId="1F2657C7" w14:textId="77777777" w:rsidR="00964E8F" w:rsidRPr="00B7342E" w:rsidRDefault="00A10A9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7342E">
              <w:rPr>
                <w:rFonts w:ascii="Arial" w:hAnsi="Arial" w:cs="Arial"/>
                <w:sz w:val="24"/>
                <w:szCs w:val="24"/>
                <w:lang w:val="en-US"/>
              </w:rPr>
              <w:t xml:space="preserve">Jahre      </w:t>
            </w:r>
          </w:p>
        </w:tc>
        <w:tc>
          <w:tcPr>
            <w:tcW w:w="1301" w:type="dxa"/>
          </w:tcPr>
          <w:p w14:paraId="1D022AED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Schuld Anfang d.j.in €</w:t>
            </w:r>
          </w:p>
        </w:tc>
        <w:tc>
          <w:tcPr>
            <w:tcW w:w="1259" w:type="dxa"/>
          </w:tcPr>
          <w:p w14:paraId="773575B6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Zinsen 5%, p.a.in €</w:t>
            </w:r>
          </w:p>
        </w:tc>
        <w:tc>
          <w:tcPr>
            <w:tcW w:w="1353" w:type="dxa"/>
          </w:tcPr>
          <w:p w14:paraId="58F1C4BC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Tilgung Ende d.j.in €</w:t>
            </w:r>
          </w:p>
        </w:tc>
        <w:tc>
          <w:tcPr>
            <w:tcW w:w="1693" w:type="dxa"/>
          </w:tcPr>
          <w:p w14:paraId="4E153B09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Kreditrate in €</w:t>
            </w:r>
          </w:p>
        </w:tc>
        <w:tc>
          <w:tcPr>
            <w:tcW w:w="1901" w:type="dxa"/>
          </w:tcPr>
          <w:p w14:paraId="1F86A0D6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Restschuld Ende d. j. in e</w:t>
            </w:r>
          </w:p>
        </w:tc>
      </w:tr>
      <w:tr w:rsidR="00A10A93" w:rsidRPr="00B7342E" w14:paraId="7C0F158B" w14:textId="77777777" w:rsidTr="00A10A93">
        <w:tc>
          <w:tcPr>
            <w:tcW w:w="1555" w:type="dxa"/>
          </w:tcPr>
          <w:p w14:paraId="286F78B8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01" w:type="dxa"/>
          </w:tcPr>
          <w:p w14:paraId="5776F2B3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240.000</w:t>
            </w:r>
          </w:p>
        </w:tc>
        <w:tc>
          <w:tcPr>
            <w:tcW w:w="1259" w:type="dxa"/>
          </w:tcPr>
          <w:p w14:paraId="09499E4A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1353" w:type="dxa"/>
          </w:tcPr>
          <w:p w14:paraId="684A2784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60.000</w:t>
            </w:r>
          </w:p>
        </w:tc>
        <w:tc>
          <w:tcPr>
            <w:tcW w:w="1693" w:type="dxa"/>
          </w:tcPr>
          <w:p w14:paraId="7FDADA5A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72.000</w:t>
            </w:r>
          </w:p>
        </w:tc>
        <w:tc>
          <w:tcPr>
            <w:tcW w:w="1901" w:type="dxa"/>
          </w:tcPr>
          <w:p w14:paraId="09F7A203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180.000</w:t>
            </w:r>
          </w:p>
        </w:tc>
      </w:tr>
      <w:tr w:rsidR="00A10A93" w:rsidRPr="00B7342E" w14:paraId="53C9AC15" w14:textId="77777777" w:rsidTr="00A10A93">
        <w:tc>
          <w:tcPr>
            <w:tcW w:w="1555" w:type="dxa"/>
          </w:tcPr>
          <w:p w14:paraId="69BA6822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01" w:type="dxa"/>
          </w:tcPr>
          <w:p w14:paraId="2F39DD42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180.000</w:t>
            </w:r>
          </w:p>
        </w:tc>
        <w:tc>
          <w:tcPr>
            <w:tcW w:w="1259" w:type="dxa"/>
          </w:tcPr>
          <w:p w14:paraId="59E9FEF2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9000</w:t>
            </w:r>
          </w:p>
        </w:tc>
        <w:tc>
          <w:tcPr>
            <w:tcW w:w="1353" w:type="dxa"/>
          </w:tcPr>
          <w:p w14:paraId="00E67F2E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60.000</w:t>
            </w:r>
          </w:p>
        </w:tc>
        <w:tc>
          <w:tcPr>
            <w:tcW w:w="1693" w:type="dxa"/>
          </w:tcPr>
          <w:p w14:paraId="25A9C574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69.000</w:t>
            </w:r>
          </w:p>
        </w:tc>
        <w:tc>
          <w:tcPr>
            <w:tcW w:w="1901" w:type="dxa"/>
          </w:tcPr>
          <w:p w14:paraId="7D08C064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120.000</w:t>
            </w:r>
          </w:p>
        </w:tc>
      </w:tr>
      <w:tr w:rsidR="00A10A93" w:rsidRPr="00B7342E" w14:paraId="04D10BCE" w14:textId="77777777" w:rsidTr="00A10A93">
        <w:tc>
          <w:tcPr>
            <w:tcW w:w="1555" w:type="dxa"/>
          </w:tcPr>
          <w:p w14:paraId="7ADB8B80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01" w:type="dxa"/>
          </w:tcPr>
          <w:p w14:paraId="5383A097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120.000</w:t>
            </w:r>
          </w:p>
        </w:tc>
        <w:tc>
          <w:tcPr>
            <w:tcW w:w="1259" w:type="dxa"/>
          </w:tcPr>
          <w:p w14:paraId="7BB49AB1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6000</w:t>
            </w:r>
          </w:p>
        </w:tc>
        <w:tc>
          <w:tcPr>
            <w:tcW w:w="1353" w:type="dxa"/>
          </w:tcPr>
          <w:p w14:paraId="5A9F7056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60.000</w:t>
            </w:r>
          </w:p>
        </w:tc>
        <w:tc>
          <w:tcPr>
            <w:tcW w:w="1693" w:type="dxa"/>
          </w:tcPr>
          <w:p w14:paraId="31A56CC8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66.000</w:t>
            </w:r>
          </w:p>
        </w:tc>
        <w:tc>
          <w:tcPr>
            <w:tcW w:w="1901" w:type="dxa"/>
          </w:tcPr>
          <w:p w14:paraId="324B10D2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60.000</w:t>
            </w:r>
          </w:p>
        </w:tc>
      </w:tr>
      <w:tr w:rsidR="00A10A93" w:rsidRPr="00B7342E" w14:paraId="41E0DE07" w14:textId="77777777" w:rsidTr="00A10A93">
        <w:tc>
          <w:tcPr>
            <w:tcW w:w="1555" w:type="dxa"/>
          </w:tcPr>
          <w:p w14:paraId="62BE8433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01" w:type="dxa"/>
          </w:tcPr>
          <w:p w14:paraId="41E2725E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60.000</w:t>
            </w:r>
          </w:p>
        </w:tc>
        <w:tc>
          <w:tcPr>
            <w:tcW w:w="1259" w:type="dxa"/>
          </w:tcPr>
          <w:p w14:paraId="274A51D2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3000</w:t>
            </w:r>
          </w:p>
        </w:tc>
        <w:tc>
          <w:tcPr>
            <w:tcW w:w="1353" w:type="dxa"/>
          </w:tcPr>
          <w:p w14:paraId="6931BEAD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60.000</w:t>
            </w:r>
          </w:p>
        </w:tc>
        <w:tc>
          <w:tcPr>
            <w:tcW w:w="1693" w:type="dxa"/>
          </w:tcPr>
          <w:p w14:paraId="346CE770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63.000</w:t>
            </w:r>
          </w:p>
        </w:tc>
        <w:tc>
          <w:tcPr>
            <w:tcW w:w="1901" w:type="dxa"/>
          </w:tcPr>
          <w:p w14:paraId="50F77F70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10A93" w:rsidRPr="00B7342E" w14:paraId="61DDCC47" w14:textId="77777777" w:rsidTr="00A10A93">
        <w:tc>
          <w:tcPr>
            <w:tcW w:w="1555" w:type="dxa"/>
          </w:tcPr>
          <w:p w14:paraId="6AB2936C" w14:textId="77777777" w:rsidR="00964E8F" w:rsidRPr="00B7342E" w:rsidRDefault="00A10A93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Gesamt</w:t>
            </w:r>
          </w:p>
        </w:tc>
        <w:tc>
          <w:tcPr>
            <w:tcW w:w="1301" w:type="dxa"/>
          </w:tcPr>
          <w:p w14:paraId="5FCE911D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9" w:type="dxa"/>
          </w:tcPr>
          <w:p w14:paraId="12A2018B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30.000</w:t>
            </w:r>
          </w:p>
        </w:tc>
        <w:tc>
          <w:tcPr>
            <w:tcW w:w="1353" w:type="dxa"/>
          </w:tcPr>
          <w:p w14:paraId="6C21FC92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240000</w:t>
            </w:r>
          </w:p>
        </w:tc>
        <w:tc>
          <w:tcPr>
            <w:tcW w:w="1693" w:type="dxa"/>
          </w:tcPr>
          <w:p w14:paraId="6EE36D64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270000</w:t>
            </w:r>
          </w:p>
        </w:tc>
        <w:tc>
          <w:tcPr>
            <w:tcW w:w="1901" w:type="dxa"/>
          </w:tcPr>
          <w:p w14:paraId="25E87503" w14:textId="77777777" w:rsidR="00964E8F" w:rsidRPr="00B7342E" w:rsidRDefault="00964E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4F2B7FB" w14:textId="77777777" w:rsidR="00964E8F" w:rsidRPr="00B7342E" w:rsidRDefault="00964E8F">
      <w:pPr>
        <w:rPr>
          <w:rFonts w:ascii="Arial" w:hAnsi="Arial" w:cs="Arial"/>
          <w:sz w:val="24"/>
          <w:szCs w:val="24"/>
        </w:rPr>
      </w:pPr>
    </w:p>
    <w:p w14:paraId="3E88D926" w14:textId="77777777" w:rsidR="000C689D" w:rsidRPr="00B7342E" w:rsidRDefault="000C689D">
      <w:pPr>
        <w:rPr>
          <w:rFonts w:ascii="Arial" w:hAnsi="Arial" w:cs="Arial"/>
          <w:sz w:val="24"/>
          <w:szCs w:val="24"/>
        </w:rPr>
      </w:pPr>
      <w:r w:rsidRPr="00B7342E">
        <w:rPr>
          <w:rFonts w:ascii="Arial" w:hAnsi="Arial" w:cs="Arial"/>
          <w:sz w:val="24"/>
          <w:szCs w:val="24"/>
        </w:rPr>
        <w:t>2.Leasing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1"/>
        <w:gridCol w:w="1764"/>
      </w:tblGrid>
      <w:tr w:rsidR="000C689D" w:rsidRPr="00B7342E" w14:paraId="5E87B66E" w14:textId="77777777" w:rsidTr="000C689D">
        <w:tc>
          <w:tcPr>
            <w:tcW w:w="1510" w:type="dxa"/>
          </w:tcPr>
          <w:p w14:paraId="22FF4CCA" w14:textId="77777777" w:rsidR="000C689D" w:rsidRPr="00B7342E" w:rsidRDefault="000C689D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Jahr</w:t>
            </w:r>
            <w:r w:rsidR="00A10A93" w:rsidRPr="00B7342E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510" w:type="dxa"/>
          </w:tcPr>
          <w:p w14:paraId="3731ADE3" w14:textId="77777777" w:rsidR="000C689D" w:rsidRPr="00B7342E" w:rsidRDefault="000C689D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Leasingrate in €</w:t>
            </w:r>
          </w:p>
        </w:tc>
        <w:tc>
          <w:tcPr>
            <w:tcW w:w="1511" w:type="dxa"/>
          </w:tcPr>
          <w:p w14:paraId="07E8A267" w14:textId="77777777" w:rsidR="000C689D" w:rsidRPr="00B7342E" w:rsidRDefault="000C689D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Restwert</w:t>
            </w:r>
          </w:p>
          <w:p w14:paraId="02AB0118" w14:textId="77777777" w:rsidR="000C689D" w:rsidRPr="00B7342E" w:rsidRDefault="000C689D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Nach 4 Jahre</w:t>
            </w:r>
          </w:p>
        </w:tc>
        <w:tc>
          <w:tcPr>
            <w:tcW w:w="1511" w:type="dxa"/>
          </w:tcPr>
          <w:p w14:paraId="7555A79E" w14:textId="77777777" w:rsidR="000C689D" w:rsidRPr="00B7342E" w:rsidRDefault="000C689D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Gesamte</w:t>
            </w:r>
          </w:p>
          <w:p w14:paraId="720C578D" w14:textId="77777777" w:rsidR="000C689D" w:rsidRPr="00B7342E" w:rsidRDefault="000C689D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Leasingkosten in €</w:t>
            </w:r>
          </w:p>
        </w:tc>
      </w:tr>
      <w:tr w:rsidR="000C689D" w:rsidRPr="00B7342E" w14:paraId="352760C5" w14:textId="77777777" w:rsidTr="000C689D">
        <w:tc>
          <w:tcPr>
            <w:tcW w:w="1510" w:type="dxa"/>
          </w:tcPr>
          <w:p w14:paraId="176E7DB1" w14:textId="77777777" w:rsidR="000C689D" w:rsidRPr="00B7342E" w:rsidRDefault="000C689D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04D8C014" w14:textId="77777777" w:rsidR="000C689D" w:rsidRPr="00B7342E" w:rsidRDefault="000C689D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72.000</w:t>
            </w:r>
          </w:p>
        </w:tc>
        <w:tc>
          <w:tcPr>
            <w:tcW w:w="1511" w:type="dxa"/>
          </w:tcPr>
          <w:p w14:paraId="0A4D6B67" w14:textId="77777777" w:rsidR="000C689D" w:rsidRPr="00B7342E" w:rsidRDefault="00A10A93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304.000</w:t>
            </w:r>
          </w:p>
        </w:tc>
        <w:tc>
          <w:tcPr>
            <w:tcW w:w="1511" w:type="dxa"/>
          </w:tcPr>
          <w:p w14:paraId="571E015E" w14:textId="77777777" w:rsidR="000C689D" w:rsidRPr="00B7342E" w:rsidRDefault="00A10A93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232.000</w:t>
            </w:r>
          </w:p>
        </w:tc>
      </w:tr>
      <w:tr w:rsidR="000C689D" w:rsidRPr="00B7342E" w14:paraId="29B30688" w14:textId="77777777" w:rsidTr="000C689D">
        <w:tc>
          <w:tcPr>
            <w:tcW w:w="1510" w:type="dxa"/>
          </w:tcPr>
          <w:p w14:paraId="42B83571" w14:textId="77777777" w:rsidR="000C689D" w:rsidRPr="00B7342E" w:rsidRDefault="000C689D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10" w:type="dxa"/>
          </w:tcPr>
          <w:p w14:paraId="2FE6FBA8" w14:textId="77777777" w:rsidR="000C689D" w:rsidRPr="00B7342E" w:rsidRDefault="00A10A93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72.000</w:t>
            </w:r>
          </w:p>
        </w:tc>
        <w:tc>
          <w:tcPr>
            <w:tcW w:w="1511" w:type="dxa"/>
          </w:tcPr>
          <w:p w14:paraId="4B511A12" w14:textId="77777777" w:rsidR="000C689D" w:rsidRPr="00B7342E" w:rsidRDefault="00A10A93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232.000</w:t>
            </w:r>
          </w:p>
        </w:tc>
        <w:tc>
          <w:tcPr>
            <w:tcW w:w="1511" w:type="dxa"/>
          </w:tcPr>
          <w:p w14:paraId="01620DAB" w14:textId="77777777" w:rsidR="000C689D" w:rsidRPr="00B7342E" w:rsidRDefault="00A10A93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160.000</w:t>
            </w:r>
          </w:p>
        </w:tc>
      </w:tr>
      <w:tr w:rsidR="000C689D" w:rsidRPr="00B7342E" w14:paraId="7920B167" w14:textId="77777777" w:rsidTr="000C689D">
        <w:tc>
          <w:tcPr>
            <w:tcW w:w="1510" w:type="dxa"/>
          </w:tcPr>
          <w:p w14:paraId="540E45BB" w14:textId="77777777" w:rsidR="000C689D" w:rsidRPr="00B7342E" w:rsidRDefault="000C689D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10" w:type="dxa"/>
          </w:tcPr>
          <w:p w14:paraId="4295F05C" w14:textId="77777777" w:rsidR="000C689D" w:rsidRPr="00B7342E" w:rsidRDefault="00A10A93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72.000</w:t>
            </w:r>
          </w:p>
        </w:tc>
        <w:tc>
          <w:tcPr>
            <w:tcW w:w="1511" w:type="dxa"/>
          </w:tcPr>
          <w:p w14:paraId="0D32DE47" w14:textId="77777777" w:rsidR="000C689D" w:rsidRPr="00B7342E" w:rsidRDefault="00A10A93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160.000</w:t>
            </w:r>
          </w:p>
        </w:tc>
        <w:tc>
          <w:tcPr>
            <w:tcW w:w="1511" w:type="dxa"/>
          </w:tcPr>
          <w:p w14:paraId="73860FFF" w14:textId="77777777" w:rsidR="000C689D" w:rsidRPr="00B7342E" w:rsidRDefault="00A10A93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88.000</w:t>
            </w:r>
          </w:p>
        </w:tc>
      </w:tr>
      <w:tr w:rsidR="000C689D" w:rsidRPr="00B7342E" w14:paraId="06631491" w14:textId="77777777" w:rsidTr="000C689D">
        <w:tc>
          <w:tcPr>
            <w:tcW w:w="1510" w:type="dxa"/>
          </w:tcPr>
          <w:p w14:paraId="7642C1B6" w14:textId="77777777" w:rsidR="000C689D" w:rsidRPr="00B7342E" w:rsidRDefault="000C689D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10" w:type="dxa"/>
          </w:tcPr>
          <w:p w14:paraId="7A0E68B6" w14:textId="77777777" w:rsidR="000C689D" w:rsidRPr="00B7342E" w:rsidRDefault="00A10A93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72.000 + 16000</w:t>
            </w:r>
          </w:p>
        </w:tc>
        <w:tc>
          <w:tcPr>
            <w:tcW w:w="1511" w:type="dxa"/>
          </w:tcPr>
          <w:p w14:paraId="15D4093A" w14:textId="77777777" w:rsidR="000C689D" w:rsidRPr="00B7342E" w:rsidRDefault="00A10A93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88.000</w:t>
            </w:r>
          </w:p>
        </w:tc>
        <w:tc>
          <w:tcPr>
            <w:tcW w:w="1511" w:type="dxa"/>
          </w:tcPr>
          <w:p w14:paraId="0272BA56" w14:textId="77777777" w:rsidR="000C689D" w:rsidRPr="00B7342E" w:rsidRDefault="00A10A93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C689D" w:rsidRPr="00B7342E" w14:paraId="1C8EEAFB" w14:textId="77777777" w:rsidTr="000C689D">
        <w:tc>
          <w:tcPr>
            <w:tcW w:w="1510" w:type="dxa"/>
          </w:tcPr>
          <w:p w14:paraId="2218AF4F" w14:textId="77777777" w:rsidR="000C689D" w:rsidRPr="00B7342E" w:rsidRDefault="000C689D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Gesamt</w:t>
            </w:r>
          </w:p>
        </w:tc>
        <w:tc>
          <w:tcPr>
            <w:tcW w:w="1510" w:type="dxa"/>
          </w:tcPr>
          <w:p w14:paraId="280A2FC0" w14:textId="77777777" w:rsidR="000C689D" w:rsidRPr="00B7342E" w:rsidRDefault="00A10A93">
            <w:pPr>
              <w:rPr>
                <w:rFonts w:ascii="Arial" w:hAnsi="Arial" w:cs="Arial"/>
                <w:sz w:val="24"/>
                <w:szCs w:val="24"/>
              </w:rPr>
            </w:pPr>
            <w:r w:rsidRPr="00B7342E">
              <w:rPr>
                <w:rFonts w:ascii="Arial" w:hAnsi="Arial" w:cs="Arial"/>
                <w:sz w:val="24"/>
                <w:szCs w:val="24"/>
              </w:rPr>
              <w:t>304.000</w:t>
            </w:r>
          </w:p>
        </w:tc>
        <w:tc>
          <w:tcPr>
            <w:tcW w:w="1511" w:type="dxa"/>
          </w:tcPr>
          <w:p w14:paraId="29D69CF9" w14:textId="77777777" w:rsidR="000C689D" w:rsidRPr="00B7342E" w:rsidRDefault="000C68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1" w:type="dxa"/>
          </w:tcPr>
          <w:p w14:paraId="2950D1D7" w14:textId="77777777" w:rsidR="000C689D" w:rsidRPr="00B7342E" w:rsidRDefault="000C689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D94E0D" w14:textId="77777777" w:rsidR="000C689D" w:rsidRPr="00B7342E" w:rsidRDefault="000C689D">
      <w:pPr>
        <w:rPr>
          <w:rFonts w:ascii="Arial" w:hAnsi="Arial" w:cs="Arial"/>
          <w:sz w:val="24"/>
          <w:szCs w:val="24"/>
        </w:rPr>
      </w:pPr>
    </w:p>
    <w:p w14:paraId="78942704" w14:textId="2CD11587" w:rsidR="000C689D" w:rsidRDefault="00A10A93">
      <w:pPr>
        <w:rPr>
          <w:rFonts w:ascii="Arial" w:hAnsi="Arial" w:cs="Arial"/>
          <w:sz w:val="24"/>
          <w:szCs w:val="24"/>
        </w:rPr>
      </w:pPr>
      <w:r w:rsidRPr="00B7342E">
        <w:rPr>
          <w:rFonts w:ascii="Arial" w:hAnsi="Arial" w:cs="Arial"/>
          <w:sz w:val="24"/>
          <w:szCs w:val="24"/>
        </w:rPr>
        <w:t xml:space="preserve">Das Darlehen ist die wirtschaftliche Alternative. Es ist 34.000€ günstiger. Die Abweichung in Prozent beträgt </w:t>
      </w:r>
      <w:r w:rsidR="000E5278" w:rsidRPr="00B7342E">
        <w:rPr>
          <w:rFonts w:ascii="Arial" w:hAnsi="Arial" w:cs="Arial"/>
          <w:sz w:val="24"/>
          <w:szCs w:val="24"/>
        </w:rPr>
        <w:t>ca.</w:t>
      </w:r>
      <w:r w:rsidRPr="00B7342E">
        <w:rPr>
          <w:rFonts w:ascii="Arial" w:hAnsi="Arial" w:cs="Arial"/>
          <w:sz w:val="24"/>
          <w:szCs w:val="24"/>
        </w:rPr>
        <w:t xml:space="preserve"> 11,2</w:t>
      </w:r>
      <w:r w:rsidR="000E5278" w:rsidRPr="00B7342E">
        <w:rPr>
          <w:rFonts w:ascii="Arial" w:hAnsi="Arial" w:cs="Arial"/>
          <w:sz w:val="24"/>
          <w:szCs w:val="24"/>
        </w:rPr>
        <w:t>%.</w:t>
      </w:r>
    </w:p>
    <w:p w14:paraId="52FFCA65" w14:textId="77777777" w:rsidR="003E2EBC" w:rsidRPr="003E2EBC" w:rsidRDefault="003E2EBC" w:rsidP="003E2EBC">
      <w:pPr>
        <w:pStyle w:val="Standard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3E2EBC">
        <w:rPr>
          <w:rFonts w:ascii="Arial" w:hAnsi="Arial" w:cs="Arial"/>
          <w:lang w:val="en-US"/>
        </w:rPr>
        <w:t xml:space="preserve">Source: </w:t>
      </w:r>
      <w:r w:rsidRPr="003E2EBC">
        <w:rPr>
          <w:rFonts w:ascii="Segoe UI" w:hAnsi="Segoe UI" w:cs="Segoe UI"/>
          <w:b/>
          <w:bCs/>
          <w:color w:val="000000"/>
          <w:sz w:val="21"/>
          <w:szCs w:val="21"/>
          <w:lang w:val="en-US"/>
        </w:rPr>
        <w:t>Accounting Foundations: Leases</w:t>
      </w:r>
    </w:p>
    <w:p w14:paraId="3A046640" w14:textId="77777777" w:rsidR="003E2EBC" w:rsidRPr="003E2EBC" w:rsidRDefault="003E2EBC" w:rsidP="003E2E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 w:eastAsia="de-DE"/>
        </w:rPr>
      </w:pPr>
      <w:r w:rsidRPr="003E2EBC">
        <w:rPr>
          <w:rFonts w:ascii="Segoe UI" w:eastAsia="Times New Roman" w:hAnsi="Segoe UI" w:cs="Segoe UI"/>
          <w:color w:val="000000"/>
          <w:sz w:val="21"/>
          <w:szCs w:val="21"/>
          <w:lang w:val="en-US" w:eastAsia="de-DE"/>
        </w:rPr>
        <w:t>LinkedIn Learning</w:t>
      </w:r>
    </w:p>
    <w:p w14:paraId="6C33AC37" w14:textId="55D36BC2" w:rsidR="003E2EBC" w:rsidRPr="003E2EBC" w:rsidRDefault="003E2EBC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3E2EBC" w:rsidRPr="003E2E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E67C4"/>
    <w:multiLevelType w:val="hybridMultilevel"/>
    <w:tmpl w:val="846A56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16A5D"/>
    <w:multiLevelType w:val="hybridMultilevel"/>
    <w:tmpl w:val="E170116C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732C41"/>
    <w:multiLevelType w:val="hybridMultilevel"/>
    <w:tmpl w:val="86B8B00E"/>
    <w:lvl w:ilvl="0" w:tplc="2F66B47C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b/>
        <w:color w:val="212529"/>
        <w:sz w:val="23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27BFE"/>
    <w:multiLevelType w:val="hybridMultilevel"/>
    <w:tmpl w:val="CA5A9B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CF"/>
    <w:rsid w:val="00026C43"/>
    <w:rsid w:val="00037BF2"/>
    <w:rsid w:val="000407F1"/>
    <w:rsid w:val="000B2E7E"/>
    <w:rsid w:val="000C689D"/>
    <w:rsid w:val="000E5278"/>
    <w:rsid w:val="00150B05"/>
    <w:rsid w:val="00190914"/>
    <w:rsid w:val="001D13D3"/>
    <w:rsid w:val="00234A20"/>
    <w:rsid w:val="00247853"/>
    <w:rsid w:val="00274924"/>
    <w:rsid w:val="00317535"/>
    <w:rsid w:val="00346DFD"/>
    <w:rsid w:val="003E2EBC"/>
    <w:rsid w:val="00420F81"/>
    <w:rsid w:val="004A23D3"/>
    <w:rsid w:val="004B6436"/>
    <w:rsid w:val="0051269B"/>
    <w:rsid w:val="0051789C"/>
    <w:rsid w:val="00523FDC"/>
    <w:rsid w:val="00527679"/>
    <w:rsid w:val="00572A0D"/>
    <w:rsid w:val="005B5F98"/>
    <w:rsid w:val="005F283F"/>
    <w:rsid w:val="005F49B0"/>
    <w:rsid w:val="00602498"/>
    <w:rsid w:val="00677B54"/>
    <w:rsid w:val="007009B5"/>
    <w:rsid w:val="00715629"/>
    <w:rsid w:val="00746968"/>
    <w:rsid w:val="007F2296"/>
    <w:rsid w:val="007F555F"/>
    <w:rsid w:val="00872AC1"/>
    <w:rsid w:val="008E0A30"/>
    <w:rsid w:val="008F6547"/>
    <w:rsid w:val="00964E8F"/>
    <w:rsid w:val="00982B9F"/>
    <w:rsid w:val="009A4083"/>
    <w:rsid w:val="009B19D2"/>
    <w:rsid w:val="009C0B10"/>
    <w:rsid w:val="009D3EE1"/>
    <w:rsid w:val="009E2CB9"/>
    <w:rsid w:val="009E6E85"/>
    <w:rsid w:val="00A040F1"/>
    <w:rsid w:val="00A10A93"/>
    <w:rsid w:val="00A354ED"/>
    <w:rsid w:val="00A776F6"/>
    <w:rsid w:val="00AA12CF"/>
    <w:rsid w:val="00B0496E"/>
    <w:rsid w:val="00B176DF"/>
    <w:rsid w:val="00B7342E"/>
    <w:rsid w:val="00B959DF"/>
    <w:rsid w:val="00CC78D3"/>
    <w:rsid w:val="00CD2EE8"/>
    <w:rsid w:val="00CE2546"/>
    <w:rsid w:val="00CF39B2"/>
    <w:rsid w:val="00D97CFA"/>
    <w:rsid w:val="00DD28DD"/>
    <w:rsid w:val="00DF05A7"/>
    <w:rsid w:val="00E904F3"/>
    <w:rsid w:val="00EF1291"/>
    <w:rsid w:val="00F02742"/>
    <w:rsid w:val="00F10D44"/>
    <w:rsid w:val="00F12ADB"/>
    <w:rsid w:val="00F252FD"/>
    <w:rsid w:val="00FD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00E6E"/>
  <w15:chartTrackingRefBased/>
  <w15:docId w15:val="{EFE52EDE-3880-4E3A-A96D-2870EB34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0E5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64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0E527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Fett">
    <w:name w:val="Strong"/>
    <w:basedOn w:val="Absatz-Standardschriftart"/>
    <w:uiPriority w:val="22"/>
    <w:qFormat/>
    <w:rsid w:val="009C0B10"/>
    <w:rPr>
      <w:b/>
      <w:bCs/>
    </w:rPr>
  </w:style>
  <w:style w:type="paragraph" w:styleId="Listenabsatz">
    <w:name w:val="List Paragraph"/>
    <w:basedOn w:val="Standard"/>
    <w:uiPriority w:val="34"/>
    <w:qFormat/>
    <w:rsid w:val="00B0496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A408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A4083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3E2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DB9C8B8E0E224C98543221711CBFE2" ma:contentTypeVersion="12" ma:contentTypeDescription="Ein neues Dokument erstellen." ma:contentTypeScope="" ma:versionID="d9aafe8d4f89a65c6da25841d238124d">
  <xsd:schema xmlns:xsd="http://www.w3.org/2001/XMLSchema" xmlns:xs="http://www.w3.org/2001/XMLSchema" xmlns:p="http://schemas.microsoft.com/office/2006/metadata/properties" xmlns:ns3="cbc3e7bf-4a07-491f-8e27-ed2d060346bd" xmlns:ns4="4677cf12-9920-46c1-957d-830b0176523f" targetNamespace="http://schemas.microsoft.com/office/2006/metadata/properties" ma:root="true" ma:fieldsID="6dce609f68a693886f5789e1ff942e78" ns3:_="" ns4:_="">
    <xsd:import namespace="cbc3e7bf-4a07-491f-8e27-ed2d060346bd"/>
    <xsd:import namespace="4677cf12-9920-46c1-957d-830b017652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3e7bf-4a07-491f-8e27-ed2d060346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7cf12-9920-46c1-957d-830b017652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165511-C0EC-452A-A555-40E611B3C1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D748E1-8E8D-4F34-8207-C9591D8644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02DD2-48A0-4732-8196-7FD23D7A6C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c3e7bf-4a07-491f-8e27-ed2d060346bd"/>
    <ds:schemaRef ds:uri="4677cf12-9920-46c1-957d-830b017652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Essam Mbeke, Emile</dc:creator>
  <cp:keywords/>
  <dc:description/>
  <cp:lastModifiedBy>Essam Mbeke, Emile</cp:lastModifiedBy>
  <cp:revision>52</cp:revision>
  <dcterms:created xsi:type="dcterms:W3CDTF">2020-12-13T16:21:00Z</dcterms:created>
  <dcterms:modified xsi:type="dcterms:W3CDTF">2020-12-17T09:48:00Z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0x01010084DB9C8B8E0E224C98543221711CBFE2</vt:lpwstr>
  </property>
</Properties>
</file>