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67C2E"/>
          <w:sz w:val="56"/>
        </w:rPr>
        <w:t>IRONMEN</w:t>
      </w:r>
    </w:p>
    <w:p>
      <w:pPr>
        <w:jc w:val="center"/>
      </w:pPr>
      <w:r>
        <w:rPr>
          <w:b/>
          <w:sz w:val="32"/>
        </w:rPr>
        <w:t>IronMen Halfway House</w:t>
      </w:r>
    </w:p>
    <w:p/>
    <w:p>
      <w:pPr>
        <w:jc w:val="center"/>
      </w:pPr>
      <w:r>
        <w:rPr>
          <w:b/>
          <w:sz w:val="44"/>
        </w:rPr>
        <w:t>Intake Criteria &amp; Minimum Requirements</w:t>
      </w:r>
    </w:p>
    <w:p>
      <w:pPr>
        <w:jc w:val="center"/>
      </w:pPr>
      <w:r>
        <w:rPr>
          <w:i/>
        </w:rPr>
        <w:t>Eligibility standards for the 90-day residential program</w:t>
      </w:r>
    </w:p>
    <w:p>
      <w:pPr>
        <w:jc w:val="center"/>
      </w:pPr>
      <w:r>
        <w:t>Version 1.0 | June 18, 2026</w:t>
      </w:r>
    </w:p>
    <w:p>
      <w:pPr>
        <w:jc w:val="center"/>
      </w:pPr>
      <w:r>
        <w:rPr>
          <w:i/>
        </w:rPr>
        <w:t>Forging God-fearing, responsible, and successful men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These criteria ensure that every man admitted to the IronMen Halfway House is ready, eligible, and likely to benefit from the 90-day residential program. Admission is selective. Meeting minimum requirements does not guarantee acceptance.</w:t>
      </w:r>
    </w:p>
    <w:p>
      <w:pPr>
        <w:pStyle w:val="Heading1"/>
      </w:pPr>
      <w:r>
        <w:t>2. Non-Negotiable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Male, aged 18 years or older</w:t>
            </w:r>
          </w:p>
        </w:tc>
        <w:tc>
          <w:tcPr>
            <w:tcW w:type="dxa" w:w="2880"/>
          </w:tcPr>
          <w:p>
            <w:r>
              <w:t>National ID / passport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Willing to live on-site for the full 90 days (12 weeks)</w:t>
            </w:r>
          </w:p>
        </w:tc>
        <w:tc>
          <w:tcPr>
            <w:tcW w:type="dxa" w:w="2880"/>
          </w:tcPr>
          <w:p>
            <w:r>
              <w:t>Signed program agreement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Committed to a God-fearing, faith-based lifestyle during residence</w:t>
            </w:r>
          </w:p>
        </w:tc>
        <w:tc>
          <w:tcPr>
            <w:tcW w:type="dxa" w:w="2880"/>
          </w:tcPr>
          <w:p>
            <w:r>
              <w:t>Pastoral interview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Willing to abstain from pornography, gambling, drugs, and alcohol for entire stay</w:t>
            </w:r>
          </w:p>
        </w:tc>
        <w:tc>
          <w:tcPr>
            <w:tcW w:type="dxa" w:w="2880"/>
          </w:tcPr>
          <w:p>
            <w:r>
              <w:t>Written commitment + random checks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Medically stable — no condition requiring hospitalisation during program</w:t>
            </w:r>
          </w:p>
        </w:tc>
        <w:tc>
          <w:tcPr>
            <w:tcW w:type="dxa" w:w="2880"/>
          </w:tcPr>
          <w:p>
            <w:r>
              <w:t>Medical clearance form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Mentally stable — not in acute psychiatric crisis</w:t>
            </w:r>
          </w:p>
        </w:tc>
        <w:tc>
          <w:tcPr>
            <w:tcW w:type="dxa" w:w="2880"/>
          </w:tcPr>
          <w:p>
            <w:r>
              <w:t>Counsellor / clinician assessment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 active violent behaviour or threat to other residents or staff</w:t>
            </w:r>
          </w:p>
        </w:tc>
        <w:tc>
          <w:tcPr>
            <w:tcW w:type="dxa" w:w="2880"/>
          </w:tcPr>
          <w:p>
            <w:r>
              <w:t>Background check + interview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Literate enough to follow training, journaling, and house rules (Kiswahili or English)</w:t>
            </w:r>
          </w:p>
        </w:tc>
        <w:tc>
          <w:tcPr>
            <w:tcW w:type="dxa" w:w="2880"/>
          </w:tcPr>
          <w:p>
            <w:r>
              <w:t>Basic literacy screening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Genuinely motivated to change — not attending only due to external pressure</w:t>
            </w:r>
          </w:p>
        </w:tc>
        <w:tc>
          <w:tcPr>
            <w:tcW w:type="dxa" w:w="2880"/>
          </w:tcPr>
          <w:p>
            <w:r>
              <w:t>Director interview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Agrees to all house rules, daily schedule, and accountability measures</w:t>
            </w:r>
          </w:p>
        </w:tc>
        <w:tc>
          <w:tcPr>
            <w:tcW w:type="dxa" w:w="2880"/>
          </w:tcPr>
          <w:p>
            <w:r>
              <w:t>Signed handbook acknowledgement</w:t>
            </w:r>
          </w:p>
        </w:tc>
      </w:tr>
    </w:tbl>
    <w:p/>
    <w:p>
      <w:pPr>
        <w:pStyle w:val="Heading1"/>
      </w:pPr>
      <w:r>
        <w:t>3. Preferred Qualities (Strengthen Application)</w:t>
      </w:r>
    </w:p>
    <w:p>
      <w:pPr>
        <w:pStyle w:val="ListBullet"/>
      </w:pPr>
      <w:r>
        <w:t>Acknowledges personal struggles openly (addiction, unemployment, lack of direction)</w:t>
      </w:r>
    </w:p>
    <w:p>
      <w:pPr>
        <w:pStyle w:val="ListBullet"/>
      </w:pPr>
      <w:r>
        <w:t>Has at least one positive reference (pastor, employer, family member, community leader)</w:t>
      </w:r>
    </w:p>
    <w:p>
      <w:pPr>
        <w:pStyle w:val="ListBullet"/>
      </w:pPr>
      <w:r>
        <w:t>Willing to be placed in employment or apprenticeship after graduation</w:t>
      </w:r>
    </w:p>
    <w:p>
      <w:pPr>
        <w:pStyle w:val="ListBullet"/>
      </w:pPr>
      <w:r>
        <w:t>Demonstrates respect for authority and willingness to receive correction</w:t>
      </w:r>
    </w:p>
    <w:p>
      <w:pPr>
        <w:pStyle w:val="ListBullet"/>
      </w:pPr>
      <w:r>
        <w:t>No pending criminal matters that would require leaving the program</w:t>
      </w:r>
    </w:p>
    <w:p>
      <w:pPr>
        <w:pStyle w:val="ListBullet"/>
      </w:pPr>
      <w:r>
        <w:t>Has completed or is willing to complete detoxification if substance history exists (case by case)</w:t>
      </w:r>
    </w:p>
    <w:p>
      <w:pPr>
        <w:pStyle w:val="Heading1"/>
      </w:pPr>
      <w:r>
        <w:t>4. Automatic Disqualifiers</w:t>
      </w:r>
    </w:p>
    <w:p>
      <w:pPr>
        <w:pStyle w:val="ListBullet"/>
      </w:pPr>
      <w:r>
        <w:t>Under 18 years of age</w:t>
      </w:r>
    </w:p>
    <w:p>
      <w:pPr>
        <w:pStyle w:val="ListBullet"/>
      </w:pPr>
      <w:r>
        <w:t>Unwilling to participate in faith-based activities (devotion, prayer, Scripture study)</w:t>
      </w:r>
    </w:p>
    <w:p>
      <w:pPr>
        <w:pStyle w:val="ListBullet"/>
      </w:pPr>
      <w:r>
        <w:t>Active, unrepentant involvement in pornography, gambling, or substance use at intake</w:t>
      </w:r>
    </w:p>
    <w:p>
      <w:pPr>
        <w:pStyle w:val="ListBullet"/>
      </w:pPr>
      <w:r>
        <w:t>History of sexual offences or violence against women/children</w:t>
      </w:r>
    </w:p>
    <w:p>
      <w:pPr>
        <w:pStyle w:val="ListBullet"/>
      </w:pPr>
      <w:r>
        <w:t>Severe untreated mental illness posing risk to self or others</w:t>
      </w:r>
    </w:p>
    <w:p>
      <w:pPr>
        <w:pStyle w:val="ListBullet"/>
      </w:pPr>
      <w:r>
        <w:t>Refusal to submit to house rules, curfew, phone policy, or drug testing</w:t>
      </w:r>
    </w:p>
    <w:p>
      <w:pPr>
        <w:pStyle w:val="ListBullet"/>
      </w:pPr>
      <w:r>
        <w:t>Known gang activity or criminal enterprise involvement</w:t>
      </w:r>
    </w:p>
    <w:p>
      <w:pPr>
        <w:pStyle w:val="ListBullet"/>
      </w:pPr>
      <w:r>
        <w:t>Medical condition requiring specialised care unavailable at the facility</w:t>
      </w:r>
    </w:p>
    <w:p>
      <w:pPr>
        <w:pStyle w:val="ListBullet"/>
      </w:pPr>
      <w:r>
        <w:t>Dismissive or hostile attitude toward mentorship and correction</w:t>
      </w:r>
    </w:p>
    <w:p>
      <w:pPr>
        <w:pStyle w:val="Heading1"/>
      </w:pPr>
      <w:r>
        <w:t>5. Intake Process (5 Steps)</w:t>
      </w:r>
    </w:p>
    <w:p>
      <w:pPr>
        <w:pStyle w:val="ListNumber"/>
      </w:pPr>
      <w:r>
        <w:t>Initial enquiry — applicant or referral partner contacts IronMen</w:t>
      </w:r>
    </w:p>
    <w:p>
      <w:pPr>
        <w:pStyle w:val="ListNumber"/>
      </w:pPr>
      <w:r>
        <w:t>Pre-screening — age, motivation, and basic eligibility confirmed by phone or in person</w:t>
      </w:r>
    </w:p>
    <w:p>
      <w:pPr>
        <w:pStyle w:val="ListNumber"/>
      </w:pPr>
      <w:r>
        <w:t>Application &amp; documentation — completed intake form, ID copy, references, medical clearance</w:t>
      </w:r>
    </w:p>
    <w:p>
      <w:pPr>
        <w:pStyle w:val="ListNumber"/>
      </w:pPr>
      <w:r>
        <w:t>Interview panel — House Director + Mentor + Pastor/Counsellor (when available)</w:t>
      </w:r>
    </w:p>
    <w:p>
      <w:pPr>
        <w:pStyle w:val="ListNumber"/>
      </w:pPr>
      <w:r>
        <w:t>Admission decision — admit, waitlist, or decline with written reason</w:t>
      </w:r>
    </w:p>
    <w:p>
      <w:pPr>
        <w:pStyle w:val="Heading1"/>
      </w:pPr>
      <w:r>
        <w:t>6. Required Documents at Intake</w:t>
      </w:r>
    </w:p>
    <w:p>
      <w:pPr>
        <w:pStyle w:val="ListBullet"/>
      </w:pPr>
      <w:r>
        <w:t>Completed Resident Intake Form</w:t>
      </w:r>
    </w:p>
    <w:p>
      <w:pPr>
        <w:pStyle w:val="ListBullet"/>
      </w:pPr>
      <w:r>
        <w:t>Copy of National ID or passport</w:t>
      </w:r>
    </w:p>
    <w:p>
      <w:pPr>
        <w:pStyle w:val="ListBullet"/>
      </w:pPr>
      <w:r>
        <w:t>Two reference letters (one spiritual, one character/professional)</w:t>
      </w:r>
    </w:p>
    <w:p>
      <w:pPr>
        <w:pStyle w:val="ListBullet"/>
      </w:pPr>
      <w:r>
        <w:t>Medical clearance certificate (within 30 days)</w:t>
      </w:r>
    </w:p>
    <w:p>
      <w:pPr>
        <w:pStyle w:val="ListBullet"/>
      </w:pPr>
      <w:r>
        <w:t>Signed House Rules Handbook acknowledgement</w:t>
      </w:r>
    </w:p>
    <w:p>
      <w:pPr>
        <w:pStyle w:val="ListBullet"/>
      </w:pPr>
      <w:r>
        <w:t>Signed Program Agreement (90-day commitment)</w:t>
      </w:r>
    </w:p>
    <w:p>
      <w:pPr>
        <w:pStyle w:val="ListBullet"/>
      </w:pPr>
      <w:r>
        <w:t>Emergency contact details</w:t>
      </w:r>
    </w:p>
    <w:p>
      <w:pPr>
        <w:pStyle w:val="ListBullet"/>
      </w:pPr>
      <w:r>
        <w:t>Photograph for resident file</w:t>
      </w:r>
    </w:p>
    <w:p>
      <w:pPr>
        <w:pStyle w:val="Heading1"/>
      </w:pPr>
      <w:r>
        <w:t>7. Scoring Rubric (Interview Panel)</w:t>
      </w:r>
    </w:p>
    <w:p>
      <w:r>
        <w:t>Each panel member scores the applicant 1–5 on the following. Minimum average score of 3.5 required for admission.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(Poor)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 (Acceptable)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 (Excellent)</w:t>
            </w:r>
          </w:p>
        </w:tc>
      </w:tr>
      <w:tr>
        <w:tc>
          <w:tcPr>
            <w:tcW w:type="dxa" w:w="2160"/>
          </w:tcPr>
          <w:p>
            <w:r>
              <w:t>Motivation to change</w:t>
            </w:r>
          </w:p>
        </w:tc>
        <w:tc>
          <w:tcPr>
            <w:tcW w:type="dxa" w:w="2160"/>
          </w:tcPr>
          <w:p>
            <w:r>
              <w:t>Forced attendance</w:t>
            </w:r>
          </w:p>
        </w:tc>
        <w:tc>
          <w:tcPr>
            <w:tcW w:type="dxa" w:w="2160"/>
          </w:tcPr>
          <w:p>
            <w:r>
              <w:t>Willing but uncertain</w:t>
            </w:r>
          </w:p>
        </w:tc>
        <w:tc>
          <w:tcPr>
            <w:tcW w:type="dxa" w:w="2160"/>
          </w:tcPr>
          <w:p>
            <w:r>
              <w:t>Deeply committed</w:t>
            </w:r>
          </w:p>
        </w:tc>
      </w:tr>
      <w:tr>
        <w:tc>
          <w:tcPr>
            <w:tcW w:type="dxa" w:w="2160"/>
          </w:tcPr>
          <w:p>
            <w:r>
              <w:t>Faith openness</w:t>
            </w:r>
          </w:p>
        </w:tc>
        <w:tc>
          <w:tcPr>
            <w:tcW w:type="dxa" w:w="2160"/>
          </w:tcPr>
          <w:p>
            <w:r>
              <w:t>Hostile to faith</w:t>
            </w:r>
          </w:p>
        </w:tc>
        <w:tc>
          <w:tcPr>
            <w:tcW w:type="dxa" w:w="2160"/>
          </w:tcPr>
          <w:p>
            <w:r>
              <w:t>Respectful, open</w:t>
            </w:r>
          </w:p>
        </w:tc>
        <w:tc>
          <w:tcPr>
            <w:tcW w:type="dxa" w:w="2160"/>
          </w:tcPr>
          <w:p>
            <w:r>
              <w:t>Actively seeking God</w:t>
            </w:r>
          </w:p>
        </w:tc>
      </w:tr>
      <w:tr>
        <w:tc>
          <w:tcPr>
            <w:tcW w:type="dxa" w:w="2160"/>
          </w:tcPr>
          <w:p>
            <w:r>
              <w:t>Discipline potential</w:t>
            </w:r>
          </w:p>
        </w:tc>
        <w:tc>
          <w:tcPr>
            <w:tcW w:type="dxa" w:w="2160"/>
          </w:tcPr>
          <w:p>
            <w:r>
              <w:t>Defiant</w:t>
            </w:r>
          </w:p>
        </w:tc>
        <w:tc>
          <w:tcPr>
            <w:tcW w:type="dxa" w:w="2160"/>
          </w:tcPr>
          <w:p>
            <w:r>
              <w:t>Can follow rules with support</w:t>
            </w:r>
          </w:p>
        </w:tc>
        <w:tc>
          <w:tcPr>
            <w:tcW w:type="dxa" w:w="2160"/>
          </w:tcPr>
          <w:p>
            <w:r>
              <w:t>Self-disciplined</w:t>
            </w:r>
          </w:p>
        </w:tc>
      </w:tr>
      <w:tr>
        <w:tc>
          <w:tcPr>
            <w:tcW w:type="dxa" w:w="2160"/>
          </w:tcPr>
          <w:p>
            <w:r>
              <w:t>Honesty</w:t>
            </w:r>
          </w:p>
        </w:tc>
        <w:tc>
          <w:tcPr>
            <w:tcW w:type="dxa" w:w="2160"/>
          </w:tcPr>
          <w:p>
            <w:r>
              <w:t>Deceptive answers</w:t>
            </w:r>
          </w:p>
        </w:tc>
        <w:tc>
          <w:tcPr>
            <w:tcW w:type="dxa" w:w="2160"/>
          </w:tcPr>
          <w:p>
            <w:r>
              <w:t>Mostly honest</w:t>
            </w:r>
          </w:p>
        </w:tc>
        <w:tc>
          <w:tcPr>
            <w:tcW w:type="dxa" w:w="2160"/>
          </w:tcPr>
          <w:p>
            <w:r>
              <w:t>Transparent about struggles</w:t>
            </w:r>
          </w:p>
        </w:tc>
      </w:tr>
      <w:tr>
        <w:tc>
          <w:tcPr>
            <w:tcW w:type="dxa" w:w="2160"/>
          </w:tcPr>
          <w:p>
            <w:r>
              <w:t>Work readiness</w:t>
            </w:r>
          </w:p>
        </w:tc>
        <w:tc>
          <w:tcPr>
            <w:tcW w:type="dxa" w:w="2160"/>
          </w:tcPr>
          <w:p>
            <w:r>
              <w:t>Refuses work</w:t>
            </w:r>
          </w:p>
        </w:tc>
        <w:tc>
          <w:tcPr>
            <w:tcW w:type="dxa" w:w="2160"/>
          </w:tcPr>
          <w:p>
            <w:r>
              <w:t>Open to training</w:t>
            </w:r>
          </w:p>
        </w:tc>
        <w:tc>
          <w:tcPr>
            <w:tcW w:type="dxa" w:w="2160"/>
          </w:tcPr>
          <w:p>
            <w:r>
              <w:t>Eager for apprenticeship</w:t>
            </w:r>
          </w:p>
        </w:tc>
      </w:tr>
      <w:tr>
        <w:tc>
          <w:tcPr>
            <w:tcW w:type="dxa" w:w="2160"/>
          </w:tcPr>
          <w:p>
            <w:r>
              <w:t>Community fit</w:t>
            </w:r>
          </w:p>
        </w:tc>
        <w:tc>
          <w:tcPr>
            <w:tcW w:type="dxa" w:w="2160"/>
          </w:tcPr>
          <w:p>
            <w:r>
              <w:t>Disruptive tendencies</w:t>
            </w:r>
          </w:p>
        </w:tc>
        <w:tc>
          <w:tcPr>
            <w:tcW w:type="dxa" w:w="2160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Humble, teachable spirit</w:t>
            </w:r>
          </w:p>
        </w:tc>
      </w:tr>
    </w:tbl>
    <w:p/>
    <w:p>
      <w:pPr>
        <w:pStyle w:val="Heading1"/>
      </w:pPr>
      <w:r>
        <w:t>8. Capacity &amp; Waiting List</w:t>
      </w:r>
    </w:p>
    <w:p>
      <w:r>
        <w:t>The house accommodates a maximum of 10 residents per cohort. When full, qualified applicants are placed on a waiting list for the next intake. A new cohort begins after the previous group graduates.</w:t>
      </w:r>
    </w:p>
    <w:p>
      <w:pPr>
        <w:pStyle w:val="Heading1"/>
      </w:pPr>
      <w:r>
        <w:t>9. Approval Authority</w:t>
      </w:r>
    </w:p>
    <w:p>
      <w:r>
        <w:t>Final admission authority rests with the House Director, in consultation with at least one mentor and one pastoral adviser. All admission decisions are documented in the resident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