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0"/>
        </w:rPr>
        <w:t>PROPOSAL PROYEK SISTEM CERDAS &amp; COMPUTER VISION</w:t>
      </w:r>
    </w:p>
    <w:p>
      <w:pPr>
        <w:jc w:val="center"/>
      </w:pPr>
      <w:r>
        <w:rPr>
          <w:b/>
          <w:i w:val="0"/>
          <w:sz w:val="26"/>
        </w:rPr>
        <w:t>WarnaIn v3: Komparasi Kinerja dan Analisis Perilaku Tiga Paradigma Deep Learning (CNN vs. GAN vs. Vision Transformer) pada Restorasi Citra Monokrom Berbasis Dekomposisi Ruang Warna CIE L*a*b*</w:t>
      </w:r>
    </w:p>
    <w:p/>
    <w:p/>
    <w:p/>
    <w:p/>
    <w:p/>
    <w:p>
      <w:pPr>
        <w:jc w:val="center"/>
      </w:pPr>
      <w:r>
        <w:rPr>
          <w:b w:val="0"/>
          <w:i w:val="0"/>
        </w:rPr>
        <w:t>Disusun oleh:</w:t>
      </w:r>
    </w:p>
    <w:p>
      <w:pPr>
        <w:jc w:val="center"/>
      </w:pPr>
      <w:r>
        <w:rPr>
          <w:b/>
          <w:i w:val="0"/>
        </w:rPr>
        <w:t>Ihsan Panji Rahmawan</w:t>
        <w:br/>
        <w:t>James Michael Lionel</w:t>
        <w:br/>
        <w:t>Muhammad Rasyadu</w:t>
      </w:r>
    </w:p>
    <w:p/>
    <w:p/>
    <w:p>
      <w:pPr>
        <w:jc w:val="center"/>
      </w:pPr>
      <w:r>
        <w:rPr>
          <w:b w:val="0"/>
          <w:i w:val="0"/>
        </w:rPr>
        <w:t>Program Studi Computer Science</w:t>
        <w:br/>
        <w:t>Fakultas Ilmu Komputer</w:t>
        <w:br/>
        <w:t>2026</w:t>
      </w:r>
    </w:p>
    <w:p>
      <w:r>
        <w:br w:type="page"/>
      </w:r>
    </w:p>
    <w:p>
      <w:pPr>
        <w:pStyle w:val="Heading1"/>
      </w:pPr>
      <w:r>
        <w:t>A. Latar Belakang</w:t>
      </w:r>
    </w:p>
    <w:p>
      <w:pPr>
        <w:pStyle w:val="ListNumber"/>
        <w:jc w:val="both"/>
      </w:pPr>
      <w:r>
        <w:rPr>
          <w:b/>
        </w:rPr>
        <w:t xml:space="preserve">Tuntutan Capaian Pembelajaran Akademik (LO3 &amp; LO4). </w:t>
      </w:r>
      <w:r>
        <w:t>Sesuai arahan dewan penguji akademik, pengembangan sistem restorasi citra tidak hanya dituntut untuk membangun artefak aplikasi yang berfungsi, melainkan wajib membuktikan pencapaian Learning Outcome 3 (LO3: Analisis Perilaku Model) dan Learning Outcome 4 (LO4: Evaluasi Limitasi Pendekatan Deep Learning). Oleh karena itu, proyek 'WarnaIn v3' direfaktor secara komprehensif untuk mengomparasikan secara langsung tiga keluarga model yang merepresentasikan tiga paradigma pembelajaran deep learning yang secara fundamental berbeda: (1) Regresi Piksel Langsung (CNN ResNet-18 U-Net), (2) Pembelajaran Adversarial (Conditional GAN Pix2Pix), dan (3) Mekanisme Self-Attention Global (Vision Transformer Swin-UNet).</w:t>
      </w:r>
    </w:p>
    <w:p>
      <w:pPr>
        <w:pStyle w:val="ListNumber"/>
        <w:jc w:val="both"/>
      </w:pPr>
      <w:r>
        <w:rPr>
          <w:b/>
        </w:rPr>
        <w:t xml:space="preserve">Tantangan Ambiguitas Multimodal pada Ruang Warna RGB. </w:t>
      </w:r>
      <w:r>
        <w:t>Restorasi pewarnaan citra grayscale merupakan masalah ill-posed dengan sifat ambiguitas multimodal tinggi: sebuah objek abu-abu (misalnya pakaian, kendaraan, atau fasad bangunan) memiliki banyak warna kromatis yang sama-sama valid secara visual. Pada ruang warna RGB konvensional, intensitas cahaya dan rona warna terikat erat pada ketiga kanal. Apabila jaringan dipaksa memetakan citra grayscale langsung ke RGB, optimasi numerik cenderung mengalami gejala regression-to-the-mean yang menghasilkan citra kusam/desaturasi kecokelatan serta mengaburkan detail tepi (blurring).</w:t>
      </w:r>
    </w:p>
    <w:p>
      <w:pPr>
        <w:pStyle w:val="ListNumber"/>
        <w:jc w:val="both"/>
      </w:pPr>
      <w:r>
        <w:rPr>
          <w:b/>
        </w:rPr>
        <w:t xml:space="preserve">Keunggulan Dekomposisi Ruang Warna CIE L*a*b*. </w:t>
      </w:r>
      <w:r>
        <w:t>WarnaIn memformulasikan pewarnaan sebagai pemetaan ortogonal pada ruang warna CIE L*a*b*. Kanal luminansi L* (rentang [-1, 1]) memuat 100% informasi iluminasi, gradien tekstur, dan kontur geometris citra asli. Dengan mempertahankan kanal L* sumber tanpa modifikasi (lossless) dan hanya menugaskan model neural untuk memprediksi dua matriks krominansi a*b* (rentang [-1, 1]), ketajaman struktural citra dijamin tetap utuh tanpa degradasi spasial.</w:t>
      </w:r>
    </w:p>
    <w:p>
      <w:pPr>
        <w:pStyle w:val="ListNumber"/>
        <w:jc w:val="both"/>
      </w:pPr>
      <w:r>
        <w:rPr>
          <w:b/>
        </w:rPr>
        <w:t xml:space="preserve">Relevansi Komparasi Tiga Paradigma Arsitektur. </w:t>
      </w:r>
      <w:r>
        <w:t>Ketiga arsitektur yang diangkat mencerminkan filosofi komputasi yang kontras: (a) CNN (ResNet-18 U-Net) mengekstraksi fitur lokal bertingkat melalui operasi konvolusi dan skip connections; (b) GAN (Pix2Pix cGAN) memanfaatkan interaksi minimax antara U-Net Generator dan PatchGAN 70x70 Discriminator untuk memaksa keluaran mendekati manifold visual alami tanpa regresi rata-rata; dan (c) Vision Transformer (Swin-UNet) mengadopsi Windowed Multi-Head Self-Attention (W-MSA &amp; SW-MSA) untuk memodelkan korelasi semantik jarak jauh di seluruh penjuru citra.</w:t>
      </w:r>
    </w:p>
    <w:p>
      <w:pPr>
        <w:pStyle w:val="ListNumber"/>
        <w:jc w:val="both"/>
      </w:pPr>
      <w:r>
        <w:rPr>
          <w:b/>
        </w:rPr>
        <w:t xml:space="preserve">Inovasi Studio Web Editorial Broadsheet WarnaIn v3. </w:t>
      </w:r>
      <w:r>
        <w:t>Seluruh arsitektur diintegrasikan ke dalam Web Studio interaktif berbasis Streamlit dengan antarmuka surat kabar editorial klasik. WarnaIn v3 menghadirkan fitur baru 'Head-to-Head 3-Model Comparison' (4 kolom berdampingan menampilkan input L*, output CNN, GAN, dan Transformer beserta metrik instan), CIE Lab Space Inspector, dan pengujian degradasi saturasi (0–100%) untuk membuktikan ketahanan model.</w:t>
      </w:r>
    </w:p>
    <w:p>
      <w:pPr>
        <w:pStyle w:val="Heading1"/>
      </w:pPr>
      <w:r>
        <w:t>B. Rumusan Masalah dan Tujuan</w:t>
      </w:r>
    </w:p>
    <w:p>
      <w:pPr>
        <w:pStyle w:val="Heading2"/>
      </w:pPr>
      <w:r>
        <w:t>1. Rumusan Masalah</w:t>
      </w:r>
    </w:p>
    <w:p>
      <w:pPr>
        <w:pStyle w:val="ListNumber"/>
        <w:jc w:val="both"/>
      </w:pPr>
      <w:r>
        <w:t>Bagaimana merancang struktur model modular (Multi-Architecture Factory) yang membungkus CNN (ResNet-18 U-Net), Adversarial cGAN (Pix2Pix), dan Vision Transformer (Swin-UNet) dengan antarmuka I/O standar berdimensi (B, 1, 224, 224) menjadi (B, 2, 224, 224) dalam rentang [-1, 1]?</w:t>
      </w:r>
    </w:p>
    <w:p>
      <w:pPr>
        <w:pStyle w:val="ListNumber"/>
        <w:jc w:val="both"/>
      </w:pPr>
      <w:r>
        <w:t>Bagaimana karakteristik perilaku visual (LO3) masing-masing paradigma dalam mensintesis krominansi a*b* terhadap batas kontur, saturasi warna, dan konsistensi semantik?</w:t>
      </w:r>
    </w:p>
    <w:p>
      <w:pPr>
        <w:pStyle w:val="ListNumber"/>
        <w:jc w:val="both"/>
      </w:pPr>
      <w:r>
        <w:t>Apa saja limitasi matematis dan komputasional (LO4) dari pendekatan regresi piksel (Smooth L1/MSE), adversarial loss (PatchGAN), dan self-attention (W-MSA) terkait fenomena regression-to-the-mean, artefak halusinasi, dan latensi inferensi?</w:t>
      </w:r>
    </w:p>
    <w:p>
      <w:pPr>
        <w:pStyle w:val="ListNumber"/>
        <w:jc w:val="both"/>
      </w:pPr>
      <w:r>
        <w:t>Bagaimana membangun antarmuka web interaktif yang memungkinkan pengujian komparatif head-to-head secara simultan dan reproduktif pada dataset benchmark COCO 2017?</w:t>
      </w:r>
    </w:p>
    <w:p>
      <w:pPr>
        <w:pStyle w:val="Heading2"/>
      </w:pPr>
      <w:r>
        <w:t>2. Tujuan Proyek</w:t>
      </w:r>
    </w:p>
    <w:p>
      <w:pPr>
        <w:pStyle w:val="ListNumber"/>
        <w:jc w:val="both"/>
      </w:pPr>
      <w:r>
        <w:rPr>
          <w:b/>
        </w:rPr>
        <w:t xml:space="preserve">Tujuan Rekayasa Arsitektur: </w:t>
      </w:r>
      <w:r>
        <w:t>Mengimplementasikan Multi-Architecture Factory di src/model.py yang mencakup ResNetUNetColorizer, Pix2PixColorizer (Generator U-Net + Discriminator PatchGAN 70x70), dan TransformerColorizer (Swin-UNet / Restormer) berbasis PyTorch native.</w:t>
      </w:r>
    </w:p>
    <w:p>
      <w:pPr>
        <w:pStyle w:val="ListNumber"/>
        <w:jc w:val="both"/>
      </w:pPr>
      <w:r>
        <w:rPr>
          <w:b/>
        </w:rPr>
        <w:t xml:space="preserve">Tujuan Evaluasi Empiris (LO3 &amp; LO4): </w:t>
      </w:r>
      <w:r>
        <w:t>Melakukan benchmark kuantitatif otomatis pada 500 citra uji COCO 2017 menggunakan metrik PSNR, SSIM, MAE kanal a*b*, dan Latensi per frame (ms), serta mengekspornya ke format CSV dan Markdown.</w:t>
      </w:r>
    </w:p>
    <w:p>
      <w:pPr>
        <w:pStyle w:val="ListNumber"/>
        <w:jc w:val="both"/>
      </w:pPr>
      <w:r>
        <w:rPr>
          <w:b/>
        </w:rPr>
        <w:t xml:space="preserve">Tujuan Pengembangan Platform: </w:t>
      </w:r>
      <w:r>
        <w:t>Memperbarui antarmuka web editorial Streamlit (app/app.py) dengan fitur Head-to-Head 4 Kolom, kartu analisis karakteristik paradigma, slider Before-After interaktif, dan inspektor CIE L*a*b*.</w:t>
      </w:r>
    </w:p>
    <w:p>
      <w:pPr>
        <w:pStyle w:val="ListNumber"/>
        <w:jc w:val="both"/>
      </w:pPr>
      <w:r>
        <w:rPr>
          <w:b/>
        </w:rPr>
        <w:t xml:space="preserve">Tujuan Reproduksibilitas: </w:t>
      </w:r>
      <w:r>
        <w:t>Menyediakan notebook pelatihan terintegrasi (WarnaIn_v3_Training_Benchmark.ipynb) yang dapat dieksekusi secara modular baik pada lingkungan komputasi lokal maupun cloud GPU (Google Colab/Kaggle).</w:t>
      </w:r>
    </w:p>
    <w:p>
      <w:pPr>
        <w:pStyle w:val="Heading1"/>
      </w:pPr>
      <w:r>
        <w:t>C. Metodologi Penelitian dan Pengembangan</w:t>
      </w:r>
    </w:p>
    <w:p>
      <w:pPr>
        <w:jc w:val="both"/>
      </w:pPr>
      <w:r>
        <w:rPr>
          <w:b w:val="0"/>
          <w:i w:val="0"/>
        </w:rPr>
        <w:t>Pengembangan WarnaIn v3 dilaksanakan mengikuti metodologi rekayasa perangkat lunak berbasis eksperimen terstruktur:</w:t>
      </w:r>
    </w:p>
    <w:p>
      <w:pPr>
        <w:pStyle w:val="Heading2"/>
      </w:pPr>
      <w:r>
        <w:t>1. Standarisasi Pipeline Data dan Ruang Warna</w:t>
      </w:r>
    </w:p>
    <w:p>
      <w:pPr>
        <w:pStyle w:val="ListBullet"/>
        <w:jc w:val="both"/>
      </w:pPr>
      <w:r>
        <w:rPr>
          <w:b/>
        </w:rPr>
        <w:t xml:space="preserve">Dataset Acuan: </w:t>
      </w:r>
      <w:r>
        <w:t>Dataset Microsoft COCO 2017 (5.000 citra validasi) yang telah dibagi secara seimbang menjadi train (4.000 citra), val (500 citra), dan test (500 citra) dengan seed 42, terorganisir ke dalam 5 kategori semantik (animals, architecture, landscapes, portraits, objects) serta 1 mode general.</w:t>
      </w:r>
    </w:p>
    <w:p>
      <w:pPr>
        <w:pStyle w:val="ListBullet"/>
        <w:jc w:val="both"/>
      </w:pPr>
      <w:r>
        <w:rPr>
          <w:b/>
        </w:rPr>
        <w:t xml:space="preserve">Transformasi CIE L*a*b* [-1, 1]: </w:t>
      </w:r>
      <w:r>
        <w:t>Citra RGB dikonversi ke CIE L*a*b* presisi float32. Kanal L* [0, 100] dinormalisasi ke [-1, 1] melalui formulasi L_norm = (L / 50.0) - 1.0. Kanal a*b* [-128, 127] dinormalisasi ke [-1, 1] melalui ab_norm = ab / 128.0.</w:t>
      </w:r>
    </w:p>
    <w:p>
      <w:pPr>
        <w:pStyle w:val="ListBullet"/>
        <w:jc w:val="both"/>
      </w:pPr>
      <w:r>
        <w:rPr>
          <w:b/>
        </w:rPr>
        <w:t xml:space="preserve">Tensor Input-Output: </w:t>
      </w:r>
      <w:r>
        <w:t>Input generator berdimensi (B, 1, 224, 224) bertipe float32 dalam rentang [-1, 1], dan output berdimensi (B, 2, 224, 224) dalam rentang [-1, 1] dengan fungsi aktivasi akhir Tanh.</w:t>
      </w:r>
    </w:p>
    <w:p>
      <w:pPr>
        <w:pStyle w:val="Heading2"/>
      </w:pPr>
      <w:r>
        <w:t>2. Desain Tiga Paradigma Arsitektur Deep Learning</w:t>
      </w:r>
    </w:p>
    <w:p>
      <w:pPr>
        <w:pStyle w:val="ListBullet"/>
        <w:jc w:val="both"/>
      </w:pPr>
      <w:r>
        <w:rPr>
          <w:b/>
        </w:rPr>
        <w:t xml:space="preserve">Paradigma 1 — CNN: ResNet-18 U-Net (Pixel Regression): </w:t>
      </w:r>
      <w:r>
        <w:t>Encoder mengadaptasi backbone ResNet-18 pra-latih ImageNet dengan memodifikasi conv1 menjadi 1-channel (bobot dirata-ratakan). Decoder terdiri dari 5 tahap progressive transposed convolution (ConvTranspose2d 4x4, stride 2) yang dihubungkan dengan skip connections dari stem, layer1, layer2, layer3, dan layer4.</w:t>
      </w:r>
    </w:p>
    <w:p>
      <w:pPr>
        <w:pStyle w:val="ListBullet"/>
        <w:jc w:val="both"/>
      </w:pPr>
      <w:r>
        <w:rPr>
          <w:b/>
        </w:rPr>
        <w:t xml:space="preserve">Paradigma 2 — Adversarial: Pix2Pix cGAN (Conditional GAN): </w:t>
      </w:r>
      <w:r>
        <w:t>Generator U-Net 5-stage downsampling (LeakyReLU 0.2) dan upsampling dengan Dropout 0.5 pada lapisan dalam untuk mencegah kolaps mode. Discriminator mengimplementasikan PatchGAN 70x70 yang menerima 3-channel masukan [L*, a*b*] (konkat L asli dengan a*b* nyata/palsu) untuk membedakan realisme patch beresolusi 70x70.</w:t>
      </w:r>
    </w:p>
    <w:p>
      <w:pPr>
        <w:pStyle w:val="ListBullet"/>
        <w:jc w:val="both"/>
      </w:pPr>
      <w:r>
        <w:rPr>
          <w:b/>
        </w:rPr>
        <w:t xml:space="preserve">Paradigma 3 — Transformer: Swin-UNet (Windowed Multi-Head Self-Attention): </w:t>
      </w:r>
      <w:r>
        <w:t>Arsitektur hierarkis Vision Transformer murni PyTorch berbasis blok Swin Transformer. Menggunakan Window Attention 2D (window size 7x7) dengan kombinasi regular windowing (W-MSA) dan shifted windowing (SW-MSA) berselang-seling, dilengkapi relative position bias table dan Gated Depthwise Feed-Forward Network (GDFN).</w:t>
      </w:r>
    </w:p>
    <w:p>
      <w:pPr>
        <w:pStyle w:val="Heading2"/>
      </w:pPr>
      <w:r>
        <w:t>3. Fungsi Objektif dan Strategi Pelatihan</w:t>
      </w:r>
    </w:p>
    <w:p>
      <w:pPr>
        <w:pStyle w:val="ListBullet"/>
        <w:jc w:val="both"/>
      </w:pPr>
      <w:r>
        <w:rPr>
          <w:b/>
        </w:rPr>
        <w:t xml:space="preserve">Fungsi Loss CNN (Model 1): </w:t>
      </w:r>
      <w:r>
        <w:t>Kombinasi regresi L_total = 0.7 * SmoothL1(ab_pred, ab_gt) + 0.3 * MSE(ab_pred, ab_gt).</w:t>
      </w:r>
    </w:p>
    <w:p>
      <w:pPr>
        <w:pStyle w:val="ListBullet"/>
        <w:jc w:val="both"/>
      </w:pPr>
      <w:r>
        <w:rPr>
          <w:b/>
        </w:rPr>
        <w:t xml:space="preserve">Fungsi Loss GAN (Model 2): </w:t>
      </w:r>
      <w:r>
        <w:t>Optimasi minimax bolak-balik: L_D = 0.5 * [BCE(D(L, ab_real), 1) + BCE(D(L, ab_fake), 0)] dan L_G = BCE(D(L, ab_fake), 1) + 100 * L1(ab_fake, ab_gt).</w:t>
      </w:r>
    </w:p>
    <w:p>
      <w:pPr>
        <w:pStyle w:val="ListBullet"/>
        <w:jc w:val="both"/>
      </w:pPr>
      <w:r>
        <w:rPr>
          <w:b/>
        </w:rPr>
        <w:t xml:space="preserve">Fungsi Loss Transformer (Model 3): </w:t>
      </w:r>
      <w:r>
        <w:t>Smooth L1 Loss dioptimasi menggunakan optimizer AdamW dengan Cosine Annealing Learning Rate.</w:t>
      </w:r>
    </w:p>
    <w:p>
      <w:pPr>
        <w:pStyle w:val="Heading2"/>
      </w:pPr>
      <w:r>
        <w:t>4. Lingkungan dan Protokol Pengujian Komparatif</w:t>
      </w:r>
    </w:p>
    <w:p>
      <w:pPr>
        <w:jc w:val="both"/>
      </w:pPr>
      <w:r>
        <w:rPr>
          <w:b w:val="0"/>
          <w:i w:val="0"/>
        </w:rPr>
        <w:t>Pengujian dilakukan secara kuantitatif pada seluruh 500 citra uji COCO 2017 test set menggunakan skrip src/evaluate.py. Metrik yang diukur meliputi:</w:t>
      </w:r>
    </w:p>
    <w:p>
      <w:pPr>
        <w:pStyle w:val="ListBullet"/>
        <w:jc w:val="both"/>
      </w:pPr>
      <w:r>
        <w:rPr>
          <w:b/>
        </w:rPr>
        <w:t xml:space="preserve">PSNR (Peak Signal-to-Noise Ratio): </w:t>
      </w:r>
      <w:r>
        <w:t>Mengukur fidelitas rekonstruksi sinyal dalam satuan desibel (dB) terhadap ground-truth RGB.</w:t>
      </w:r>
    </w:p>
    <w:p>
      <w:pPr>
        <w:pStyle w:val="ListBullet"/>
        <w:jc w:val="both"/>
      </w:pPr>
      <w:r>
        <w:rPr>
          <w:b/>
        </w:rPr>
        <w:t xml:space="preserve">SSIM (Structural Similarity Index): </w:t>
      </w:r>
      <w:r>
        <w:t>Mengukur kemiripan perseptual struktur, kontras, dan luminansi (rentang 0–1).</w:t>
      </w:r>
    </w:p>
    <w:p>
      <w:pPr>
        <w:pStyle w:val="ListBullet"/>
        <w:jc w:val="both"/>
      </w:pPr>
      <w:r>
        <w:rPr>
          <w:b/>
        </w:rPr>
        <w:t xml:space="preserve">MAE (Mean Absolute Error pada kanal a*b*): </w:t>
      </w:r>
      <w:r>
        <w:t>Mengukur rata-rata penyimpangan absolut pada domain krominansi CIE a*b* [0, 128].</w:t>
      </w:r>
    </w:p>
    <w:p>
      <w:pPr>
        <w:pStyle w:val="ListBullet"/>
        <w:jc w:val="both"/>
      </w:pPr>
      <w:r>
        <w:rPr>
          <w:b/>
        </w:rPr>
        <w:t xml:space="preserve">Latency (Waktu Inferensi per frame): </w:t>
      </w:r>
      <w:r>
        <w:t>Mengukur waktu komputasi forward-pass murni dalam milidetik (ms) pada resolusi 224x224.</w:t>
      </w:r>
    </w:p>
    <w:p>
      <w:pPr>
        <w:pStyle w:val="Heading1"/>
      </w:pPr>
      <w:r>
        <w:t>D. Rencana Implementasi dan Jadwal Kerja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D9D9D9"/>
          </w:tcPr>
          <w:p>
            <w:pPr>
              <w:spacing w:line="276" w:lineRule="auto"/>
              <w:jc w:val="center"/>
            </w:pPr>
            <w:r/>
            <w:r>
              <w:rPr>
                <w:b/>
                <w:sz w:val="21"/>
              </w:rPr>
              <w:t>Tahap</w:t>
            </w:r>
          </w:p>
        </w:tc>
        <w:tc>
          <w:tcPr>
            <w:tcW w:type="dxa" w:w="3402"/>
            <w:shd w:val="clear" w:color="auto" w:fill="D9D9D9"/>
          </w:tcPr>
          <w:p>
            <w:pPr>
              <w:spacing w:line="276" w:lineRule="auto"/>
              <w:jc w:val="center"/>
            </w:pPr>
            <w:r/>
            <w:r>
              <w:rPr>
                <w:b/>
                <w:sz w:val="21"/>
              </w:rPr>
              <w:t>Kegiatan Utama</w:t>
            </w:r>
          </w:p>
        </w:tc>
        <w:tc>
          <w:tcPr>
            <w:tcW w:type="dxa" w:w="2835"/>
            <w:shd w:val="clear" w:color="auto" w:fill="D9D9D9"/>
          </w:tcPr>
          <w:p>
            <w:pPr>
              <w:spacing w:line="276" w:lineRule="auto"/>
              <w:jc w:val="center"/>
            </w:pPr>
            <w:r/>
            <w:r>
              <w:rPr>
                <w:b/>
                <w:sz w:val="21"/>
              </w:rPr>
              <w:t>Output / Target</w:t>
            </w:r>
          </w:p>
        </w:tc>
        <w:tc>
          <w:tcPr>
            <w:tcW w:type="dxa" w:w="1417"/>
            <w:shd w:val="clear" w:color="auto" w:fill="D9D9D9"/>
          </w:tcPr>
          <w:p>
            <w:pPr>
              <w:spacing w:line="276" w:lineRule="auto"/>
              <w:jc w:val="center"/>
            </w:pPr>
            <w:r/>
            <w:r>
              <w:rPr>
                <w:b/>
                <w:sz w:val="21"/>
              </w:rPr>
              <w:t>Alokasi</w:t>
            </w:r>
          </w:p>
        </w:tc>
      </w:tr>
      <w:tr>
        <w:tc>
          <w:tcPr>
            <w:tcW w:type="dxa" w:w="1417"/>
          </w:tcPr>
          <w:p>
            <w:pPr>
              <w:spacing w:line="276" w:lineRule="auto"/>
            </w:pPr>
            <w:r/>
            <w:r>
              <w:rPr>
                <w:sz w:val="21"/>
              </w:rPr>
              <w:t>Tahap I</w:t>
            </w:r>
          </w:p>
        </w:tc>
        <w:tc>
          <w:tcPr>
            <w:tcW w:type="dxa" w:w="3402"/>
          </w:tcPr>
          <w:p>
            <w:pPr>
              <w:spacing w:line="276" w:lineRule="auto"/>
            </w:pPr>
            <w:r/>
            <w:r>
              <w:rPr>
                <w:sz w:val="21"/>
              </w:rPr>
              <w:t>Refactoring model.py (Multi-Architecture Factory 3 Paradigma)</w:t>
            </w:r>
          </w:p>
        </w:tc>
        <w:tc>
          <w:tcPr>
            <w:tcW w:type="dxa" w:w="2835"/>
          </w:tcPr>
          <w:p>
            <w:pPr>
              <w:spacing w:line="276" w:lineRule="auto"/>
            </w:pPr>
            <w:r/>
            <w:r>
              <w:rPr>
                <w:sz w:val="21"/>
              </w:rPr>
              <w:t>Modul model.py terverifikasi dengan input-output [-1, 1]</w:t>
            </w:r>
          </w:p>
        </w:tc>
        <w:tc>
          <w:tcPr>
            <w:tcW w:type="dxa" w:w="1417"/>
          </w:tcPr>
          <w:p>
            <w:pPr>
              <w:spacing w:line="276" w:lineRule="auto"/>
            </w:pPr>
            <w:r/>
            <w:r>
              <w:rPr>
                <w:sz w:val="21"/>
              </w:rPr>
              <w:t>Minggu 1</w:t>
            </w:r>
          </w:p>
        </w:tc>
      </w:tr>
      <w:tr>
        <w:tc>
          <w:tcPr>
            <w:tcW w:type="dxa" w:w="1417"/>
          </w:tcPr>
          <w:p>
            <w:pPr>
              <w:spacing w:line="276" w:lineRule="auto"/>
            </w:pPr>
            <w:r/>
            <w:r>
              <w:rPr>
                <w:sz w:val="21"/>
              </w:rPr>
              <w:t>Tahap II</w:t>
            </w:r>
          </w:p>
        </w:tc>
        <w:tc>
          <w:tcPr>
            <w:tcW w:type="dxa" w:w="3402"/>
          </w:tcPr>
          <w:p>
            <w:pPr>
              <w:spacing w:line="276" w:lineRule="auto"/>
            </w:pPr>
            <w:r/>
            <w:r>
              <w:rPr>
                <w:sz w:val="21"/>
              </w:rPr>
              <w:t>Pembuatan skrip benchmark evaluate.py &amp; standarisasi dataset</w:t>
            </w:r>
          </w:p>
        </w:tc>
        <w:tc>
          <w:tcPr>
            <w:tcW w:type="dxa" w:w="2835"/>
          </w:tcPr>
          <w:p>
            <w:pPr>
              <w:spacing w:line="276" w:lineRule="auto"/>
            </w:pPr>
            <w:r/>
            <w:r>
              <w:rPr>
                <w:sz w:val="21"/>
              </w:rPr>
              <w:t>Skrip otomatisasi metrik PSNR, SSIM, MAE, dan Latency</w:t>
            </w:r>
          </w:p>
        </w:tc>
        <w:tc>
          <w:tcPr>
            <w:tcW w:type="dxa" w:w="1417"/>
          </w:tcPr>
          <w:p>
            <w:pPr>
              <w:spacing w:line="276" w:lineRule="auto"/>
            </w:pPr>
            <w:r/>
            <w:r>
              <w:rPr>
                <w:sz w:val="21"/>
              </w:rPr>
              <w:t>Minggu 2</w:t>
            </w:r>
          </w:p>
        </w:tc>
      </w:tr>
      <w:tr>
        <w:tc>
          <w:tcPr>
            <w:tcW w:type="dxa" w:w="1417"/>
          </w:tcPr>
          <w:p>
            <w:pPr>
              <w:spacing w:line="276" w:lineRule="auto"/>
            </w:pPr>
            <w:r/>
            <w:r>
              <w:rPr>
                <w:sz w:val="21"/>
              </w:rPr>
              <w:t>Tahap III</w:t>
            </w:r>
          </w:p>
        </w:tc>
        <w:tc>
          <w:tcPr>
            <w:tcW w:type="dxa" w:w="3402"/>
          </w:tcPr>
          <w:p>
            <w:pPr>
              <w:spacing w:line="276" w:lineRule="auto"/>
            </w:pPr>
            <w:r/>
            <w:r>
              <w:rPr>
                <w:sz w:val="21"/>
              </w:rPr>
              <w:t>Penyusunan notebook training WarnaIn_v3_Training_Benchmark.ipynb</w:t>
            </w:r>
          </w:p>
        </w:tc>
        <w:tc>
          <w:tcPr>
            <w:tcW w:type="dxa" w:w="2835"/>
          </w:tcPr>
          <w:p>
            <w:pPr>
              <w:spacing w:line="276" w:lineRule="auto"/>
            </w:pPr>
            <w:r/>
            <w:r>
              <w:rPr>
                <w:sz w:val="21"/>
              </w:rPr>
              <w:t>Pipeline pelatihan 3 model siap jalan di lokal/Colab</w:t>
            </w:r>
          </w:p>
        </w:tc>
        <w:tc>
          <w:tcPr>
            <w:tcW w:type="dxa" w:w="1417"/>
          </w:tcPr>
          <w:p>
            <w:pPr>
              <w:spacing w:line="276" w:lineRule="auto"/>
            </w:pPr>
            <w:r/>
            <w:r>
              <w:rPr>
                <w:sz w:val="21"/>
              </w:rPr>
              <w:t>Minggu 2-3</w:t>
            </w:r>
          </w:p>
        </w:tc>
      </w:tr>
      <w:tr>
        <w:tc>
          <w:tcPr>
            <w:tcW w:type="dxa" w:w="1417"/>
          </w:tcPr>
          <w:p>
            <w:pPr>
              <w:spacing w:line="276" w:lineRule="auto"/>
            </w:pPr>
            <w:r/>
            <w:r>
              <w:rPr>
                <w:sz w:val="21"/>
              </w:rPr>
              <w:t>Tahap IV</w:t>
            </w:r>
          </w:p>
        </w:tc>
        <w:tc>
          <w:tcPr>
            <w:tcW w:type="dxa" w:w="3402"/>
          </w:tcPr>
          <w:p>
            <w:pPr>
              <w:spacing w:line="276" w:lineRule="auto"/>
            </w:pPr>
            <w:r/>
            <w:r>
              <w:rPr>
                <w:sz w:val="21"/>
              </w:rPr>
              <w:t>Pembaruan Streamlit UI (app.py) dengan Head-to-Head 4 Kolom</w:t>
            </w:r>
          </w:p>
        </w:tc>
        <w:tc>
          <w:tcPr>
            <w:tcW w:type="dxa" w:w="2835"/>
          </w:tcPr>
          <w:p>
            <w:pPr>
              <w:spacing w:line="276" w:lineRule="auto"/>
            </w:pPr>
            <w:r/>
            <w:r>
              <w:rPr>
                <w:sz w:val="21"/>
              </w:rPr>
              <w:t>Antarmuka web interaktif v3 editorial broadsheet</w:t>
            </w:r>
          </w:p>
        </w:tc>
        <w:tc>
          <w:tcPr>
            <w:tcW w:type="dxa" w:w="1417"/>
          </w:tcPr>
          <w:p>
            <w:pPr>
              <w:spacing w:line="276" w:lineRule="auto"/>
            </w:pPr>
            <w:r/>
            <w:r>
              <w:rPr>
                <w:sz w:val="21"/>
              </w:rPr>
              <w:t>Minggu 3</w:t>
            </w:r>
          </w:p>
        </w:tc>
      </w:tr>
      <w:tr>
        <w:tc>
          <w:tcPr>
            <w:tcW w:type="dxa" w:w="1417"/>
          </w:tcPr>
          <w:p>
            <w:pPr>
              <w:spacing w:line="276" w:lineRule="auto"/>
            </w:pPr>
            <w:r/>
            <w:r>
              <w:rPr>
                <w:sz w:val="21"/>
              </w:rPr>
              <w:t>Tahap V</w:t>
            </w:r>
          </w:p>
        </w:tc>
        <w:tc>
          <w:tcPr>
            <w:tcW w:type="dxa" w:w="3402"/>
          </w:tcPr>
          <w:p>
            <w:pPr>
              <w:spacing w:line="276" w:lineRule="auto"/>
            </w:pPr>
            <w:r/>
            <w:r>
              <w:rPr>
                <w:sz w:val="21"/>
              </w:rPr>
              <w:t>Eksekusi benchmark 500 citra COCO &amp; penyusunan laporan Bab 4</w:t>
            </w:r>
          </w:p>
        </w:tc>
        <w:tc>
          <w:tcPr>
            <w:tcW w:type="dxa" w:w="2835"/>
          </w:tcPr>
          <w:p>
            <w:pPr>
              <w:spacing w:line="276" w:lineRule="auto"/>
            </w:pPr>
            <w:r/>
            <w:r>
              <w:rPr>
                <w:sz w:val="21"/>
              </w:rPr>
              <w:t>benchmark_summary.csv &amp; laporan komparasi LO3/LO4</w:t>
            </w:r>
          </w:p>
        </w:tc>
        <w:tc>
          <w:tcPr>
            <w:tcW w:type="dxa" w:w="1417"/>
          </w:tcPr>
          <w:p>
            <w:pPr>
              <w:spacing w:line="276" w:lineRule="auto"/>
            </w:pPr>
            <w:r/>
            <w:r>
              <w:rPr>
                <w:sz w:val="21"/>
              </w:rPr>
              <w:t>Minggu 4</w:t>
            </w:r>
          </w:p>
        </w:tc>
      </w:tr>
    </w:tbl>
    <w:p/>
    <w:p>
      <w:pPr>
        <w:pStyle w:val="Heading1"/>
      </w:pPr>
      <w:r>
        <w:t>E. Hasil yang Diharapkan dan Kriteria Keberhasilan</w:t>
      </w:r>
    </w:p>
    <w:p>
      <w:pPr>
        <w:pStyle w:val="ListNumber"/>
        <w:jc w:val="both"/>
      </w:pPr>
      <w:r>
        <w:rPr>
          <w:b/>
        </w:rPr>
        <w:t xml:space="preserve">Tersedianya Artefak Perangkat Lunak Teruji: </w:t>
      </w:r>
      <w:r>
        <w:t>Aplikasi web WarnaIn v3 yang stabil, modular, dan responsif, mampu menjalankan inferensi pada ketiga paradigma secara bergantian maupun bersamaan dalam mode komparasi 4 kolom.</w:t>
      </w:r>
    </w:p>
    <w:p>
      <w:pPr>
        <w:pStyle w:val="ListNumber"/>
        <w:jc w:val="both"/>
      </w:pPr>
      <w:r>
        <w:rPr>
          <w:b/>
        </w:rPr>
        <w:t xml:space="preserve">Pencapaian Benchmark Kuantitatif: </w:t>
      </w:r>
      <w:r>
        <w:t>Rata-rata SSIM &gt; 0.90 pada test set 500 citra COCO untuk membuktikan bahwa preservasi kanal L* berhasil mempertahankan kontur citra, serta PSNR &gt; 22 dB untuk seluruh arsitektur.</w:t>
      </w:r>
    </w:p>
    <w:p>
      <w:pPr>
        <w:pStyle w:val="ListNumber"/>
        <w:jc w:val="both"/>
      </w:pPr>
      <w:r>
        <w:rPr>
          <w:b/>
        </w:rPr>
        <w:t xml:space="preserve">Pembuktian Pembelajaran Akademik (LO3 &amp; LO4): </w:t>
      </w:r>
      <w:r>
        <w:t>Dokumentasi komparatif yang menyajikan bukti empiris tentang fenomena regression-to-the-mean pada CNN, trade-off antara vibransi warna vs artefak pada GAN, serta keunggulan koherensi global berbiaya latensi lebih tinggi pada Vision Transformer.</w:t>
      </w:r>
    </w:p>
    <w:p>
      <w:pPr>
        <w:pStyle w:val="Heading1"/>
      </w:pPr>
      <w:r>
        <w:t>F. Referensi</w:t>
      </w:r>
    </w:p>
    <w:p>
      <w:pPr>
        <w:spacing w:line="276" w:lineRule="auto"/>
        <w:jc w:val="both"/>
      </w:pPr>
      <w:r>
        <w:t>[1] R. Zhang, P. Isola, and A. A. Efros, "Colorful Image Colorization," in European Conference on Computer Vision (ECCV), 2016, pp. 649–666.</w:t>
      </w:r>
    </w:p>
    <w:p>
      <w:pPr>
        <w:spacing w:line="276" w:lineRule="auto"/>
        <w:jc w:val="both"/>
      </w:pPr>
      <w:r>
        <w:t>[2] P. Isola, J.-Y. Zhu, T. Zhou, and A. A. Efros, "Image-to-Image Translation with Conditional Adversarial Networks," in IEEE Conference on Computer Vision and Pattern Recognition (CVPR), 2017, pp. 1125–1134.</w:t>
      </w:r>
    </w:p>
    <w:p>
      <w:pPr>
        <w:spacing w:line="276" w:lineRule="auto"/>
        <w:jc w:val="both"/>
      </w:pPr>
      <w:r>
        <w:t>[3] Z. Liu et al., "Swin Transformer: Hierarchical Vision Transformer using Shifted Windows," in IEEE/CVF International Conference on Computer Vision (ICCV), 2021, pp. 10012–10022.</w:t>
      </w:r>
    </w:p>
    <w:p>
      <w:pPr>
        <w:spacing w:line="276" w:lineRule="auto"/>
        <w:jc w:val="both"/>
      </w:pPr>
      <w:r>
        <w:t>[4] H. Cao et al., "Swin-Unet: Unet-like Pure Transformer for Medical Image Segmentation," in European Conference on Computer Vision (ECCV) Workshops, 2022, pp. 205–218.</w:t>
      </w:r>
    </w:p>
    <w:p>
      <w:pPr>
        <w:spacing w:line="276" w:lineRule="auto"/>
        <w:jc w:val="both"/>
      </w:pPr>
      <w:r>
        <w:t>[5] O. Ronneberger, P. Fischer, and T. Brox, "U-Net: Convolutional Networks for Biomedical Image Segmentation," in MICCAI, 2015, pp. 234–241.</w:t>
      </w:r>
    </w:p>
    <w:p>
      <w:pPr>
        <w:spacing w:line="276" w:lineRule="auto"/>
        <w:jc w:val="both"/>
      </w:pPr>
      <w:r>
        <w:t>[6] K. He, X. Zhang, S. Ren, and J. Sun, "Deep Residual Learning for Image Recognition," in IEEE CVPR, 2016, pp. 770–778.</w:t>
      </w:r>
    </w:p>
    <w:p>
      <w:pPr>
        <w:spacing w:line="276" w:lineRule="auto"/>
        <w:jc w:val="both"/>
      </w:pPr>
      <w:r>
        <w:t>[7] T.-Y. Lin et al., "Microsoft COCO: Common Objects in Context," in European Conference on Computer Vision (ECCV), 2014, pp. 740–755.</w:t>
      </w:r>
    </w:p>
    <w:p>
      <w:pPr>
        <w:spacing w:line="276" w:lineRule="auto"/>
        <w:jc w:val="both"/>
      </w:pPr>
      <w:r>
        <w:t>[8] Z. Wang, A. C. Bovik, H. R. Sheikh, and E. P. Simoncelli, "Image Quality Assessment: From Error Visibility to Structural Similarity," IEEE Trans. Image Process., vol. 13, no. 4, pp. 600–612, 2004.</w:t>
      </w:r>
    </w:p>
    <w:p>
      <w:pPr>
        <w:spacing w:line="276" w:lineRule="auto"/>
        <w:jc w:val="both"/>
      </w:pPr>
      <w:r>
        <w:t>[9] Y. Blau and T. Michaeli, "The Perception-Distortion Tradeoff," in IEEE CVPR, 2018, pp. 6228–6237.</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