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Walmart Retail Demand Forecasting</w:t>
        <w:br/>
        <w:t>&amp; Category Performance Analysis</w:t>
      </w:r>
    </w:p>
    <w:p>
      <w:pPr>
        <w:jc w:val="center"/>
      </w:pPr>
      <w:r>
        <w:rPr>
          <w:rFonts w:ascii="Arial" w:hAnsi="Arial"/>
          <w:i/>
          <w:sz w:val="22"/>
        </w:rPr>
        <w:t>Business Report | Portfolio Project</w:t>
      </w:r>
    </w:p>
    <w:p>
      <w:pPr>
        <w:jc w:val="center"/>
      </w:pPr>
      <w:r>
        <w:rPr>
          <w:rFonts w:ascii="Arial" w:hAnsi="Arial"/>
          <w:sz w:val="20"/>
        </w:rPr>
        <w:t>Prepared by Haiyang Huang</w:t>
      </w:r>
    </w:p>
    <w:p>
      <w:pPr>
        <w:pStyle w:val="Heading1"/>
        <w:spacing w:before="120" w:after="60"/>
      </w:pPr>
      <w:r>
        <w:rPr>
          <w:rFonts w:ascii="Arial" w:hAnsi="Arial"/>
          <w:b/>
          <w:color w:val="1F4E79"/>
          <w:sz w:val="28"/>
        </w:rPr>
        <w:t>Executive Summary</w:t>
      </w:r>
    </w:p>
    <w:p>
      <w:pPr>
        <w:spacing w:after="80" w:line="250" w:lineRule="auto"/>
      </w:pPr>
      <w:r>
        <w:rPr>
          <w:rFonts w:ascii="Arial" w:hAnsi="Arial"/>
          <w:sz w:val="19"/>
        </w:rPr>
        <w:t>This project analyzed Walmart food-category sales, price, calendar, and event data to evaluate demand patterns, forecast accuracy, forecast bias, and replenishment risk. The analysis focused on the FOODS category and the top 100 recent high-volume items over a 365-day period. A 28-day holdout period was used to compare moving-average baselines with regression and tree-based forecasting methods.</w:t>
      </w:r>
    </w:p>
    <w:p>
      <w:pPr>
        <w:pStyle w:val="ListBullet"/>
        <w:spacing w:after="40" w:line="240" w:lineRule="auto"/>
      </w:pPr>
      <w:r>
        <w:rPr>
          <w:rFonts w:ascii="Arial" w:hAnsi="Arial"/>
          <w:sz w:val="18"/>
        </w:rPr>
        <w:t>HistGradientBoosting delivered the strongest overall accuracy, reducing MAE by 9.1% versus the 28-day moving-average baseline and 5.7% versus the 7-day moving-average baseline.</w:t>
      </w:r>
    </w:p>
    <w:p>
      <w:pPr>
        <w:pStyle w:val="ListBullet"/>
        <w:spacing w:after="40" w:line="240" w:lineRule="auto"/>
      </w:pPr>
      <w:r>
        <w:rPr>
          <w:rFonts w:ascii="Arial" w:hAnsi="Arial"/>
          <w:sz w:val="18"/>
        </w:rPr>
        <w:t>Despite better MAE and RMSE, the best model still showed negative forecast bias (-6.9%), meaning actual demand remained higher than forecasted demand overall.</w:t>
      </w:r>
    </w:p>
    <w:p>
      <w:pPr>
        <w:pStyle w:val="ListBullet"/>
        <w:spacing w:after="40" w:line="240" w:lineRule="auto"/>
      </w:pPr>
      <w:r>
        <w:rPr>
          <w:rFonts w:ascii="Arial" w:hAnsi="Arial"/>
          <w:sz w:val="18"/>
        </w:rPr>
        <w:t>The top 20 model under-forecast exceptions had 99,932 actual units versus 80,652 forecasted units, creating a total under-forecast error of -19,280 units and weighted bias of -19.3%.</w:t>
      </w:r>
    </w:p>
    <w:p>
      <w:pPr>
        <w:pStyle w:val="ListBullet"/>
        <w:spacing w:after="40" w:line="240" w:lineRule="auto"/>
      </w:pPr>
      <w:r>
        <w:rPr>
          <w:rFonts w:ascii="Arial" w:hAnsi="Arial"/>
          <w:sz w:val="18"/>
        </w:rPr>
        <w:t>The top 20 model over-forecast exceptions had 48,984 actual units versus 55,315 forecasted units, creating a total over-forecast error of 6,331 units and weighted bias of 12.9%.</w:t>
      </w:r>
    </w:p>
    <w:p>
      <w:pPr>
        <w:pStyle w:val="ListBullet"/>
        <w:spacing w:after="40" w:line="240" w:lineRule="auto"/>
      </w:pPr>
      <w:r>
        <w:rPr>
          <w:rFonts w:ascii="Arial" w:hAnsi="Arial"/>
          <w:sz w:val="18"/>
        </w:rPr>
        <w:t>FOODS_3 accounted for most under-forecast and over-forecast exceptions, indicating higher demand volatility and a need for recurring item-level review.</w:t>
      </w:r>
    </w:p>
    <w:p>
      <w:pPr>
        <w:pStyle w:val="Heading1"/>
        <w:spacing w:before="120" w:after="60"/>
      </w:pPr>
      <w:r>
        <w:rPr>
          <w:rFonts w:ascii="Arial" w:hAnsi="Arial"/>
          <w:b/>
          <w:color w:val="1F4E79"/>
          <w:sz w:val="28"/>
        </w:rPr>
        <w:t>Forecast Method Comparison</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shd w:fill="1F4E79"/>
            <w:shd w:fill="1F4E79"/>
          </w:tcPr>
          <w:p>
            <w:pPr>
              <w:spacing w:after="0"/>
            </w:pPr>
            <w:r>
              <w:rPr>
                <w:rFonts w:ascii="Arial" w:hAnsi="Arial"/>
                <w:b/>
                <w:color w:val="FFFFFF"/>
                <w:sz w:val="16"/>
              </w:rPr>
            </w:r>
            <w:r>
              <w:rPr>
                <w:rFonts w:ascii="Arial" w:hAnsi="Arial"/>
                <w:b/>
                <w:color w:val="FFFFFF"/>
                <w:sz w:val="16"/>
              </w:rPr>
              <w:t>Forecast Method</w:t>
            </w:r>
          </w:p>
        </w:tc>
        <w:tc>
          <w:tcPr>
            <w:tcW w:type="dxa" w:w="2091"/>
            <w:vAlign w:val="center"/>
            <w:shd w:fill="1F4E79"/>
            <w:shd w:fill="1F4E79"/>
          </w:tcPr>
          <w:p>
            <w:pPr>
              <w:spacing w:after="0"/>
            </w:pPr>
            <w:r>
              <w:rPr>
                <w:rFonts w:ascii="Arial" w:hAnsi="Arial"/>
                <w:b/>
                <w:color w:val="FFFFFF"/>
                <w:sz w:val="16"/>
              </w:rPr>
            </w:r>
            <w:r>
              <w:rPr>
                <w:rFonts w:ascii="Arial" w:hAnsi="Arial"/>
                <w:b/>
                <w:color w:val="FFFFFF"/>
                <w:sz w:val="16"/>
              </w:rPr>
              <w:t>MAE</w:t>
            </w:r>
          </w:p>
        </w:tc>
        <w:tc>
          <w:tcPr>
            <w:tcW w:type="dxa" w:w="2091"/>
            <w:vAlign w:val="center"/>
            <w:shd w:fill="1F4E79"/>
            <w:shd w:fill="1F4E79"/>
          </w:tcPr>
          <w:p>
            <w:pPr>
              <w:spacing w:after="0"/>
            </w:pPr>
            <w:r>
              <w:rPr>
                <w:rFonts w:ascii="Arial" w:hAnsi="Arial"/>
                <w:b/>
                <w:color w:val="FFFFFF"/>
                <w:sz w:val="16"/>
              </w:rPr>
            </w:r>
            <w:r>
              <w:rPr>
                <w:rFonts w:ascii="Arial" w:hAnsi="Arial"/>
                <w:b/>
                <w:color w:val="FFFFFF"/>
                <w:sz w:val="16"/>
              </w:rPr>
              <w:t>RMSE</w:t>
            </w:r>
          </w:p>
        </w:tc>
        <w:tc>
          <w:tcPr>
            <w:tcW w:type="dxa" w:w="2091"/>
            <w:vAlign w:val="center"/>
            <w:shd w:fill="1F4E79"/>
            <w:shd w:fill="1F4E79"/>
          </w:tcPr>
          <w:p>
            <w:pPr>
              <w:spacing w:after="0"/>
            </w:pPr>
            <w:r>
              <w:rPr>
                <w:rFonts w:ascii="Arial" w:hAnsi="Arial"/>
                <w:b/>
                <w:color w:val="FFFFFF"/>
                <w:sz w:val="16"/>
              </w:rPr>
            </w:r>
            <w:r>
              <w:rPr>
                <w:rFonts w:ascii="Arial" w:hAnsi="Arial"/>
                <w:b/>
                <w:color w:val="FFFFFF"/>
                <w:sz w:val="16"/>
              </w:rPr>
              <w:t>Forecast Bias</w:t>
            </w:r>
          </w:p>
        </w:tc>
        <w:tc>
          <w:tcPr>
            <w:tcW w:type="dxa" w:w="2091"/>
            <w:vAlign w:val="center"/>
            <w:shd w:fill="1F4E79"/>
            <w:shd w:fill="1F4E79"/>
          </w:tcPr>
          <w:p>
            <w:pPr>
              <w:spacing w:after="0"/>
            </w:pPr>
            <w:r>
              <w:rPr>
                <w:rFonts w:ascii="Arial" w:hAnsi="Arial"/>
                <w:b/>
                <w:color w:val="FFFFFF"/>
                <w:sz w:val="16"/>
              </w:rPr>
            </w:r>
            <w:r>
              <w:rPr>
                <w:rFonts w:ascii="Arial" w:hAnsi="Arial"/>
                <w:b/>
                <w:color w:val="FFFFFF"/>
                <w:sz w:val="16"/>
              </w:rPr>
              <w:t>sMAPE</w:t>
            </w:r>
          </w:p>
        </w:tc>
      </w:tr>
      <w:tr>
        <w:tc>
          <w:tcPr>
            <w:tcW w:type="dxa" w:w="2091"/>
            <w:vAlign w:val="center"/>
          </w:tcPr>
          <w:p>
            <w:pPr>
              <w:spacing w:after="0"/>
            </w:pPr>
            <w:r>
              <w:rPr>
                <w:rFonts w:ascii="Arial" w:hAnsi="Arial"/>
                <w:sz w:val="16"/>
              </w:rPr>
            </w:r>
            <w:r>
              <w:rPr>
                <w:rFonts w:ascii="Arial" w:hAnsi="Arial"/>
                <w:b w:val="0"/>
                <w:sz w:val="16"/>
              </w:rPr>
              <w:t>HistGradientBoosting</w:t>
            </w:r>
          </w:p>
        </w:tc>
        <w:tc>
          <w:tcPr>
            <w:tcW w:type="dxa" w:w="2091"/>
            <w:vAlign w:val="center"/>
          </w:tcPr>
          <w:p>
            <w:pPr>
              <w:spacing w:after="0"/>
            </w:pPr>
            <w:r>
              <w:rPr>
                <w:rFonts w:ascii="Arial" w:hAnsi="Arial"/>
                <w:sz w:val="16"/>
              </w:rPr>
            </w:r>
            <w:r>
              <w:rPr>
                <w:rFonts w:ascii="Arial" w:hAnsi="Arial"/>
                <w:b w:val="0"/>
                <w:sz w:val="16"/>
              </w:rPr>
              <w:t>4.39</w:t>
            </w:r>
          </w:p>
        </w:tc>
        <w:tc>
          <w:tcPr>
            <w:tcW w:type="dxa" w:w="2091"/>
            <w:vAlign w:val="center"/>
          </w:tcPr>
          <w:p>
            <w:pPr>
              <w:spacing w:after="0"/>
            </w:pPr>
            <w:r>
              <w:rPr>
                <w:rFonts w:ascii="Arial" w:hAnsi="Arial"/>
                <w:sz w:val="16"/>
              </w:rPr>
            </w:r>
            <w:r>
              <w:rPr>
                <w:rFonts w:ascii="Arial" w:hAnsi="Arial"/>
                <w:b w:val="0"/>
                <w:sz w:val="16"/>
              </w:rPr>
              <w:t>7.40</w:t>
            </w:r>
          </w:p>
        </w:tc>
        <w:tc>
          <w:tcPr>
            <w:tcW w:type="dxa" w:w="2091"/>
            <w:vAlign w:val="center"/>
          </w:tcPr>
          <w:p>
            <w:pPr>
              <w:spacing w:after="0"/>
            </w:pPr>
            <w:r>
              <w:rPr>
                <w:rFonts w:ascii="Arial" w:hAnsi="Arial"/>
                <w:sz w:val="16"/>
              </w:rPr>
            </w:r>
            <w:r>
              <w:rPr>
                <w:rFonts w:ascii="Arial" w:hAnsi="Arial"/>
                <w:b w:val="0"/>
                <w:sz w:val="16"/>
              </w:rPr>
              <w:t>-6.9%</w:t>
            </w:r>
          </w:p>
        </w:tc>
        <w:tc>
          <w:tcPr>
            <w:tcW w:type="dxa" w:w="2091"/>
            <w:vAlign w:val="center"/>
          </w:tcPr>
          <w:p>
            <w:pPr>
              <w:spacing w:after="0"/>
            </w:pPr>
            <w:r>
              <w:rPr>
                <w:rFonts w:ascii="Arial" w:hAnsi="Arial"/>
                <w:sz w:val="16"/>
              </w:rPr>
            </w:r>
            <w:r>
              <w:rPr>
                <w:rFonts w:ascii="Arial" w:hAnsi="Arial"/>
                <w:b w:val="0"/>
                <w:sz w:val="16"/>
              </w:rPr>
              <w:t>68.8%</w:t>
            </w:r>
          </w:p>
        </w:tc>
      </w:tr>
      <w:tr>
        <w:tc>
          <w:tcPr>
            <w:tcW w:type="dxa" w:w="2091"/>
            <w:vAlign w:val="center"/>
          </w:tcPr>
          <w:p>
            <w:pPr>
              <w:spacing w:after="0"/>
            </w:pPr>
            <w:r>
              <w:rPr>
                <w:rFonts w:ascii="Arial" w:hAnsi="Arial"/>
                <w:sz w:val="16"/>
              </w:rPr>
            </w:r>
            <w:r>
              <w:rPr>
                <w:rFonts w:ascii="Arial" w:hAnsi="Arial"/>
                <w:b w:val="0"/>
                <w:sz w:val="16"/>
              </w:rPr>
              <w:t>Ridge Regression</w:t>
            </w:r>
          </w:p>
        </w:tc>
        <w:tc>
          <w:tcPr>
            <w:tcW w:type="dxa" w:w="2091"/>
            <w:vAlign w:val="center"/>
          </w:tcPr>
          <w:p>
            <w:pPr>
              <w:spacing w:after="0"/>
            </w:pPr>
            <w:r>
              <w:rPr>
                <w:rFonts w:ascii="Arial" w:hAnsi="Arial"/>
                <w:sz w:val="16"/>
              </w:rPr>
            </w:r>
            <w:r>
              <w:rPr>
                <w:rFonts w:ascii="Arial" w:hAnsi="Arial"/>
                <w:b w:val="0"/>
                <w:sz w:val="16"/>
              </w:rPr>
              <w:t>4.60</w:t>
            </w:r>
          </w:p>
        </w:tc>
        <w:tc>
          <w:tcPr>
            <w:tcW w:type="dxa" w:w="2091"/>
            <w:vAlign w:val="center"/>
          </w:tcPr>
          <w:p>
            <w:pPr>
              <w:spacing w:after="0"/>
            </w:pPr>
            <w:r>
              <w:rPr>
                <w:rFonts w:ascii="Arial" w:hAnsi="Arial"/>
                <w:sz w:val="16"/>
              </w:rPr>
            </w:r>
            <w:r>
              <w:rPr>
                <w:rFonts w:ascii="Arial" w:hAnsi="Arial"/>
                <w:b w:val="0"/>
                <w:sz w:val="16"/>
              </w:rPr>
              <w:t>7.70</w:t>
            </w:r>
          </w:p>
        </w:tc>
        <w:tc>
          <w:tcPr>
            <w:tcW w:type="dxa" w:w="2091"/>
            <w:vAlign w:val="center"/>
          </w:tcPr>
          <w:p>
            <w:pPr>
              <w:spacing w:after="0"/>
            </w:pPr>
            <w:r>
              <w:rPr>
                <w:rFonts w:ascii="Arial" w:hAnsi="Arial"/>
                <w:sz w:val="16"/>
              </w:rPr>
            </w:r>
            <w:r>
              <w:rPr>
                <w:rFonts w:ascii="Arial" w:hAnsi="Arial"/>
                <w:b w:val="0"/>
                <w:sz w:val="16"/>
              </w:rPr>
              <w:t>-7.1%</w:t>
            </w:r>
          </w:p>
        </w:tc>
        <w:tc>
          <w:tcPr>
            <w:tcW w:type="dxa" w:w="2091"/>
            <w:vAlign w:val="center"/>
          </w:tcPr>
          <w:p>
            <w:pPr>
              <w:spacing w:after="0"/>
            </w:pPr>
            <w:r>
              <w:rPr>
                <w:rFonts w:ascii="Arial" w:hAnsi="Arial"/>
                <w:sz w:val="16"/>
              </w:rPr>
            </w:r>
            <w:r>
              <w:rPr>
                <w:rFonts w:ascii="Arial" w:hAnsi="Arial"/>
                <w:b w:val="0"/>
                <w:sz w:val="16"/>
              </w:rPr>
              <w:t>65.6%</w:t>
            </w:r>
          </w:p>
        </w:tc>
      </w:tr>
      <w:tr>
        <w:tc>
          <w:tcPr>
            <w:tcW w:type="dxa" w:w="2091"/>
            <w:vAlign w:val="center"/>
          </w:tcPr>
          <w:p>
            <w:pPr>
              <w:spacing w:after="0"/>
            </w:pPr>
            <w:r>
              <w:rPr>
                <w:rFonts w:ascii="Arial" w:hAnsi="Arial"/>
                <w:sz w:val="16"/>
              </w:rPr>
            </w:r>
            <w:r>
              <w:rPr>
                <w:rFonts w:ascii="Arial" w:hAnsi="Arial"/>
                <w:b w:val="0"/>
                <w:sz w:val="16"/>
              </w:rPr>
              <w:t>7-Day Moving Average</w:t>
            </w:r>
          </w:p>
        </w:tc>
        <w:tc>
          <w:tcPr>
            <w:tcW w:type="dxa" w:w="2091"/>
            <w:vAlign w:val="center"/>
          </w:tcPr>
          <w:p>
            <w:pPr>
              <w:spacing w:after="0"/>
            </w:pPr>
            <w:r>
              <w:rPr>
                <w:rFonts w:ascii="Arial" w:hAnsi="Arial"/>
                <w:sz w:val="16"/>
              </w:rPr>
            </w:r>
            <w:r>
              <w:rPr>
                <w:rFonts w:ascii="Arial" w:hAnsi="Arial"/>
                <w:b w:val="0"/>
                <w:sz w:val="16"/>
              </w:rPr>
              <w:t>4.66</w:t>
            </w:r>
          </w:p>
        </w:tc>
        <w:tc>
          <w:tcPr>
            <w:tcW w:type="dxa" w:w="2091"/>
            <w:vAlign w:val="center"/>
          </w:tcPr>
          <w:p>
            <w:pPr>
              <w:spacing w:after="0"/>
            </w:pPr>
            <w:r>
              <w:rPr>
                <w:rFonts w:ascii="Arial" w:hAnsi="Arial"/>
                <w:sz w:val="16"/>
              </w:rPr>
            </w:r>
            <w:r>
              <w:rPr>
                <w:rFonts w:ascii="Arial" w:hAnsi="Arial"/>
                <w:b w:val="0"/>
                <w:sz w:val="16"/>
              </w:rPr>
              <w:t>7.82</w:t>
            </w:r>
          </w:p>
        </w:tc>
        <w:tc>
          <w:tcPr>
            <w:tcW w:type="dxa" w:w="2091"/>
            <w:vAlign w:val="center"/>
          </w:tcPr>
          <w:p>
            <w:pPr>
              <w:spacing w:after="0"/>
            </w:pPr>
            <w:r>
              <w:rPr>
                <w:rFonts w:ascii="Arial" w:hAnsi="Arial"/>
                <w:sz w:val="16"/>
              </w:rPr>
            </w:r>
            <w:r>
              <w:rPr>
                <w:rFonts w:ascii="Arial" w:hAnsi="Arial"/>
                <w:b w:val="0"/>
                <w:sz w:val="16"/>
              </w:rPr>
              <w:t>-7.4%</w:t>
            </w:r>
          </w:p>
        </w:tc>
        <w:tc>
          <w:tcPr>
            <w:tcW w:type="dxa" w:w="2091"/>
            <w:vAlign w:val="center"/>
          </w:tcPr>
          <w:p>
            <w:pPr>
              <w:spacing w:after="0"/>
            </w:pPr>
            <w:r>
              <w:rPr>
                <w:rFonts w:ascii="Arial" w:hAnsi="Arial"/>
                <w:sz w:val="16"/>
              </w:rPr>
            </w:r>
            <w:r>
              <w:rPr>
                <w:rFonts w:ascii="Arial" w:hAnsi="Arial"/>
                <w:b w:val="0"/>
                <w:sz w:val="16"/>
              </w:rPr>
              <w:t>59.1%</w:t>
            </w:r>
          </w:p>
        </w:tc>
      </w:tr>
      <w:tr>
        <w:tc>
          <w:tcPr>
            <w:tcW w:type="dxa" w:w="2091"/>
            <w:vAlign w:val="center"/>
          </w:tcPr>
          <w:p>
            <w:pPr>
              <w:spacing w:after="0"/>
            </w:pPr>
            <w:r>
              <w:rPr>
                <w:rFonts w:ascii="Arial" w:hAnsi="Arial"/>
                <w:sz w:val="16"/>
              </w:rPr>
            </w:r>
            <w:r>
              <w:rPr>
                <w:rFonts w:ascii="Arial" w:hAnsi="Arial"/>
                <w:b w:val="0"/>
                <w:sz w:val="16"/>
              </w:rPr>
              <w:t>28-Day Moving Average</w:t>
            </w:r>
          </w:p>
        </w:tc>
        <w:tc>
          <w:tcPr>
            <w:tcW w:type="dxa" w:w="2091"/>
            <w:vAlign w:val="center"/>
          </w:tcPr>
          <w:p>
            <w:pPr>
              <w:spacing w:after="0"/>
            </w:pPr>
            <w:r>
              <w:rPr>
                <w:rFonts w:ascii="Arial" w:hAnsi="Arial"/>
                <w:sz w:val="16"/>
              </w:rPr>
            </w:r>
            <w:r>
              <w:rPr>
                <w:rFonts w:ascii="Arial" w:hAnsi="Arial"/>
                <w:b w:val="0"/>
                <w:sz w:val="16"/>
              </w:rPr>
              <w:t>4.83</w:t>
            </w:r>
          </w:p>
        </w:tc>
        <w:tc>
          <w:tcPr>
            <w:tcW w:type="dxa" w:w="2091"/>
            <w:vAlign w:val="center"/>
          </w:tcPr>
          <w:p>
            <w:pPr>
              <w:spacing w:after="0"/>
            </w:pPr>
            <w:r>
              <w:rPr>
                <w:rFonts w:ascii="Arial" w:hAnsi="Arial"/>
                <w:sz w:val="16"/>
              </w:rPr>
            </w:r>
            <w:r>
              <w:rPr>
                <w:rFonts w:ascii="Arial" w:hAnsi="Arial"/>
                <w:b w:val="0"/>
                <w:sz w:val="16"/>
              </w:rPr>
              <w:t>7.98</w:t>
            </w:r>
          </w:p>
        </w:tc>
        <w:tc>
          <w:tcPr>
            <w:tcW w:type="dxa" w:w="2091"/>
            <w:vAlign w:val="center"/>
          </w:tcPr>
          <w:p>
            <w:pPr>
              <w:spacing w:after="0"/>
            </w:pPr>
            <w:r>
              <w:rPr>
                <w:rFonts w:ascii="Arial" w:hAnsi="Arial"/>
                <w:sz w:val="16"/>
              </w:rPr>
            </w:r>
            <w:r>
              <w:rPr>
                <w:rFonts w:ascii="Arial" w:hAnsi="Arial"/>
                <w:b w:val="0"/>
                <w:sz w:val="16"/>
              </w:rPr>
              <w:t>-3.1%</w:t>
            </w:r>
          </w:p>
        </w:tc>
        <w:tc>
          <w:tcPr>
            <w:tcW w:type="dxa" w:w="2091"/>
            <w:vAlign w:val="center"/>
          </w:tcPr>
          <w:p>
            <w:pPr>
              <w:spacing w:after="0"/>
            </w:pPr>
            <w:r>
              <w:rPr>
                <w:rFonts w:ascii="Arial" w:hAnsi="Arial"/>
                <w:sz w:val="16"/>
              </w:rPr>
            </w:r>
            <w:r>
              <w:rPr>
                <w:rFonts w:ascii="Arial" w:hAnsi="Arial"/>
                <w:b w:val="0"/>
                <w:sz w:val="16"/>
              </w:rPr>
              <w:t>70.4%</w:t>
            </w:r>
          </w:p>
        </w:tc>
      </w:tr>
    </w:tbl>
    <w:p>
      <w:pPr>
        <w:spacing w:after="40" w:line="250" w:lineRule="auto"/>
      </w:pPr>
      <w:r>
        <w:rPr>
          <w:rFonts w:ascii="Arial" w:hAnsi="Arial"/>
          <w:sz w:val="18"/>
        </w:rPr>
        <w:t>Interpretation: error is defined as forecast minus actual. A negative forecast bias means the forecast under-predicted actual demand. In replenishment planning, this can create stockout risk even when MAE or RMSE improves.</w:t>
      </w:r>
    </w:p>
    <w:p>
      <w:pPr>
        <w:jc w:val="center"/>
      </w:pPr>
      <w:r>
        <w:drawing>
          <wp:inline xmlns:a="http://schemas.openxmlformats.org/drawingml/2006/main" xmlns:pic="http://schemas.openxmlformats.org/drawingml/2006/picture">
            <wp:extent cx="5760720" cy="2779491"/>
            <wp:docPr id="1" name="Picture 1"/>
            <wp:cNvGraphicFramePr>
              <a:graphicFrameLocks noChangeAspect="1"/>
            </wp:cNvGraphicFramePr>
            <a:graphic>
              <a:graphicData uri="http://schemas.openxmlformats.org/drawingml/2006/picture">
                <pic:pic>
                  <pic:nvPicPr>
                    <pic:cNvPr id="0" name="model_comparison_chart.png"/>
                    <pic:cNvPicPr/>
                  </pic:nvPicPr>
                  <pic:blipFill>
                    <a:blip r:embed="rId10"/>
                    <a:stretch>
                      <a:fillRect/>
                    </a:stretch>
                  </pic:blipFill>
                  <pic:spPr>
                    <a:xfrm>
                      <a:off x="0" y="0"/>
                      <a:ext cx="5760720" cy="2779491"/>
                    </a:xfrm>
                    <a:prstGeom prst="rect"/>
                  </pic:spPr>
                </pic:pic>
              </a:graphicData>
            </a:graphic>
          </wp:inline>
        </w:drawing>
      </w:r>
    </w:p>
    <w:p>
      <w:r>
        <w:br w:type="page"/>
      </w:r>
    </w:p>
    <w:p>
      <w:pPr>
        <w:pStyle w:val="Heading1"/>
        <w:spacing w:before="120" w:after="60"/>
      </w:pPr>
      <w:r>
        <w:rPr>
          <w:rFonts w:ascii="Arial" w:hAnsi="Arial"/>
          <w:b/>
          <w:color w:val="1F4E79"/>
          <w:sz w:val="28"/>
        </w:rPr>
        <w:t>Scope and Methodology</w:t>
      </w:r>
    </w:p>
    <w:p>
      <w:pPr>
        <w:pStyle w:val="ListBullet"/>
        <w:spacing w:after="40" w:line="240" w:lineRule="auto"/>
      </w:pPr>
      <w:r>
        <w:rPr>
          <w:rFonts w:ascii="Arial" w:hAnsi="Arial"/>
          <w:sz w:val="18"/>
        </w:rPr>
        <w:t>Data source: Kaggle M5 Forecasting Accuracy dataset, using Walmart historical daily unit sales, calendar, and sell price files.</w:t>
      </w:r>
    </w:p>
    <w:p>
      <w:pPr>
        <w:pStyle w:val="ListBullet"/>
        <w:spacing w:after="40" w:line="240" w:lineRule="auto"/>
      </w:pPr>
      <w:r>
        <w:rPr>
          <w:rFonts w:ascii="Arial" w:hAnsi="Arial"/>
          <w:sz w:val="18"/>
        </w:rPr>
        <w:t>Scope: FOODS category only; top 100 items selected by recent 365-day unit sales to keep the analysis focused on high-volume products.</w:t>
      </w:r>
    </w:p>
    <w:p>
      <w:pPr>
        <w:pStyle w:val="ListBullet"/>
        <w:spacing w:after="40" w:line="240" w:lineRule="auto"/>
      </w:pPr>
      <w:r>
        <w:rPr>
          <w:rFonts w:ascii="Arial" w:hAnsi="Arial"/>
          <w:sz w:val="18"/>
        </w:rPr>
        <w:t>Forecast level: item-store combination, using the final 28 days as a holdout period to simulate short-term operational demand planning.</w:t>
      </w:r>
    </w:p>
    <w:p>
      <w:pPr>
        <w:pStyle w:val="ListBullet"/>
        <w:spacing w:after="40" w:line="240" w:lineRule="auto"/>
      </w:pPr>
      <w:r>
        <w:rPr>
          <w:rFonts w:ascii="Arial" w:hAnsi="Arial"/>
          <w:sz w:val="18"/>
        </w:rPr>
        <w:t>Baseline methods: last 7-day average and last 28-day average, selected because they are transparent and easy to interpret.</w:t>
      </w:r>
    </w:p>
    <w:p>
      <w:pPr>
        <w:pStyle w:val="ListBullet"/>
        <w:spacing w:after="40" w:line="240" w:lineRule="auto"/>
      </w:pPr>
      <w:r>
        <w:rPr>
          <w:rFonts w:ascii="Arial" w:hAnsi="Arial"/>
          <w:sz w:val="18"/>
        </w:rPr>
        <w:t>Model upgrade: Ridge regression and HistGradientBoosting using item, department, store, calendar, price, event, SNAP, lag, and rolling-demand features.</w:t>
      </w:r>
    </w:p>
    <w:p>
      <w:pPr>
        <w:pStyle w:val="ListBullet"/>
        <w:spacing w:after="40" w:line="240" w:lineRule="auto"/>
      </w:pPr>
      <w:r>
        <w:rPr>
          <w:rFonts w:ascii="Arial" w:hAnsi="Arial"/>
          <w:sz w:val="18"/>
        </w:rPr>
        <w:t>Evaluation focus: MAE, RMSE, sMAPE, forecast bias, under-forecast risk, over-forecast risk, and department-level exception concentration.</w:t>
      </w:r>
    </w:p>
    <w:p>
      <w:pPr>
        <w:pStyle w:val="Heading1"/>
        <w:spacing w:before="120" w:after="60"/>
      </w:pPr>
      <w:r>
        <w:rPr>
          <w:rFonts w:ascii="Arial" w:hAnsi="Arial"/>
          <w:b/>
          <w:color w:val="1F4E79"/>
          <w:sz w:val="28"/>
        </w:rPr>
        <w:t>Key Findings</w:t>
      </w:r>
    </w:p>
    <w:p>
      <w:pPr>
        <w:pStyle w:val="Heading2"/>
        <w:spacing w:before="80" w:after="60"/>
      </w:pPr>
      <w:r>
        <w:rPr>
          <w:rFonts w:ascii="Arial" w:hAnsi="Arial"/>
          <w:b/>
          <w:color w:val="4F81BD"/>
          <w:sz w:val="22"/>
        </w:rPr>
        <w:t>1. The tree-based model improved accuracy, but did not eliminate under-forecast bias.</w:t>
      </w:r>
    </w:p>
    <w:p>
      <w:pPr>
        <w:spacing w:after="80" w:line="250" w:lineRule="auto"/>
      </w:pPr>
      <w:r>
        <w:rPr>
          <w:rFonts w:ascii="Arial" w:hAnsi="Arial"/>
          <w:sz w:val="19"/>
        </w:rPr>
        <w:t>HistGradientBoosting had the lowest MAE (4.39) and RMSE (7.40) across tested methods. Compared with the 28-day moving-average baseline, it reduced MAE by 9.1% and RMSE by 7.4%. However, its forecast bias remained negative (-6.9%), which means the model still under-forecasted actual demand overall. This highlights a planning trade-off: the most accurate model by error metrics may still require bias monitoring and exception alerts.</w:t>
      </w:r>
    </w:p>
    <w:p>
      <w:pPr>
        <w:jc w:val="center"/>
      </w:pPr>
      <w:r>
        <w:drawing>
          <wp:inline xmlns:a="http://schemas.openxmlformats.org/drawingml/2006/main" xmlns:pic="http://schemas.openxmlformats.org/drawingml/2006/picture">
            <wp:extent cx="5120640" cy="1963078"/>
            <wp:docPr id="2" name="Picture 2"/>
            <wp:cNvGraphicFramePr>
              <a:graphicFrameLocks noChangeAspect="1"/>
            </wp:cNvGraphicFramePr>
            <a:graphic>
              <a:graphicData uri="http://schemas.openxmlformats.org/drawingml/2006/picture">
                <pic:pic>
                  <pic:nvPicPr>
                    <pic:cNvPr id="0" name="model_bias_chart.png"/>
                    <pic:cNvPicPr/>
                  </pic:nvPicPr>
                  <pic:blipFill>
                    <a:blip r:embed="rId11"/>
                    <a:stretch>
                      <a:fillRect/>
                    </a:stretch>
                  </pic:blipFill>
                  <pic:spPr>
                    <a:xfrm>
                      <a:off x="0" y="0"/>
                      <a:ext cx="5120640" cy="1963078"/>
                    </a:xfrm>
                    <a:prstGeom prst="rect"/>
                  </pic:spPr>
                </pic:pic>
              </a:graphicData>
            </a:graphic>
          </wp:inline>
        </w:drawing>
      </w:r>
    </w:p>
    <w:p>
      <w:pPr>
        <w:pStyle w:val="Heading2"/>
        <w:spacing w:before="80" w:after="60"/>
      </w:pPr>
      <w:r>
        <w:rPr>
          <w:rFonts w:ascii="Arial" w:hAnsi="Arial"/>
          <w:b/>
          <w:color w:val="4F81BD"/>
          <w:sz w:val="22"/>
        </w:rPr>
        <w:t>2. Severe model under-forecasting indicates potential stockout risk.</w:t>
      </w:r>
    </w:p>
    <w:p>
      <w:pPr>
        <w:spacing w:after="80" w:line="250" w:lineRule="auto"/>
      </w:pPr>
      <w:r>
        <w:rPr>
          <w:rFonts w:ascii="Arial" w:hAnsi="Arial"/>
          <w:sz w:val="19"/>
        </w:rPr>
        <w:t>The top 20 model under-forecast items had 99,932 actual units versus 80,652 forecasted units, resulting in a total forecast error of -19,280 units and weighted bias of -19.3%. The most severe cases included FOODS_1_043 and FOODS_1_004, where forecast volume remained near zero despite strong actual demand. These cases suggest potential item lifecycle, demand restart, active-item flag, or recent-availability issues not fully captured by the current model.</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c>
          <w:tcPr>
            <w:tcW w:type="dxa" w:w="1742"/>
            <w:vAlign w:val="center"/>
            <w:shd w:fill="1F4E79"/>
            <w:shd w:fill="1F4E79"/>
          </w:tcPr>
          <w:p>
            <w:pPr>
              <w:spacing w:after="0"/>
            </w:pPr>
            <w:r>
              <w:rPr>
                <w:rFonts w:ascii="Arial" w:hAnsi="Arial"/>
                <w:b/>
                <w:color w:val="FFFFFF"/>
                <w:sz w:val="15"/>
              </w:rPr>
            </w:r>
            <w:r>
              <w:rPr>
                <w:rFonts w:ascii="Arial" w:hAnsi="Arial"/>
                <w:b/>
                <w:color w:val="FFFFFF"/>
                <w:sz w:val="15"/>
              </w:rPr>
              <w:t>Item</w:t>
            </w:r>
          </w:p>
        </w:tc>
        <w:tc>
          <w:tcPr>
            <w:tcW w:type="dxa" w:w="1742"/>
            <w:vAlign w:val="center"/>
            <w:shd w:fill="1F4E79"/>
            <w:shd w:fill="1F4E79"/>
          </w:tcPr>
          <w:p>
            <w:pPr>
              <w:spacing w:after="0"/>
            </w:pPr>
            <w:r>
              <w:rPr>
                <w:rFonts w:ascii="Arial" w:hAnsi="Arial"/>
                <w:b/>
                <w:color w:val="FFFFFF"/>
                <w:sz w:val="15"/>
              </w:rPr>
            </w:r>
            <w:r>
              <w:rPr>
                <w:rFonts w:ascii="Arial" w:hAnsi="Arial"/>
                <w:b/>
                <w:color w:val="FFFFFF"/>
                <w:sz w:val="15"/>
              </w:rPr>
              <w:t>Dept</w:t>
            </w:r>
          </w:p>
        </w:tc>
        <w:tc>
          <w:tcPr>
            <w:tcW w:type="dxa" w:w="1742"/>
            <w:vAlign w:val="center"/>
            <w:shd w:fill="1F4E79"/>
            <w:shd w:fill="1F4E79"/>
          </w:tcPr>
          <w:p>
            <w:pPr>
              <w:spacing w:after="0"/>
            </w:pPr>
            <w:r>
              <w:rPr>
                <w:rFonts w:ascii="Arial" w:hAnsi="Arial"/>
                <w:b/>
                <w:color w:val="FFFFFF"/>
                <w:sz w:val="15"/>
              </w:rPr>
            </w:r>
            <w:r>
              <w:rPr>
                <w:rFonts w:ascii="Arial" w:hAnsi="Arial"/>
                <w:b/>
                <w:color w:val="FFFFFF"/>
                <w:sz w:val="15"/>
              </w:rPr>
              <w:t>Actual Units</w:t>
            </w:r>
          </w:p>
        </w:tc>
        <w:tc>
          <w:tcPr>
            <w:tcW w:type="dxa" w:w="1742"/>
            <w:vAlign w:val="center"/>
            <w:shd w:fill="1F4E79"/>
            <w:shd w:fill="1F4E79"/>
          </w:tcPr>
          <w:p>
            <w:pPr>
              <w:spacing w:after="0"/>
            </w:pPr>
            <w:r>
              <w:rPr>
                <w:rFonts w:ascii="Arial" w:hAnsi="Arial"/>
                <w:b/>
                <w:color w:val="FFFFFF"/>
                <w:sz w:val="15"/>
              </w:rPr>
            </w:r>
            <w:r>
              <w:rPr>
                <w:rFonts w:ascii="Arial" w:hAnsi="Arial"/>
                <w:b/>
                <w:color w:val="FFFFFF"/>
                <w:sz w:val="15"/>
              </w:rPr>
              <w:t>Forecast Units</w:t>
            </w:r>
          </w:p>
        </w:tc>
        <w:tc>
          <w:tcPr>
            <w:tcW w:type="dxa" w:w="1742"/>
            <w:vAlign w:val="center"/>
            <w:shd w:fill="1F4E79"/>
            <w:shd w:fill="1F4E79"/>
          </w:tcPr>
          <w:p>
            <w:pPr>
              <w:spacing w:after="0"/>
            </w:pPr>
            <w:r>
              <w:rPr>
                <w:rFonts w:ascii="Arial" w:hAnsi="Arial"/>
                <w:b/>
                <w:color w:val="FFFFFF"/>
                <w:sz w:val="15"/>
              </w:rPr>
            </w:r>
            <w:r>
              <w:rPr>
                <w:rFonts w:ascii="Arial" w:hAnsi="Arial"/>
                <w:b/>
                <w:color w:val="FFFFFF"/>
                <w:sz w:val="15"/>
              </w:rPr>
              <w:t>Forecast Error</w:t>
            </w:r>
          </w:p>
        </w:tc>
        <w:tc>
          <w:tcPr>
            <w:tcW w:type="dxa" w:w="1742"/>
            <w:vAlign w:val="center"/>
            <w:shd w:fill="1F4E79"/>
            <w:shd w:fill="1F4E79"/>
          </w:tcPr>
          <w:p>
            <w:pPr>
              <w:spacing w:after="0"/>
            </w:pPr>
            <w:r>
              <w:rPr>
                <w:rFonts w:ascii="Arial" w:hAnsi="Arial"/>
                <w:b/>
                <w:color w:val="FFFFFF"/>
                <w:sz w:val="15"/>
              </w:rPr>
            </w:r>
            <w:r>
              <w:rPr>
                <w:rFonts w:ascii="Arial" w:hAnsi="Arial"/>
                <w:b/>
                <w:color w:val="FFFFFF"/>
                <w:sz w:val="15"/>
              </w:rPr>
              <w:t>Bias %</w:t>
            </w:r>
          </w:p>
        </w:tc>
      </w:tr>
      <w:tr>
        <w:tc>
          <w:tcPr>
            <w:tcW w:type="dxa" w:w="1742"/>
            <w:vAlign w:val="center"/>
          </w:tcPr>
          <w:p>
            <w:pPr>
              <w:spacing w:after="0"/>
            </w:pPr>
            <w:r>
              <w:rPr>
                <w:rFonts w:ascii="Arial" w:hAnsi="Arial"/>
                <w:sz w:val="15"/>
              </w:rPr>
            </w:r>
            <w:r>
              <w:rPr>
                <w:rFonts w:ascii="Arial" w:hAnsi="Arial"/>
                <w:b w:val="0"/>
                <w:sz w:val="15"/>
              </w:rPr>
              <w:t>FOODS_1_043</w:t>
            </w:r>
          </w:p>
        </w:tc>
        <w:tc>
          <w:tcPr>
            <w:tcW w:type="dxa" w:w="1742"/>
            <w:vAlign w:val="center"/>
          </w:tcPr>
          <w:p>
            <w:pPr>
              <w:spacing w:after="0"/>
            </w:pPr>
            <w:r>
              <w:rPr>
                <w:rFonts w:ascii="Arial" w:hAnsi="Arial"/>
                <w:sz w:val="15"/>
              </w:rPr>
            </w:r>
            <w:r>
              <w:rPr>
                <w:rFonts w:ascii="Arial" w:hAnsi="Arial"/>
                <w:b w:val="0"/>
                <w:sz w:val="15"/>
              </w:rPr>
              <w:t>FOODS_1</w:t>
            </w:r>
          </w:p>
        </w:tc>
        <w:tc>
          <w:tcPr>
            <w:tcW w:type="dxa" w:w="1742"/>
            <w:vAlign w:val="center"/>
          </w:tcPr>
          <w:p>
            <w:pPr>
              <w:spacing w:after="0"/>
            </w:pPr>
            <w:r>
              <w:rPr>
                <w:rFonts w:ascii="Arial" w:hAnsi="Arial"/>
                <w:sz w:val="15"/>
              </w:rPr>
            </w:r>
            <w:r>
              <w:rPr>
                <w:rFonts w:ascii="Arial" w:hAnsi="Arial"/>
                <w:b w:val="0"/>
                <w:sz w:val="15"/>
              </w:rPr>
              <w:t>3,287</w:t>
            </w:r>
          </w:p>
        </w:tc>
        <w:tc>
          <w:tcPr>
            <w:tcW w:type="dxa" w:w="1742"/>
            <w:vAlign w:val="center"/>
          </w:tcPr>
          <w:p>
            <w:pPr>
              <w:spacing w:after="0"/>
            </w:pPr>
            <w:r>
              <w:rPr>
                <w:rFonts w:ascii="Arial" w:hAnsi="Arial"/>
                <w:sz w:val="15"/>
              </w:rPr>
            </w:r>
            <w:r>
              <w:rPr>
                <w:rFonts w:ascii="Arial" w:hAnsi="Arial"/>
                <w:b w:val="0"/>
                <w:sz w:val="15"/>
              </w:rPr>
              <w:t>84</w:t>
            </w:r>
          </w:p>
        </w:tc>
        <w:tc>
          <w:tcPr>
            <w:tcW w:type="dxa" w:w="1742"/>
            <w:vAlign w:val="center"/>
          </w:tcPr>
          <w:p>
            <w:pPr>
              <w:spacing w:after="0"/>
            </w:pPr>
            <w:r>
              <w:rPr>
                <w:rFonts w:ascii="Arial" w:hAnsi="Arial"/>
                <w:sz w:val="15"/>
              </w:rPr>
            </w:r>
            <w:r>
              <w:rPr>
                <w:rFonts w:ascii="Arial" w:hAnsi="Arial"/>
                <w:b w:val="0"/>
                <w:sz w:val="15"/>
              </w:rPr>
              <w:t>-3,203</w:t>
            </w:r>
          </w:p>
        </w:tc>
        <w:tc>
          <w:tcPr>
            <w:tcW w:type="dxa" w:w="1742"/>
            <w:vAlign w:val="center"/>
          </w:tcPr>
          <w:p>
            <w:pPr>
              <w:spacing w:after="0"/>
            </w:pPr>
            <w:r>
              <w:rPr>
                <w:rFonts w:ascii="Arial" w:hAnsi="Arial"/>
                <w:sz w:val="15"/>
              </w:rPr>
            </w:r>
            <w:r>
              <w:rPr>
                <w:rFonts w:ascii="Arial" w:hAnsi="Arial"/>
                <w:b w:val="0"/>
                <w:sz w:val="15"/>
              </w:rPr>
              <w:t>-97.5%</w:t>
            </w:r>
          </w:p>
        </w:tc>
      </w:tr>
      <w:tr>
        <w:tc>
          <w:tcPr>
            <w:tcW w:type="dxa" w:w="1742"/>
            <w:vAlign w:val="center"/>
          </w:tcPr>
          <w:p>
            <w:pPr>
              <w:spacing w:after="0"/>
            </w:pPr>
            <w:r>
              <w:rPr>
                <w:rFonts w:ascii="Arial" w:hAnsi="Arial"/>
                <w:sz w:val="15"/>
              </w:rPr>
            </w:r>
            <w:r>
              <w:rPr>
                <w:rFonts w:ascii="Arial" w:hAnsi="Arial"/>
                <w:b w:val="0"/>
                <w:sz w:val="15"/>
              </w:rPr>
              <w:t>FOODS_1_004</w:t>
            </w:r>
          </w:p>
        </w:tc>
        <w:tc>
          <w:tcPr>
            <w:tcW w:type="dxa" w:w="1742"/>
            <w:vAlign w:val="center"/>
          </w:tcPr>
          <w:p>
            <w:pPr>
              <w:spacing w:after="0"/>
            </w:pPr>
            <w:r>
              <w:rPr>
                <w:rFonts w:ascii="Arial" w:hAnsi="Arial"/>
                <w:sz w:val="15"/>
              </w:rPr>
            </w:r>
            <w:r>
              <w:rPr>
                <w:rFonts w:ascii="Arial" w:hAnsi="Arial"/>
                <w:b w:val="0"/>
                <w:sz w:val="15"/>
              </w:rPr>
              <w:t>FOODS_1</w:t>
            </w:r>
          </w:p>
        </w:tc>
        <w:tc>
          <w:tcPr>
            <w:tcW w:type="dxa" w:w="1742"/>
            <w:vAlign w:val="center"/>
          </w:tcPr>
          <w:p>
            <w:pPr>
              <w:spacing w:after="0"/>
            </w:pPr>
            <w:r>
              <w:rPr>
                <w:rFonts w:ascii="Arial" w:hAnsi="Arial"/>
                <w:sz w:val="15"/>
              </w:rPr>
            </w:r>
            <w:r>
              <w:rPr>
                <w:rFonts w:ascii="Arial" w:hAnsi="Arial"/>
                <w:b w:val="0"/>
                <w:sz w:val="15"/>
              </w:rPr>
              <w:t>2,770</w:t>
            </w:r>
          </w:p>
        </w:tc>
        <w:tc>
          <w:tcPr>
            <w:tcW w:type="dxa" w:w="1742"/>
            <w:vAlign w:val="center"/>
          </w:tcPr>
          <w:p>
            <w:pPr>
              <w:spacing w:after="0"/>
            </w:pPr>
            <w:r>
              <w:rPr>
                <w:rFonts w:ascii="Arial" w:hAnsi="Arial"/>
                <w:sz w:val="15"/>
              </w:rPr>
            </w:r>
            <w:r>
              <w:rPr>
                <w:rFonts w:ascii="Arial" w:hAnsi="Arial"/>
                <w:b w:val="0"/>
                <w:sz w:val="15"/>
              </w:rPr>
              <w:t>84</w:t>
            </w:r>
          </w:p>
        </w:tc>
        <w:tc>
          <w:tcPr>
            <w:tcW w:type="dxa" w:w="1742"/>
            <w:vAlign w:val="center"/>
          </w:tcPr>
          <w:p>
            <w:pPr>
              <w:spacing w:after="0"/>
            </w:pPr>
            <w:r>
              <w:rPr>
                <w:rFonts w:ascii="Arial" w:hAnsi="Arial"/>
                <w:sz w:val="15"/>
              </w:rPr>
            </w:r>
            <w:r>
              <w:rPr>
                <w:rFonts w:ascii="Arial" w:hAnsi="Arial"/>
                <w:b w:val="0"/>
                <w:sz w:val="15"/>
              </w:rPr>
              <w:t>-2,686</w:t>
            </w:r>
          </w:p>
        </w:tc>
        <w:tc>
          <w:tcPr>
            <w:tcW w:type="dxa" w:w="1742"/>
            <w:vAlign w:val="center"/>
          </w:tcPr>
          <w:p>
            <w:pPr>
              <w:spacing w:after="0"/>
            </w:pPr>
            <w:r>
              <w:rPr>
                <w:rFonts w:ascii="Arial" w:hAnsi="Arial"/>
                <w:sz w:val="15"/>
              </w:rPr>
            </w:r>
            <w:r>
              <w:rPr>
                <w:rFonts w:ascii="Arial" w:hAnsi="Arial"/>
                <w:b w:val="0"/>
                <w:sz w:val="15"/>
              </w:rPr>
              <w:t>-97.0%</w:t>
            </w:r>
          </w:p>
        </w:tc>
      </w:tr>
      <w:tr>
        <w:tc>
          <w:tcPr>
            <w:tcW w:type="dxa" w:w="1742"/>
            <w:vAlign w:val="center"/>
          </w:tcPr>
          <w:p>
            <w:pPr>
              <w:spacing w:after="0"/>
            </w:pPr>
            <w:r>
              <w:rPr>
                <w:rFonts w:ascii="Arial" w:hAnsi="Arial"/>
                <w:sz w:val="15"/>
              </w:rPr>
            </w:r>
            <w:r>
              <w:rPr>
                <w:rFonts w:ascii="Arial" w:hAnsi="Arial"/>
                <w:b w:val="0"/>
                <w:sz w:val="15"/>
              </w:rPr>
              <w:t>FOODS_3_090</w:t>
            </w:r>
          </w:p>
        </w:tc>
        <w:tc>
          <w:tcPr>
            <w:tcW w:type="dxa" w:w="1742"/>
            <w:vAlign w:val="center"/>
          </w:tcPr>
          <w:p>
            <w:pPr>
              <w:spacing w:after="0"/>
            </w:pPr>
            <w:r>
              <w:rPr>
                <w:rFonts w:ascii="Arial" w:hAnsi="Arial"/>
                <w:sz w:val="15"/>
              </w:rPr>
            </w:r>
            <w:r>
              <w:rPr>
                <w:rFonts w:ascii="Arial" w:hAnsi="Arial"/>
                <w:b w:val="0"/>
                <w:sz w:val="15"/>
              </w:rPr>
              <w:t>FOODS_3</w:t>
            </w:r>
          </w:p>
        </w:tc>
        <w:tc>
          <w:tcPr>
            <w:tcW w:type="dxa" w:w="1742"/>
            <w:vAlign w:val="center"/>
          </w:tcPr>
          <w:p>
            <w:pPr>
              <w:spacing w:after="0"/>
            </w:pPr>
            <w:r>
              <w:rPr>
                <w:rFonts w:ascii="Arial" w:hAnsi="Arial"/>
                <w:sz w:val="15"/>
              </w:rPr>
            </w:r>
            <w:r>
              <w:rPr>
                <w:rFonts w:ascii="Arial" w:hAnsi="Arial"/>
                <w:b w:val="0"/>
                <w:sz w:val="15"/>
              </w:rPr>
              <w:t>15,387</w:t>
            </w:r>
          </w:p>
        </w:tc>
        <w:tc>
          <w:tcPr>
            <w:tcW w:type="dxa" w:w="1742"/>
            <w:vAlign w:val="center"/>
          </w:tcPr>
          <w:p>
            <w:pPr>
              <w:spacing w:after="0"/>
            </w:pPr>
            <w:r>
              <w:rPr>
                <w:rFonts w:ascii="Arial" w:hAnsi="Arial"/>
                <w:sz w:val="15"/>
              </w:rPr>
            </w:r>
            <w:r>
              <w:rPr>
                <w:rFonts w:ascii="Arial" w:hAnsi="Arial"/>
                <w:b w:val="0"/>
                <w:sz w:val="15"/>
              </w:rPr>
              <w:t>13,838</w:t>
            </w:r>
          </w:p>
        </w:tc>
        <w:tc>
          <w:tcPr>
            <w:tcW w:type="dxa" w:w="1742"/>
            <w:vAlign w:val="center"/>
          </w:tcPr>
          <w:p>
            <w:pPr>
              <w:spacing w:after="0"/>
            </w:pPr>
            <w:r>
              <w:rPr>
                <w:rFonts w:ascii="Arial" w:hAnsi="Arial"/>
                <w:sz w:val="15"/>
              </w:rPr>
            </w:r>
            <w:r>
              <w:rPr>
                <w:rFonts w:ascii="Arial" w:hAnsi="Arial"/>
                <w:b w:val="0"/>
                <w:sz w:val="15"/>
              </w:rPr>
              <w:t>-1,549</w:t>
            </w:r>
          </w:p>
        </w:tc>
        <w:tc>
          <w:tcPr>
            <w:tcW w:type="dxa" w:w="1742"/>
            <w:vAlign w:val="center"/>
          </w:tcPr>
          <w:p>
            <w:pPr>
              <w:spacing w:after="0"/>
            </w:pPr>
            <w:r>
              <w:rPr>
                <w:rFonts w:ascii="Arial" w:hAnsi="Arial"/>
                <w:sz w:val="15"/>
              </w:rPr>
            </w:r>
            <w:r>
              <w:rPr>
                <w:rFonts w:ascii="Arial" w:hAnsi="Arial"/>
                <w:b w:val="0"/>
                <w:sz w:val="15"/>
              </w:rPr>
              <w:t>-10.1%</w:t>
            </w:r>
          </w:p>
        </w:tc>
      </w:tr>
      <w:tr>
        <w:tc>
          <w:tcPr>
            <w:tcW w:type="dxa" w:w="1742"/>
            <w:vAlign w:val="center"/>
          </w:tcPr>
          <w:p>
            <w:pPr>
              <w:spacing w:after="0"/>
            </w:pPr>
            <w:r>
              <w:rPr>
                <w:rFonts w:ascii="Arial" w:hAnsi="Arial"/>
                <w:sz w:val="15"/>
              </w:rPr>
            </w:r>
            <w:r>
              <w:rPr>
                <w:rFonts w:ascii="Arial" w:hAnsi="Arial"/>
                <w:b w:val="0"/>
                <w:sz w:val="15"/>
              </w:rPr>
              <w:t>FOODS_3_586</w:t>
            </w:r>
          </w:p>
        </w:tc>
        <w:tc>
          <w:tcPr>
            <w:tcW w:type="dxa" w:w="1742"/>
            <w:vAlign w:val="center"/>
          </w:tcPr>
          <w:p>
            <w:pPr>
              <w:spacing w:after="0"/>
            </w:pPr>
            <w:r>
              <w:rPr>
                <w:rFonts w:ascii="Arial" w:hAnsi="Arial"/>
                <w:sz w:val="15"/>
              </w:rPr>
            </w:r>
            <w:r>
              <w:rPr>
                <w:rFonts w:ascii="Arial" w:hAnsi="Arial"/>
                <w:b w:val="0"/>
                <w:sz w:val="15"/>
              </w:rPr>
              <w:t>FOODS_3</w:t>
            </w:r>
          </w:p>
        </w:tc>
        <w:tc>
          <w:tcPr>
            <w:tcW w:type="dxa" w:w="1742"/>
            <w:vAlign w:val="center"/>
          </w:tcPr>
          <w:p>
            <w:pPr>
              <w:spacing w:after="0"/>
            </w:pPr>
            <w:r>
              <w:rPr>
                <w:rFonts w:ascii="Arial" w:hAnsi="Arial"/>
                <w:sz w:val="15"/>
              </w:rPr>
            </w:r>
            <w:r>
              <w:rPr>
                <w:rFonts w:ascii="Arial" w:hAnsi="Arial"/>
                <w:b w:val="0"/>
                <w:sz w:val="15"/>
              </w:rPr>
              <w:t>11,994</w:t>
            </w:r>
          </w:p>
        </w:tc>
        <w:tc>
          <w:tcPr>
            <w:tcW w:type="dxa" w:w="1742"/>
            <w:vAlign w:val="center"/>
          </w:tcPr>
          <w:p>
            <w:pPr>
              <w:spacing w:after="0"/>
            </w:pPr>
            <w:r>
              <w:rPr>
                <w:rFonts w:ascii="Arial" w:hAnsi="Arial"/>
                <w:sz w:val="15"/>
              </w:rPr>
            </w:r>
            <w:r>
              <w:rPr>
                <w:rFonts w:ascii="Arial" w:hAnsi="Arial"/>
                <w:b w:val="0"/>
                <w:sz w:val="15"/>
              </w:rPr>
              <w:t>10,601</w:t>
            </w:r>
          </w:p>
        </w:tc>
        <w:tc>
          <w:tcPr>
            <w:tcW w:type="dxa" w:w="1742"/>
            <w:vAlign w:val="center"/>
          </w:tcPr>
          <w:p>
            <w:pPr>
              <w:spacing w:after="0"/>
            </w:pPr>
            <w:r>
              <w:rPr>
                <w:rFonts w:ascii="Arial" w:hAnsi="Arial"/>
                <w:sz w:val="15"/>
              </w:rPr>
            </w:r>
            <w:r>
              <w:rPr>
                <w:rFonts w:ascii="Arial" w:hAnsi="Arial"/>
                <w:b w:val="0"/>
                <w:sz w:val="15"/>
              </w:rPr>
              <w:t>-1,393</w:t>
            </w:r>
          </w:p>
        </w:tc>
        <w:tc>
          <w:tcPr>
            <w:tcW w:type="dxa" w:w="1742"/>
            <w:vAlign w:val="center"/>
          </w:tcPr>
          <w:p>
            <w:pPr>
              <w:spacing w:after="0"/>
            </w:pPr>
            <w:r>
              <w:rPr>
                <w:rFonts w:ascii="Arial" w:hAnsi="Arial"/>
                <w:sz w:val="15"/>
              </w:rPr>
            </w:r>
            <w:r>
              <w:rPr>
                <w:rFonts w:ascii="Arial" w:hAnsi="Arial"/>
                <w:b w:val="0"/>
                <w:sz w:val="15"/>
              </w:rPr>
              <w:t>-11.6%</w:t>
            </w:r>
          </w:p>
        </w:tc>
      </w:tr>
      <w:tr>
        <w:tc>
          <w:tcPr>
            <w:tcW w:type="dxa" w:w="1742"/>
            <w:vAlign w:val="center"/>
          </w:tcPr>
          <w:p>
            <w:pPr>
              <w:spacing w:after="0"/>
            </w:pPr>
            <w:r>
              <w:rPr>
                <w:rFonts w:ascii="Arial" w:hAnsi="Arial"/>
                <w:sz w:val="15"/>
              </w:rPr>
            </w:r>
            <w:r>
              <w:rPr>
                <w:rFonts w:ascii="Arial" w:hAnsi="Arial"/>
                <w:b w:val="0"/>
                <w:sz w:val="15"/>
              </w:rPr>
              <w:t>FOODS_3_702</w:t>
            </w:r>
          </w:p>
        </w:tc>
        <w:tc>
          <w:tcPr>
            <w:tcW w:type="dxa" w:w="1742"/>
            <w:vAlign w:val="center"/>
          </w:tcPr>
          <w:p>
            <w:pPr>
              <w:spacing w:after="0"/>
            </w:pPr>
            <w:r>
              <w:rPr>
                <w:rFonts w:ascii="Arial" w:hAnsi="Arial"/>
                <w:sz w:val="15"/>
              </w:rPr>
            </w:r>
            <w:r>
              <w:rPr>
                <w:rFonts w:ascii="Arial" w:hAnsi="Arial"/>
                <w:b w:val="0"/>
                <w:sz w:val="15"/>
              </w:rPr>
              <w:t>FOODS_3</w:t>
            </w:r>
          </w:p>
        </w:tc>
        <w:tc>
          <w:tcPr>
            <w:tcW w:type="dxa" w:w="1742"/>
            <w:vAlign w:val="center"/>
          </w:tcPr>
          <w:p>
            <w:pPr>
              <w:spacing w:after="0"/>
            </w:pPr>
            <w:r>
              <w:rPr>
                <w:rFonts w:ascii="Arial" w:hAnsi="Arial"/>
                <w:sz w:val="15"/>
              </w:rPr>
            </w:r>
            <w:r>
              <w:rPr>
                <w:rFonts w:ascii="Arial" w:hAnsi="Arial"/>
                <w:b w:val="0"/>
                <w:sz w:val="15"/>
              </w:rPr>
              <w:t>3,919</w:t>
            </w:r>
          </w:p>
        </w:tc>
        <w:tc>
          <w:tcPr>
            <w:tcW w:type="dxa" w:w="1742"/>
            <w:vAlign w:val="center"/>
          </w:tcPr>
          <w:p>
            <w:pPr>
              <w:spacing w:after="0"/>
            </w:pPr>
            <w:r>
              <w:rPr>
                <w:rFonts w:ascii="Arial" w:hAnsi="Arial"/>
                <w:sz w:val="15"/>
              </w:rPr>
            </w:r>
            <w:r>
              <w:rPr>
                <w:rFonts w:ascii="Arial" w:hAnsi="Arial"/>
                <w:b w:val="0"/>
                <w:sz w:val="15"/>
              </w:rPr>
              <w:t>2,560</w:t>
            </w:r>
          </w:p>
        </w:tc>
        <w:tc>
          <w:tcPr>
            <w:tcW w:type="dxa" w:w="1742"/>
            <w:vAlign w:val="center"/>
          </w:tcPr>
          <w:p>
            <w:pPr>
              <w:spacing w:after="0"/>
            </w:pPr>
            <w:r>
              <w:rPr>
                <w:rFonts w:ascii="Arial" w:hAnsi="Arial"/>
                <w:sz w:val="15"/>
              </w:rPr>
            </w:r>
            <w:r>
              <w:rPr>
                <w:rFonts w:ascii="Arial" w:hAnsi="Arial"/>
                <w:b w:val="0"/>
                <w:sz w:val="15"/>
              </w:rPr>
              <w:t>-1,359</w:t>
            </w:r>
          </w:p>
        </w:tc>
        <w:tc>
          <w:tcPr>
            <w:tcW w:type="dxa" w:w="1742"/>
            <w:vAlign w:val="center"/>
          </w:tcPr>
          <w:p>
            <w:pPr>
              <w:spacing w:after="0"/>
            </w:pPr>
            <w:r>
              <w:rPr>
                <w:rFonts w:ascii="Arial" w:hAnsi="Arial"/>
                <w:sz w:val="15"/>
              </w:rPr>
            </w:r>
            <w:r>
              <w:rPr>
                <w:rFonts w:ascii="Arial" w:hAnsi="Arial"/>
                <w:b w:val="0"/>
                <w:sz w:val="15"/>
              </w:rPr>
              <w:t>-34.7%</w:t>
            </w:r>
          </w:p>
        </w:tc>
      </w:tr>
      <w:tr>
        <w:tc>
          <w:tcPr>
            <w:tcW w:type="dxa" w:w="1742"/>
            <w:vAlign w:val="center"/>
          </w:tcPr>
          <w:p>
            <w:pPr>
              <w:spacing w:after="0"/>
            </w:pPr>
            <w:r>
              <w:rPr>
                <w:rFonts w:ascii="Arial" w:hAnsi="Arial"/>
                <w:sz w:val="15"/>
              </w:rPr>
            </w:r>
            <w:r>
              <w:rPr>
                <w:rFonts w:ascii="Arial" w:hAnsi="Arial"/>
                <w:b w:val="0"/>
                <w:sz w:val="15"/>
              </w:rPr>
              <w:t>FOODS_3_252</w:t>
            </w:r>
          </w:p>
        </w:tc>
        <w:tc>
          <w:tcPr>
            <w:tcW w:type="dxa" w:w="1742"/>
            <w:vAlign w:val="center"/>
          </w:tcPr>
          <w:p>
            <w:pPr>
              <w:spacing w:after="0"/>
            </w:pPr>
            <w:r>
              <w:rPr>
                <w:rFonts w:ascii="Arial" w:hAnsi="Arial"/>
                <w:sz w:val="15"/>
              </w:rPr>
            </w:r>
            <w:r>
              <w:rPr>
                <w:rFonts w:ascii="Arial" w:hAnsi="Arial"/>
                <w:b w:val="0"/>
                <w:sz w:val="15"/>
              </w:rPr>
              <w:t>FOODS_3</w:t>
            </w:r>
          </w:p>
        </w:tc>
        <w:tc>
          <w:tcPr>
            <w:tcW w:type="dxa" w:w="1742"/>
            <w:vAlign w:val="center"/>
          </w:tcPr>
          <w:p>
            <w:pPr>
              <w:spacing w:after="0"/>
            </w:pPr>
            <w:r>
              <w:rPr>
                <w:rFonts w:ascii="Arial" w:hAnsi="Arial"/>
                <w:sz w:val="15"/>
              </w:rPr>
            </w:r>
            <w:r>
              <w:rPr>
                <w:rFonts w:ascii="Arial" w:hAnsi="Arial"/>
                <w:b w:val="0"/>
                <w:sz w:val="15"/>
              </w:rPr>
              <w:t>8,424</w:t>
            </w:r>
          </w:p>
        </w:tc>
        <w:tc>
          <w:tcPr>
            <w:tcW w:type="dxa" w:w="1742"/>
            <w:vAlign w:val="center"/>
          </w:tcPr>
          <w:p>
            <w:pPr>
              <w:spacing w:after="0"/>
            </w:pPr>
            <w:r>
              <w:rPr>
                <w:rFonts w:ascii="Arial" w:hAnsi="Arial"/>
                <w:sz w:val="15"/>
              </w:rPr>
            </w:r>
            <w:r>
              <w:rPr>
                <w:rFonts w:ascii="Arial" w:hAnsi="Arial"/>
                <w:b w:val="0"/>
                <w:sz w:val="15"/>
              </w:rPr>
              <w:t>7,498</w:t>
            </w:r>
          </w:p>
        </w:tc>
        <w:tc>
          <w:tcPr>
            <w:tcW w:type="dxa" w:w="1742"/>
            <w:vAlign w:val="center"/>
          </w:tcPr>
          <w:p>
            <w:pPr>
              <w:spacing w:after="0"/>
            </w:pPr>
            <w:r>
              <w:rPr>
                <w:rFonts w:ascii="Arial" w:hAnsi="Arial"/>
                <w:sz w:val="15"/>
              </w:rPr>
            </w:r>
            <w:r>
              <w:rPr>
                <w:rFonts w:ascii="Arial" w:hAnsi="Arial"/>
                <w:b w:val="0"/>
                <w:sz w:val="15"/>
              </w:rPr>
              <w:t>-926</w:t>
            </w:r>
          </w:p>
        </w:tc>
        <w:tc>
          <w:tcPr>
            <w:tcW w:type="dxa" w:w="1742"/>
            <w:vAlign w:val="center"/>
          </w:tcPr>
          <w:p>
            <w:pPr>
              <w:spacing w:after="0"/>
            </w:pPr>
            <w:r>
              <w:rPr>
                <w:rFonts w:ascii="Arial" w:hAnsi="Arial"/>
                <w:sz w:val="15"/>
              </w:rPr>
            </w:r>
            <w:r>
              <w:rPr>
                <w:rFonts w:ascii="Arial" w:hAnsi="Arial"/>
                <w:b w:val="0"/>
                <w:sz w:val="15"/>
              </w:rPr>
              <w:t>-11.0%</w:t>
            </w:r>
          </w:p>
        </w:tc>
      </w:tr>
      <w:tr>
        <w:tc>
          <w:tcPr>
            <w:tcW w:type="dxa" w:w="1742"/>
            <w:vAlign w:val="center"/>
          </w:tcPr>
          <w:p>
            <w:pPr>
              <w:spacing w:after="0"/>
            </w:pPr>
            <w:r>
              <w:rPr>
                <w:rFonts w:ascii="Arial" w:hAnsi="Arial"/>
                <w:sz w:val="15"/>
              </w:rPr>
            </w:r>
            <w:r>
              <w:rPr>
                <w:rFonts w:ascii="Arial" w:hAnsi="Arial"/>
                <w:b w:val="0"/>
                <w:sz w:val="15"/>
              </w:rPr>
              <w:t>FOODS_3_714</w:t>
            </w:r>
          </w:p>
        </w:tc>
        <w:tc>
          <w:tcPr>
            <w:tcW w:type="dxa" w:w="1742"/>
            <w:vAlign w:val="center"/>
          </w:tcPr>
          <w:p>
            <w:pPr>
              <w:spacing w:after="0"/>
            </w:pPr>
            <w:r>
              <w:rPr>
                <w:rFonts w:ascii="Arial" w:hAnsi="Arial"/>
                <w:sz w:val="15"/>
              </w:rPr>
            </w:r>
            <w:r>
              <w:rPr>
                <w:rFonts w:ascii="Arial" w:hAnsi="Arial"/>
                <w:b w:val="0"/>
                <w:sz w:val="15"/>
              </w:rPr>
              <w:t>FOODS_3</w:t>
            </w:r>
          </w:p>
        </w:tc>
        <w:tc>
          <w:tcPr>
            <w:tcW w:type="dxa" w:w="1742"/>
            <w:vAlign w:val="center"/>
          </w:tcPr>
          <w:p>
            <w:pPr>
              <w:spacing w:after="0"/>
            </w:pPr>
            <w:r>
              <w:rPr>
                <w:rFonts w:ascii="Arial" w:hAnsi="Arial"/>
                <w:sz w:val="15"/>
              </w:rPr>
            </w:r>
            <w:r>
              <w:rPr>
                <w:rFonts w:ascii="Arial" w:hAnsi="Arial"/>
                <w:b w:val="0"/>
                <w:sz w:val="15"/>
              </w:rPr>
              <w:t>5,939</w:t>
            </w:r>
          </w:p>
        </w:tc>
        <w:tc>
          <w:tcPr>
            <w:tcW w:type="dxa" w:w="1742"/>
            <w:vAlign w:val="center"/>
          </w:tcPr>
          <w:p>
            <w:pPr>
              <w:spacing w:after="0"/>
            </w:pPr>
            <w:r>
              <w:rPr>
                <w:rFonts w:ascii="Arial" w:hAnsi="Arial"/>
                <w:sz w:val="15"/>
              </w:rPr>
            </w:r>
            <w:r>
              <w:rPr>
                <w:rFonts w:ascii="Arial" w:hAnsi="Arial"/>
                <w:b w:val="0"/>
                <w:sz w:val="15"/>
              </w:rPr>
              <w:t>5,078</w:t>
            </w:r>
          </w:p>
        </w:tc>
        <w:tc>
          <w:tcPr>
            <w:tcW w:type="dxa" w:w="1742"/>
            <w:vAlign w:val="center"/>
          </w:tcPr>
          <w:p>
            <w:pPr>
              <w:spacing w:after="0"/>
            </w:pPr>
            <w:r>
              <w:rPr>
                <w:rFonts w:ascii="Arial" w:hAnsi="Arial"/>
                <w:sz w:val="15"/>
              </w:rPr>
            </w:r>
            <w:r>
              <w:rPr>
                <w:rFonts w:ascii="Arial" w:hAnsi="Arial"/>
                <w:b w:val="0"/>
                <w:sz w:val="15"/>
              </w:rPr>
              <w:t>-861</w:t>
            </w:r>
          </w:p>
        </w:tc>
        <w:tc>
          <w:tcPr>
            <w:tcW w:type="dxa" w:w="1742"/>
            <w:vAlign w:val="center"/>
          </w:tcPr>
          <w:p>
            <w:pPr>
              <w:spacing w:after="0"/>
            </w:pPr>
            <w:r>
              <w:rPr>
                <w:rFonts w:ascii="Arial" w:hAnsi="Arial"/>
                <w:sz w:val="15"/>
              </w:rPr>
            </w:r>
            <w:r>
              <w:rPr>
                <w:rFonts w:ascii="Arial" w:hAnsi="Arial"/>
                <w:b w:val="0"/>
                <w:sz w:val="15"/>
              </w:rPr>
              <w:t>-14.5%</w:t>
            </w:r>
          </w:p>
        </w:tc>
      </w:tr>
      <w:tr>
        <w:tc>
          <w:tcPr>
            <w:tcW w:type="dxa" w:w="1742"/>
            <w:vAlign w:val="center"/>
          </w:tcPr>
          <w:p>
            <w:pPr>
              <w:spacing w:after="0"/>
            </w:pPr>
            <w:r>
              <w:rPr>
                <w:rFonts w:ascii="Arial" w:hAnsi="Arial"/>
                <w:sz w:val="15"/>
              </w:rPr>
            </w:r>
            <w:r>
              <w:rPr>
                <w:rFonts w:ascii="Arial" w:hAnsi="Arial"/>
                <w:b w:val="0"/>
                <w:sz w:val="15"/>
              </w:rPr>
              <w:t>FOODS_2_360</w:t>
            </w:r>
          </w:p>
        </w:tc>
        <w:tc>
          <w:tcPr>
            <w:tcW w:type="dxa" w:w="1742"/>
            <w:vAlign w:val="center"/>
          </w:tcPr>
          <w:p>
            <w:pPr>
              <w:spacing w:after="0"/>
            </w:pPr>
            <w:r>
              <w:rPr>
                <w:rFonts w:ascii="Arial" w:hAnsi="Arial"/>
                <w:sz w:val="15"/>
              </w:rPr>
            </w:r>
            <w:r>
              <w:rPr>
                <w:rFonts w:ascii="Arial" w:hAnsi="Arial"/>
                <w:b w:val="0"/>
                <w:sz w:val="15"/>
              </w:rPr>
              <w:t>FOODS_2</w:t>
            </w:r>
          </w:p>
        </w:tc>
        <w:tc>
          <w:tcPr>
            <w:tcW w:type="dxa" w:w="1742"/>
            <w:vAlign w:val="center"/>
          </w:tcPr>
          <w:p>
            <w:pPr>
              <w:spacing w:after="0"/>
            </w:pPr>
            <w:r>
              <w:rPr>
                <w:rFonts w:ascii="Arial" w:hAnsi="Arial"/>
                <w:sz w:val="15"/>
              </w:rPr>
            </w:r>
            <w:r>
              <w:rPr>
                <w:rFonts w:ascii="Arial" w:hAnsi="Arial"/>
                <w:b w:val="0"/>
                <w:sz w:val="15"/>
              </w:rPr>
              <w:t>4,759</w:t>
            </w:r>
          </w:p>
        </w:tc>
        <w:tc>
          <w:tcPr>
            <w:tcW w:type="dxa" w:w="1742"/>
            <w:vAlign w:val="center"/>
          </w:tcPr>
          <w:p>
            <w:pPr>
              <w:spacing w:after="0"/>
            </w:pPr>
            <w:r>
              <w:rPr>
                <w:rFonts w:ascii="Arial" w:hAnsi="Arial"/>
                <w:sz w:val="15"/>
              </w:rPr>
            </w:r>
            <w:r>
              <w:rPr>
                <w:rFonts w:ascii="Arial" w:hAnsi="Arial"/>
                <w:b w:val="0"/>
                <w:sz w:val="15"/>
              </w:rPr>
              <w:t>3,911</w:t>
            </w:r>
          </w:p>
        </w:tc>
        <w:tc>
          <w:tcPr>
            <w:tcW w:type="dxa" w:w="1742"/>
            <w:vAlign w:val="center"/>
          </w:tcPr>
          <w:p>
            <w:pPr>
              <w:spacing w:after="0"/>
            </w:pPr>
            <w:r>
              <w:rPr>
                <w:rFonts w:ascii="Arial" w:hAnsi="Arial"/>
                <w:sz w:val="15"/>
              </w:rPr>
            </w:r>
            <w:r>
              <w:rPr>
                <w:rFonts w:ascii="Arial" w:hAnsi="Arial"/>
                <w:b w:val="0"/>
                <w:sz w:val="15"/>
              </w:rPr>
              <w:t>-848</w:t>
            </w:r>
          </w:p>
        </w:tc>
        <w:tc>
          <w:tcPr>
            <w:tcW w:type="dxa" w:w="1742"/>
            <w:vAlign w:val="center"/>
          </w:tcPr>
          <w:p>
            <w:pPr>
              <w:spacing w:after="0"/>
            </w:pPr>
            <w:r>
              <w:rPr>
                <w:rFonts w:ascii="Arial" w:hAnsi="Arial"/>
                <w:sz w:val="15"/>
              </w:rPr>
            </w:r>
            <w:r>
              <w:rPr>
                <w:rFonts w:ascii="Arial" w:hAnsi="Arial"/>
                <w:b w:val="0"/>
                <w:sz w:val="15"/>
              </w:rPr>
              <w:t>-17.8%</w:t>
            </w:r>
          </w:p>
        </w:tc>
      </w:tr>
    </w:tbl>
    <w:p>
      <w:pPr>
        <w:pStyle w:val="Heading2"/>
        <w:spacing w:before="80" w:after="60"/>
      </w:pPr>
      <w:r>
        <w:rPr>
          <w:rFonts w:ascii="Arial" w:hAnsi="Arial"/>
          <w:b/>
          <w:color w:val="4F81BD"/>
          <w:sz w:val="22"/>
        </w:rPr>
        <w:t>3. Model over-forecasting still creates excess inventory risk.</w:t>
      </w:r>
    </w:p>
    <w:p>
      <w:pPr>
        <w:spacing w:after="80" w:line="250" w:lineRule="auto"/>
      </w:pPr>
      <w:r>
        <w:rPr>
          <w:rFonts w:ascii="Arial" w:hAnsi="Arial"/>
          <w:sz w:val="19"/>
        </w:rPr>
        <w:t>The top 20 model over-forecast items had 48,984 actual units versus 55,315 forecasted units, resulting in a total forecast error of +6,331 units and weighted bias of +12.9%. FOODS_3_362 was the largest over-forecast exception, with 1,649 actual units compared with 3,509 forecasted units. For low-volume items, percentage bias should be interpreted carefully because small actual sales can create exaggerated bias percentages.</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c>
          <w:tcPr>
            <w:tcW w:type="dxa" w:w="1742"/>
            <w:vAlign w:val="center"/>
            <w:shd w:fill="1F4E79"/>
            <w:shd w:fill="1F4E79"/>
          </w:tcPr>
          <w:p>
            <w:pPr>
              <w:spacing w:after="0"/>
            </w:pPr>
            <w:r>
              <w:rPr>
                <w:rFonts w:ascii="Arial" w:hAnsi="Arial"/>
                <w:b/>
                <w:color w:val="FFFFFF"/>
                <w:sz w:val="15"/>
              </w:rPr>
            </w:r>
            <w:r>
              <w:rPr>
                <w:rFonts w:ascii="Arial" w:hAnsi="Arial"/>
                <w:b/>
                <w:color w:val="FFFFFF"/>
                <w:sz w:val="15"/>
              </w:rPr>
              <w:t>Item</w:t>
            </w:r>
          </w:p>
        </w:tc>
        <w:tc>
          <w:tcPr>
            <w:tcW w:type="dxa" w:w="1742"/>
            <w:vAlign w:val="center"/>
            <w:shd w:fill="1F4E79"/>
            <w:shd w:fill="1F4E79"/>
          </w:tcPr>
          <w:p>
            <w:pPr>
              <w:spacing w:after="0"/>
            </w:pPr>
            <w:r>
              <w:rPr>
                <w:rFonts w:ascii="Arial" w:hAnsi="Arial"/>
                <w:b/>
                <w:color w:val="FFFFFF"/>
                <w:sz w:val="15"/>
              </w:rPr>
            </w:r>
            <w:r>
              <w:rPr>
                <w:rFonts w:ascii="Arial" w:hAnsi="Arial"/>
                <w:b/>
                <w:color w:val="FFFFFF"/>
                <w:sz w:val="15"/>
              </w:rPr>
              <w:t>Dept</w:t>
            </w:r>
          </w:p>
        </w:tc>
        <w:tc>
          <w:tcPr>
            <w:tcW w:type="dxa" w:w="1742"/>
            <w:vAlign w:val="center"/>
            <w:shd w:fill="1F4E79"/>
            <w:shd w:fill="1F4E79"/>
          </w:tcPr>
          <w:p>
            <w:pPr>
              <w:spacing w:after="0"/>
            </w:pPr>
            <w:r>
              <w:rPr>
                <w:rFonts w:ascii="Arial" w:hAnsi="Arial"/>
                <w:b/>
                <w:color w:val="FFFFFF"/>
                <w:sz w:val="15"/>
              </w:rPr>
            </w:r>
            <w:r>
              <w:rPr>
                <w:rFonts w:ascii="Arial" w:hAnsi="Arial"/>
                <w:b/>
                <w:color w:val="FFFFFF"/>
                <w:sz w:val="15"/>
              </w:rPr>
              <w:t>Actual Units</w:t>
            </w:r>
          </w:p>
        </w:tc>
        <w:tc>
          <w:tcPr>
            <w:tcW w:type="dxa" w:w="1742"/>
            <w:vAlign w:val="center"/>
            <w:shd w:fill="1F4E79"/>
            <w:shd w:fill="1F4E79"/>
          </w:tcPr>
          <w:p>
            <w:pPr>
              <w:spacing w:after="0"/>
            </w:pPr>
            <w:r>
              <w:rPr>
                <w:rFonts w:ascii="Arial" w:hAnsi="Arial"/>
                <w:b/>
                <w:color w:val="FFFFFF"/>
                <w:sz w:val="15"/>
              </w:rPr>
            </w:r>
            <w:r>
              <w:rPr>
                <w:rFonts w:ascii="Arial" w:hAnsi="Arial"/>
                <w:b/>
                <w:color w:val="FFFFFF"/>
                <w:sz w:val="15"/>
              </w:rPr>
              <w:t>Forecast Units</w:t>
            </w:r>
          </w:p>
        </w:tc>
        <w:tc>
          <w:tcPr>
            <w:tcW w:type="dxa" w:w="1742"/>
            <w:vAlign w:val="center"/>
            <w:shd w:fill="1F4E79"/>
            <w:shd w:fill="1F4E79"/>
          </w:tcPr>
          <w:p>
            <w:pPr>
              <w:spacing w:after="0"/>
            </w:pPr>
            <w:r>
              <w:rPr>
                <w:rFonts w:ascii="Arial" w:hAnsi="Arial"/>
                <w:b/>
                <w:color w:val="FFFFFF"/>
                <w:sz w:val="15"/>
              </w:rPr>
            </w:r>
            <w:r>
              <w:rPr>
                <w:rFonts w:ascii="Arial" w:hAnsi="Arial"/>
                <w:b/>
                <w:color w:val="FFFFFF"/>
                <w:sz w:val="15"/>
              </w:rPr>
              <w:t>Forecast Error</w:t>
            </w:r>
          </w:p>
        </w:tc>
        <w:tc>
          <w:tcPr>
            <w:tcW w:type="dxa" w:w="1742"/>
            <w:vAlign w:val="center"/>
            <w:shd w:fill="1F4E79"/>
            <w:shd w:fill="1F4E79"/>
          </w:tcPr>
          <w:p>
            <w:pPr>
              <w:spacing w:after="0"/>
            </w:pPr>
            <w:r>
              <w:rPr>
                <w:rFonts w:ascii="Arial" w:hAnsi="Arial"/>
                <w:b/>
                <w:color w:val="FFFFFF"/>
                <w:sz w:val="15"/>
              </w:rPr>
            </w:r>
            <w:r>
              <w:rPr>
                <w:rFonts w:ascii="Arial" w:hAnsi="Arial"/>
                <w:b/>
                <w:color w:val="FFFFFF"/>
                <w:sz w:val="15"/>
              </w:rPr>
              <w:t>Bias %</w:t>
            </w:r>
          </w:p>
        </w:tc>
      </w:tr>
      <w:tr>
        <w:tc>
          <w:tcPr>
            <w:tcW w:type="dxa" w:w="1742"/>
            <w:vAlign w:val="center"/>
          </w:tcPr>
          <w:p>
            <w:pPr>
              <w:spacing w:after="0"/>
            </w:pPr>
            <w:r>
              <w:rPr>
                <w:rFonts w:ascii="Arial" w:hAnsi="Arial"/>
                <w:sz w:val="15"/>
              </w:rPr>
            </w:r>
            <w:r>
              <w:rPr>
                <w:rFonts w:ascii="Arial" w:hAnsi="Arial"/>
                <w:b w:val="0"/>
                <w:sz w:val="15"/>
              </w:rPr>
              <w:t>FOODS_3_362</w:t>
            </w:r>
          </w:p>
        </w:tc>
        <w:tc>
          <w:tcPr>
            <w:tcW w:type="dxa" w:w="1742"/>
            <w:vAlign w:val="center"/>
          </w:tcPr>
          <w:p>
            <w:pPr>
              <w:spacing w:after="0"/>
            </w:pPr>
            <w:r>
              <w:rPr>
                <w:rFonts w:ascii="Arial" w:hAnsi="Arial"/>
                <w:sz w:val="15"/>
              </w:rPr>
            </w:r>
            <w:r>
              <w:rPr>
                <w:rFonts w:ascii="Arial" w:hAnsi="Arial"/>
                <w:b w:val="0"/>
                <w:sz w:val="15"/>
              </w:rPr>
              <w:t>FOODS_3</w:t>
            </w:r>
          </w:p>
        </w:tc>
        <w:tc>
          <w:tcPr>
            <w:tcW w:type="dxa" w:w="1742"/>
            <w:vAlign w:val="center"/>
          </w:tcPr>
          <w:p>
            <w:pPr>
              <w:spacing w:after="0"/>
            </w:pPr>
            <w:r>
              <w:rPr>
                <w:rFonts w:ascii="Arial" w:hAnsi="Arial"/>
                <w:sz w:val="15"/>
              </w:rPr>
            </w:r>
            <w:r>
              <w:rPr>
                <w:rFonts w:ascii="Arial" w:hAnsi="Arial"/>
                <w:b w:val="0"/>
                <w:sz w:val="15"/>
              </w:rPr>
              <w:t>1,649</w:t>
            </w:r>
          </w:p>
        </w:tc>
        <w:tc>
          <w:tcPr>
            <w:tcW w:type="dxa" w:w="1742"/>
            <w:vAlign w:val="center"/>
          </w:tcPr>
          <w:p>
            <w:pPr>
              <w:spacing w:after="0"/>
            </w:pPr>
            <w:r>
              <w:rPr>
                <w:rFonts w:ascii="Arial" w:hAnsi="Arial"/>
                <w:sz w:val="15"/>
              </w:rPr>
            </w:r>
            <w:r>
              <w:rPr>
                <w:rFonts w:ascii="Arial" w:hAnsi="Arial"/>
                <w:b w:val="0"/>
                <w:sz w:val="15"/>
              </w:rPr>
              <w:t>3,509</w:t>
            </w:r>
          </w:p>
        </w:tc>
        <w:tc>
          <w:tcPr>
            <w:tcW w:type="dxa" w:w="1742"/>
            <w:vAlign w:val="center"/>
          </w:tcPr>
          <w:p>
            <w:pPr>
              <w:spacing w:after="0"/>
            </w:pPr>
            <w:r>
              <w:rPr>
                <w:rFonts w:ascii="Arial" w:hAnsi="Arial"/>
                <w:sz w:val="15"/>
              </w:rPr>
            </w:r>
            <w:r>
              <w:rPr>
                <w:rFonts w:ascii="Arial" w:hAnsi="Arial"/>
                <w:b w:val="0"/>
                <w:sz w:val="15"/>
              </w:rPr>
              <w:t>1,860</w:t>
            </w:r>
          </w:p>
        </w:tc>
        <w:tc>
          <w:tcPr>
            <w:tcW w:type="dxa" w:w="1742"/>
            <w:vAlign w:val="center"/>
          </w:tcPr>
          <w:p>
            <w:pPr>
              <w:spacing w:after="0"/>
            </w:pPr>
            <w:r>
              <w:rPr>
                <w:rFonts w:ascii="Arial" w:hAnsi="Arial"/>
                <w:sz w:val="15"/>
              </w:rPr>
            </w:r>
            <w:r>
              <w:rPr>
                <w:rFonts w:ascii="Arial" w:hAnsi="Arial"/>
                <w:b w:val="0"/>
                <w:sz w:val="15"/>
              </w:rPr>
              <w:t>112.8%</w:t>
            </w:r>
          </w:p>
        </w:tc>
      </w:tr>
      <w:tr>
        <w:tc>
          <w:tcPr>
            <w:tcW w:type="dxa" w:w="1742"/>
            <w:vAlign w:val="center"/>
          </w:tcPr>
          <w:p>
            <w:pPr>
              <w:spacing w:after="0"/>
            </w:pPr>
            <w:r>
              <w:rPr>
                <w:rFonts w:ascii="Arial" w:hAnsi="Arial"/>
                <w:sz w:val="15"/>
              </w:rPr>
            </w:r>
            <w:r>
              <w:rPr>
                <w:rFonts w:ascii="Arial" w:hAnsi="Arial"/>
                <w:b w:val="0"/>
                <w:sz w:val="15"/>
              </w:rPr>
              <w:t>FOODS_3_739</w:t>
            </w:r>
          </w:p>
        </w:tc>
        <w:tc>
          <w:tcPr>
            <w:tcW w:type="dxa" w:w="1742"/>
            <w:vAlign w:val="center"/>
          </w:tcPr>
          <w:p>
            <w:pPr>
              <w:spacing w:after="0"/>
            </w:pPr>
            <w:r>
              <w:rPr>
                <w:rFonts w:ascii="Arial" w:hAnsi="Arial"/>
                <w:sz w:val="15"/>
              </w:rPr>
            </w:r>
            <w:r>
              <w:rPr>
                <w:rFonts w:ascii="Arial" w:hAnsi="Arial"/>
                <w:b w:val="0"/>
                <w:sz w:val="15"/>
              </w:rPr>
              <w:t>FOODS_3</w:t>
            </w:r>
          </w:p>
        </w:tc>
        <w:tc>
          <w:tcPr>
            <w:tcW w:type="dxa" w:w="1742"/>
            <w:vAlign w:val="center"/>
          </w:tcPr>
          <w:p>
            <w:pPr>
              <w:spacing w:after="0"/>
            </w:pPr>
            <w:r>
              <w:rPr>
                <w:rFonts w:ascii="Arial" w:hAnsi="Arial"/>
                <w:sz w:val="15"/>
              </w:rPr>
            </w:r>
            <w:r>
              <w:rPr>
                <w:rFonts w:ascii="Arial" w:hAnsi="Arial"/>
                <w:b w:val="0"/>
                <w:sz w:val="15"/>
              </w:rPr>
              <w:t>2,719</w:t>
            </w:r>
          </w:p>
        </w:tc>
        <w:tc>
          <w:tcPr>
            <w:tcW w:type="dxa" w:w="1742"/>
            <w:vAlign w:val="center"/>
          </w:tcPr>
          <w:p>
            <w:pPr>
              <w:spacing w:after="0"/>
            </w:pPr>
            <w:r>
              <w:rPr>
                <w:rFonts w:ascii="Arial" w:hAnsi="Arial"/>
                <w:sz w:val="15"/>
              </w:rPr>
            </w:r>
            <w:r>
              <w:rPr>
                <w:rFonts w:ascii="Arial" w:hAnsi="Arial"/>
                <w:b w:val="0"/>
                <w:sz w:val="15"/>
              </w:rPr>
              <w:t>3,333</w:t>
            </w:r>
          </w:p>
        </w:tc>
        <w:tc>
          <w:tcPr>
            <w:tcW w:type="dxa" w:w="1742"/>
            <w:vAlign w:val="center"/>
          </w:tcPr>
          <w:p>
            <w:pPr>
              <w:spacing w:after="0"/>
            </w:pPr>
            <w:r>
              <w:rPr>
                <w:rFonts w:ascii="Arial" w:hAnsi="Arial"/>
                <w:sz w:val="15"/>
              </w:rPr>
            </w:r>
            <w:r>
              <w:rPr>
                <w:rFonts w:ascii="Arial" w:hAnsi="Arial"/>
                <w:b w:val="0"/>
                <w:sz w:val="15"/>
              </w:rPr>
              <w:t>614</w:t>
            </w:r>
          </w:p>
        </w:tc>
        <w:tc>
          <w:tcPr>
            <w:tcW w:type="dxa" w:w="1742"/>
            <w:vAlign w:val="center"/>
          </w:tcPr>
          <w:p>
            <w:pPr>
              <w:spacing w:after="0"/>
            </w:pPr>
            <w:r>
              <w:rPr>
                <w:rFonts w:ascii="Arial" w:hAnsi="Arial"/>
                <w:sz w:val="15"/>
              </w:rPr>
            </w:r>
            <w:r>
              <w:rPr>
                <w:rFonts w:ascii="Arial" w:hAnsi="Arial"/>
                <w:b w:val="0"/>
                <w:sz w:val="15"/>
              </w:rPr>
              <w:t>22.6%</w:t>
            </w:r>
          </w:p>
        </w:tc>
      </w:tr>
      <w:tr>
        <w:tc>
          <w:tcPr>
            <w:tcW w:type="dxa" w:w="1742"/>
            <w:vAlign w:val="center"/>
          </w:tcPr>
          <w:p>
            <w:pPr>
              <w:spacing w:after="0"/>
            </w:pPr>
            <w:r>
              <w:rPr>
                <w:rFonts w:ascii="Arial" w:hAnsi="Arial"/>
                <w:sz w:val="15"/>
              </w:rPr>
            </w:r>
            <w:r>
              <w:rPr>
                <w:rFonts w:ascii="Arial" w:hAnsi="Arial"/>
                <w:b w:val="0"/>
                <w:sz w:val="15"/>
              </w:rPr>
              <w:t>FOODS_3_785</w:t>
            </w:r>
          </w:p>
        </w:tc>
        <w:tc>
          <w:tcPr>
            <w:tcW w:type="dxa" w:w="1742"/>
            <w:vAlign w:val="center"/>
          </w:tcPr>
          <w:p>
            <w:pPr>
              <w:spacing w:after="0"/>
            </w:pPr>
            <w:r>
              <w:rPr>
                <w:rFonts w:ascii="Arial" w:hAnsi="Arial"/>
                <w:sz w:val="15"/>
              </w:rPr>
            </w:r>
            <w:r>
              <w:rPr>
                <w:rFonts w:ascii="Arial" w:hAnsi="Arial"/>
                <w:b w:val="0"/>
                <w:sz w:val="15"/>
              </w:rPr>
              <w:t>FOODS_3</w:t>
            </w:r>
          </w:p>
        </w:tc>
        <w:tc>
          <w:tcPr>
            <w:tcW w:type="dxa" w:w="1742"/>
            <w:vAlign w:val="center"/>
          </w:tcPr>
          <w:p>
            <w:pPr>
              <w:spacing w:after="0"/>
            </w:pPr>
            <w:r>
              <w:rPr>
                <w:rFonts w:ascii="Arial" w:hAnsi="Arial"/>
                <w:sz w:val="15"/>
              </w:rPr>
            </w:r>
            <w:r>
              <w:rPr>
                <w:rFonts w:ascii="Arial" w:hAnsi="Arial"/>
                <w:b w:val="0"/>
                <w:sz w:val="15"/>
              </w:rPr>
              <w:t>3,617</w:t>
            </w:r>
          </w:p>
        </w:tc>
        <w:tc>
          <w:tcPr>
            <w:tcW w:type="dxa" w:w="1742"/>
            <w:vAlign w:val="center"/>
          </w:tcPr>
          <w:p>
            <w:pPr>
              <w:spacing w:after="0"/>
            </w:pPr>
            <w:r>
              <w:rPr>
                <w:rFonts w:ascii="Arial" w:hAnsi="Arial"/>
                <w:sz w:val="15"/>
              </w:rPr>
            </w:r>
            <w:r>
              <w:rPr>
                <w:rFonts w:ascii="Arial" w:hAnsi="Arial"/>
                <w:b w:val="0"/>
                <w:sz w:val="15"/>
              </w:rPr>
              <w:t>4,206</w:t>
            </w:r>
          </w:p>
        </w:tc>
        <w:tc>
          <w:tcPr>
            <w:tcW w:type="dxa" w:w="1742"/>
            <w:vAlign w:val="center"/>
          </w:tcPr>
          <w:p>
            <w:pPr>
              <w:spacing w:after="0"/>
            </w:pPr>
            <w:r>
              <w:rPr>
                <w:rFonts w:ascii="Arial" w:hAnsi="Arial"/>
                <w:sz w:val="15"/>
              </w:rPr>
            </w:r>
            <w:r>
              <w:rPr>
                <w:rFonts w:ascii="Arial" w:hAnsi="Arial"/>
                <w:b w:val="0"/>
                <w:sz w:val="15"/>
              </w:rPr>
              <w:t>589</w:t>
            </w:r>
          </w:p>
        </w:tc>
        <w:tc>
          <w:tcPr>
            <w:tcW w:type="dxa" w:w="1742"/>
            <w:vAlign w:val="center"/>
          </w:tcPr>
          <w:p>
            <w:pPr>
              <w:spacing w:after="0"/>
            </w:pPr>
            <w:r>
              <w:rPr>
                <w:rFonts w:ascii="Arial" w:hAnsi="Arial"/>
                <w:sz w:val="15"/>
              </w:rPr>
            </w:r>
            <w:r>
              <w:rPr>
                <w:rFonts w:ascii="Arial" w:hAnsi="Arial"/>
                <w:b w:val="0"/>
                <w:sz w:val="15"/>
              </w:rPr>
              <w:t>16.3%</w:t>
            </w:r>
          </w:p>
        </w:tc>
      </w:tr>
      <w:tr>
        <w:tc>
          <w:tcPr>
            <w:tcW w:type="dxa" w:w="1742"/>
            <w:vAlign w:val="center"/>
          </w:tcPr>
          <w:p>
            <w:pPr>
              <w:spacing w:after="0"/>
            </w:pPr>
            <w:r>
              <w:rPr>
                <w:rFonts w:ascii="Arial" w:hAnsi="Arial"/>
                <w:sz w:val="15"/>
              </w:rPr>
            </w:r>
            <w:r>
              <w:rPr>
                <w:rFonts w:ascii="Arial" w:hAnsi="Arial"/>
                <w:b w:val="0"/>
                <w:sz w:val="15"/>
              </w:rPr>
              <w:t>FOODS_3_760</w:t>
            </w:r>
          </w:p>
        </w:tc>
        <w:tc>
          <w:tcPr>
            <w:tcW w:type="dxa" w:w="1742"/>
            <w:vAlign w:val="center"/>
          </w:tcPr>
          <w:p>
            <w:pPr>
              <w:spacing w:after="0"/>
            </w:pPr>
            <w:r>
              <w:rPr>
                <w:rFonts w:ascii="Arial" w:hAnsi="Arial"/>
                <w:sz w:val="15"/>
              </w:rPr>
            </w:r>
            <w:r>
              <w:rPr>
                <w:rFonts w:ascii="Arial" w:hAnsi="Arial"/>
                <w:b w:val="0"/>
                <w:sz w:val="15"/>
              </w:rPr>
              <w:t>FOODS_3</w:t>
            </w:r>
          </w:p>
        </w:tc>
        <w:tc>
          <w:tcPr>
            <w:tcW w:type="dxa" w:w="1742"/>
            <w:vAlign w:val="center"/>
          </w:tcPr>
          <w:p>
            <w:pPr>
              <w:spacing w:after="0"/>
            </w:pPr>
            <w:r>
              <w:rPr>
                <w:rFonts w:ascii="Arial" w:hAnsi="Arial"/>
                <w:sz w:val="15"/>
              </w:rPr>
            </w:r>
            <w:r>
              <w:rPr>
                <w:rFonts w:ascii="Arial" w:hAnsi="Arial"/>
                <w:b w:val="0"/>
                <w:sz w:val="15"/>
              </w:rPr>
              <w:t>1,507</w:t>
            </w:r>
          </w:p>
        </w:tc>
        <w:tc>
          <w:tcPr>
            <w:tcW w:type="dxa" w:w="1742"/>
            <w:vAlign w:val="center"/>
          </w:tcPr>
          <w:p>
            <w:pPr>
              <w:spacing w:after="0"/>
            </w:pPr>
            <w:r>
              <w:rPr>
                <w:rFonts w:ascii="Arial" w:hAnsi="Arial"/>
                <w:sz w:val="15"/>
              </w:rPr>
            </w:r>
            <w:r>
              <w:rPr>
                <w:rFonts w:ascii="Arial" w:hAnsi="Arial"/>
                <w:b w:val="0"/>
                <w:sz w:val="15"/>
              </w:rPr>
              <w:t>1,973</w:t>
            </w:r>
          </w:p>
        </w:tc>
        <w:tc>
          <w:tcPr>
            <w:tcW w:type="dxa" w:w="1742"/>
            <w:vAlign w:val="center"/>
          </w:tcPr>
          <w:p>
            <w:pPr>
              <w:spacing w:after="0"/>
            </w:pPr>
            <w:r>
              <w:rPr>
                <w:rFonts w:ascii="Arial" w:hAnsi="Arial"/>
                <w:sz w:val="15"/>
              </w:rPr>
            </w:r>
            <w:r>
              <w:rPr>
                <w:rFonts w:ascii="Arial" w:hAnsi="Arial"/>
                <w:b w:val="0"/>
                <w:sz w:val="15"/>
              </w:rPr>
              <w:t>466</w:t>
            </w:r>
          </w:p>
        </w:tc>
        <w:tc>
          <w:tcPr>
            <w:tcW w:type="dxa" w:w="1742"/>
            <w:vAlign w:val="center"/>
          </w:tcPr>
          <w:p>
            <w:pPr>
              <w:spacing w:after="0"/>
            </w:pPr>
            <w:r>
              <w:rPr>
                <w:rFonts w:ascii="Arial" w:hAnsi="Arial"/>
                <w:sz w:val="15"/>
              </w:rPr>
            </w:r>
            <w:r>
              <w:rPr>
                <w:rFonts w:ascii="Arial" w:hAnsi="Arial"/>
                <w:b w:val="0"/>
                <w:sz w:val="15"/>
              </w:rPr>
              <w:t>30.9%</w:t>
            </w:r>
          </w:p>
        </w:tc>
      </w:tr>
      <w:tr>
        <w:tc>
          <w:tcPr>
            <w:tcW w:type="dxa" w:w="1742"/>
            <w:vAlign w:val="center"/>
          </w:tcPr>
          <w:p>
            <w:pPr>
              <w:spacing w:after="0"/>
            </w:pPr>
            <w:r>
              <w:rPr>
                <w:rFonts w:ascii="Arial" w:hAnsi="Arial"/>
                <w:sz w:val="15"/>
              </w:rPr>
            </w:r>
            <w:r>
              <w:rPr>
                <w:rFonts w:ascii="Arial" w:hAnsi="Arial"/>
                <w:b w:val="0"/>
                <w:sz w:val="15"/>
              </w:rPr>
              <w:t>FOODS_3_288</w:t>
            </w:r>
          </w:p>
        </w:tc>
        <w:tc>
          <w:tcPr>
            <w:tcW w:type="dxa" w:w="1742"/>
            <w:vAlign w:val="center"/>
          </w:tcPr>
          <w:p>
            <w:pPr>
              <w:spacing w:after="0"/>
            </w:pPr>
            <w:r>
              <w:rPr>
                <w:rFonts w:ascii="Arial" w:hAnsi="Arial"/>
                <w:sz w:val="15"/>
              </w:rPr>
            </w:r>
            <w:r>
              <w:rPr>
                <w:rFonts w:ascii="Arial" w:hAnsi="Arial"/>
                <w:b w:val="0"/>
                <w:sz w:val="15"/>
              </w:rPr>
              <w:t>FOODS_3</w:t>
            </w:r>
          </w:p>
        </w:tc>
        <w:tc>
          <w:tcPr>
            <w:tcW w:type="dxa" w:w="1742"/>
            <w:vAlign w:val="center"/>
          </w:tcPr>
          <w:p>
            <w:pPr>
              <w:spacing w:after="0"/>
            </w:pPr>
            <w:r>
              <w:rPr>
                <w:rFonts w:ascii="Arial" w:hAnsi="Arial"/>
                <w:sz w:val="15"/>
              </w:rPr>
            </w:r>
            <w:r>
              <w:rPr>
                <w:rFonts w:ascii="Arial" w:hAnsi="Arial"/>
                <w:b w:val="0"/>
                <w:sz w:val="15"/>
              </w:rPr>
              <w:t>3,896</w:t>
            </w:r>
          </w:p>
        </w:tc>
        <w:tc>
          <w:tcPr>
            <w:tcW w:type="dxa" w:w="1742"/>
            <w:vAlign w:val="center"/>
          </w:tcPr>
          <w:p>
            <w:pPr>
              <w:spacing w:after="0"/>
            </w:pPr>
            <w:r>
              <w:rPr>
                <w:rFonts w:ascii="Arial" w:hAnsi="Arial"/>
                <w:sz w:val="15"/>
              </w:rPr>
            </w:r>
            <w:r>
              <w:rPr>
                <w:rFonts w:ascii="Arial" w:hAnsi="Arial"/>
                <w:b w:val="0"/>
                <w:sz w:val="15"/>
              </w:rPr>
              <w:t>4,230</w:t>
            </w:r>
          </w:p>
        </w:tc>
        <w:tc>
          <w:tcPr>
            <w:tcW w:type="dxa" w:w="1742"/>
            <w:vAlign w:val="center"/>
          </w:tcPr>
          <w:p>
            <w:pPr>
              <w:spacing w:after="0"/>
            </w:pPr>
            <w:r>
              <w:rPr>
                <w:rFonts w:ascii="Arial" w:hAnsi="Arial"/>
                <w:sz w:val="15"/>
              </w:rPr>
            </w:r>
            <w:r>
              <w:rPr>
                <w:rFonts w:ascii="Arial" w:hAnsi="Arial"/>
                <w:b w:val="0"/>
                <w:sz w:val="15"/>
              </w:rPr>
              <w:t>334</w:t>
            </w:r>
          </w:p>
        </w:tc>
        <w:tc>
          <w:tcPr>
            <w:tcW w:type="dxa" w:w="1742"/>
            <w:vAlign w:val="center"/>
          </w:tcPr>
          <w:p>
            <w:pPr>
              <w:spacing w:after="0"/>
            </w:pPr>
            <w:r>
              <w:rPr>
                <w:rFonts w:ascii="Arial" w:hAnsi="Arial"/>
                <w:sz w:val="15"/>
              </w:rPr>
            </w:r>
            <w:r>
              <w:rPr>
                <w:rFonts w:ascii="Arial" w:hAnsi="Arial"/>
                <w:b w:val="0"/>
                <w:sz w:val="15"/>
              </w:rPr>
              <w:t>8.6%</w:t>
            </w:r>
          </w:p>
        </w:tc>
      </w:tr>
      <w:tr>
        <w:tc>
          <w:tcPr>
            <w:tcW w:type="dxa" w:w="1742"/>
            <w:vAlign w:val="center"/>
          </w:tcPr>
          <w:p>
            <w:pPr>
              <w:spacing w:after="0"/>
            </w:pPr>
            <w:r>
              <w:rPr>
                <w:rFonts w:ascii="Arial" w:hAnsi="Arial"/>
                <w:sz w:val="15"/>
              </w:rPr>
            </w:r>
            <w:r>
              <w:rPr>
                <w:rFonts w:ascii="Arial" w:hAnsi="Arial"/>
                <w:b w:val="0"/>
                <w:sz w:val="15"/>
              </w:rPr>
              <w:t>FOODS_3_282</w:t>
            </w:r>
          </w:p>
        </w:tc>
        <w:tc>
          <w:tcPr>
            <w:tcW w:type="dxa" w:w="1742"/>
            <w:vAlign w:val="center"/>
          </w:tcPr>
          <w:p>
            <w:pPr>
              <w:spacing w:after="0"/>
            </w:pPr>
            <w:r>
              <w:rPr>
                <w:rFonts w:ascii="Arial" w:hAnsi="Arial"/>
                <w:sz w:val="15"/>
              </w:rPr>
            </w:r>
            <w:r>
              <w:rPr>
                <w:rFonts w:ascii="Arial" w:hAnsi="Arial"/>
                <w:b w:val="0"/>
                <w:sz w:val="15"/>
              </w:rPr>
              <w:t>FOODS_3</w:t>
            </w:r>
          </w:p>
        </w:tc>
        <w:tc>
          <w:tcPr>
            <w:tcW w:type="dxa" w:w="1742"/>
            <w:vAlign w:val="center"/>
          </w:tcPr>
          <w:p>
            <w:pPr>
              <w:spacing w:after="0"/>
            </w:pPr>
            <w:r>
              <w:rPr>
                <w:rFonts w:ascii="Arial" w:hAnsi="Arial"/>
                <w:sz w:val="15"/>
              </w:rPr>
            </w:r>
            <w:r>
              <w:rPr>
                <w:rFonts w:ascii="Arial" w:hAnsi="Arial"/>
                <w:b w:val="0"/>
                <w:sz w:val="15"/>
              </w:rPr>
              <w:t>4,335</w:t>
            </w:r>
          </w:p>
        </w:tc>
        <w:tc>
          <w:tcPr>
            <w:tcW w:type="dxa" w:w="1742"/>
            <w:vAlign w:val="center"/>
          </w:tcPr>
          <w:p>
            <w:pPr>
              <w:spacing w:after="0"/>
            </w:pPr>
            <w:r>
              <w:rPr>
                <w:rFonts w:ascii="Arial" w:hAnsi="Arial"/>
                <w:sz w:val="15"/>
              </w:rPr>
            </w:r>
            <w:r>
              <w:rPr>
                <w:rFonts w:ascii="Arial" w:hAnsi="Arial"/>
                <w:b w:val="0"/>
                <w:sz w:val="15"/>
              </w:rPr>
              <w:t>4,663</w:t>
            </w:r>
          </w:p>
        </w:tc>
        <w:tc>
          <w:tcPr>
            <w:tcW w:type="dxa" w:w="1742"/>
            <w:vAlign w:val="center"/>
          </w:tcPr>
          <w:p>
            <w:pPr>
              <w:spacing w:after="0"/>
            </w:pPr>
            <w:r>
              <w:rPr>
                <w:rFonts w:ascii="Arial" w:hAnsi="Arial"/>
                <w:sz w:val="15"/>
              </w:rPr>
            </w:r>
            <w:r>
              <w:rPr>
                <w:rFonts w:ascii="Arial" w:hAnsi="Arial"/>
                <w:b w:val="0"/>
                <w:sz w:val="15"/>
              </w:rPr>
              <w:t>328</w:t>
            </w:r>
          </w:p>
        </w:tc>
        <w:tc>
          <w:tcPr>
            <w:tcW w:type="dxa" w:w="1742"/>
            <w:vAlign w:val="center"/>
          </w:tcPr>
          <w:p>
            <w:pPr>
              <w:spacing w:after="0"/>
            </w:pPr>
            <w:r>
              <w:rPr>
                <w:rFonts w:ascii="Arial" w:hAnsi="Arial"/>
                <w:sz w:val="15"/>
              </w:rPr>
            </w:r>
            <w:r>
              <w:rPr>
                <w:rFonts w:ascii="Arial" w:hAnsi="Arial"/>
                <w:b w:val="0"/>
                <w:sz w:val="15"/>
              </w:rPr>
              <w:t>7.6%</w:t>
            </w:r>
          </w:p>
        </w:tc>
      </w:tr>
      <w:tr>
        <w:tc>
          <w:tcPr>
            <w:tcW w:type="dxa" w:w="1742"/>
            <w:vAlign w:val="center"/>
          </w:tcPr>
          <w:p>
            <w:pPr>
              <w:spacing w:after="0"/>
            </w:pPr>
            <w:r>
              <w:rPr>
                <w:rFonts w:ascii="Arial" w:hAnsi="Arial"/>
                <w:sz w:val="15"/>
              </w:rPr>
            </w:r>
            <w:r>
              <w:rPr>
                <w:rFonts w:ascii="Arial" w:hAnsi="Arial"/>
                <w:b w:val="0"/>
                <w:sz w:val="15"/>
              </w:rPr>
              <w:t>FOODS_3_587</w:t>
            </w:r>
          </w:p>
        </w:tc>
        <w:tc>
          <w:tcPr>
            <w:tcW w:type="dxa" w:w="1742"/>
            <w:vAlign w:val="center"/>
          </w:tcPr>
          <w:p>
            <w:pPr>
              <w:spacing w:after="0"/>
            </w:pPr>
            <w:r>
              <w:rPr>
                <w:rFonts w:ascii="Arial" w:hAnsi="Arial"/>
                <w:sz w:val="15"/>
              </w:rPr>
            </w:r>
            <w:r>
              <w:rPr>
                <w:rFonts w:ascii="Arial" w:hAnsi="Arial"/>
                <w:b w:val="0"/>
                <w:sz w:val="15"/>
              </w:rPr>
              <w:t>FOODS_3</w:t>
            </w:r>
          </w:p>
        </w:tc>
        <w:tc>
          <w:tcPr>
            <w:tcW w:type="dxa" w:w="1742"/>
            <w:vAlign w:val="center"/>
          </w:tcPr>
          <w:p>
            <w:pPr>
              <w:spacing w:after="0"/>
            </w:pPr>
            <w:r>
              <w:rPr>
                <w:rFonts w:ascii="Arial" w:hAnsi="Arial"/>
                <w:sz w:val="15"/>
              </w:rPr>
            </w:r>
            <w:r>
              <w:rPr>
                <w:rFonts w:ascii="Arial" w:hAnsi="Arial"/>
                <w:b w:val="0"/>
                <w:sz w:val="15"/>
              </w:rPr>
              <w:t>6,040</w:t>
            </w:r>
          </w:p>
        </w:tc>
        <w:tc>
          <w:tcPr>
            <w:tcW w:type="dxa" w:w="1742"/>
            <w:vAlign w:val="center"/>
          </w:tcPr>
          <w:p>
            <w:pPr>
              <w:spacing w:after="0"/>
            </w:pPr>
            <w:r>
              <w:rPr>
                <w:rFonts w:ascii="Arial" w:hAnsi="Arial"/>
                <w:sz w:val="15"/>
              </w:rPr>
            </w:r>
            <w:r>
              <w:rPr>
                <w:rFonts w:ascii="Arial" w:hAnsi="Arial"/>
                <w:b w:val="0"/>
                <w:sz w:val="15"/>
              </w:rPr>
              <w:t>6,350</w:t>
            </w:r>
          </w:p>
        </w:tc>
        <w:tc>
          <w:tcPr>
            <w:tcW w:type="dxa" w:w="1742"/>
            <w:vAlign w:val="center"/>
          </w:tcPr>
          <w:p>
            <w:pPr>
              <w:spacing w:after="0"/>
            </w:pPr>
            <w:r>
              <w:rPr>
                <w:rFonts w:ascii="Arial" w:hAnsi="Arial"/>
                <w:sz w:val="15"/>
              </w:rPr>
            </w:r>
            <w:r>
              <w:rPr>
                <w:rFonts w:ascii="Arial" w:hAnsi="Arial"/>
                <w:b w:val="0"/>
                <w:sz w:val="15"/>
              </w:rPr>
              <w:t>310</w:t>
            </w:r>
          </w:p>
        </w:tc>
        <w:tc>
          <w:tcPr>
            <w:tcW w:type="dxa" w:w="1742"/>
            <w:vAlign w:val="center"/>
          </w:tcPr>
          <w:p>
            <w:pPr>
              <w:spacing w:after="0"/>
            </w:pPr>
            <w:r>
              <w:rPr>
                <w:rFonts w:ascii="Arial" w:hAnsi="Arial"/>
                <w:sz w:val="15"/>
              </w:rPr>
            </w:r>
            <w:r>
              <w:rPr>
                <w:rFonts w:ascii="Arial" w:hAnsi="Arial"/>
                <w:b w:val="0"/>
                <w:sz w:val="15"/>
              </w:rPr>
              <w:t>5.1%</w:t>
            </w:r>
          </w:p>
        </w:tc>
      </w:tr>
      <w:tr>
        <w:tc>
          <w:tcPr>
            <w:tcW w:type="dxa" w:w="1742"/>
            <w:vAlign w:val="center"/>
          </w:tcPr>
          <w:p>
            <w:pPr>
              <w:spacing w:after="0"/>
            </w:pPr>
            <w:r>
              <w:rPr>
                <w:rFonts w:ascii="Arial" w:hAnsi="Arial"/>
                <w:sz w:val="15"/>
              </w:rPr>
            </w:r>
            <w:r>
              <w:rPr>
                <w:rFonts w:ascii="Arial" w:hAnsi="Arial"/>
                <w:b w:val="0"/>
                <w:sz w:val="15"/>
              </w:rPr>
              <w:t>FOODS_1_161</w:t>
            </w:r>
          </w:p>
        </w:tc>
        <w:tc>
          <w:tcPr>
            <w:tcW w:type="dxa" w:w="1742"/>
            <w:vAlign w:val="center"/>
          </w:tcPr>
          <w:p>
            <w:pPr>
              <w:spacing w:after="0"/>
            </w:pPr>
            <w:r>
              <w:rPr>
                <w:rFonts w:ascii="Arial" w:hAnsi="Arial"/>
                <w:sz w:val="15"/>
              </w:rPr>
            </w:r>
            <w:r>
              <w:rPr>
                <w:rFonts w:ascii="Arial" w:hAnsi="Arial"/>
                <w:b w:val="0"/>
                <w:sz w:val="15"/>
              </w:rPr>
              <w:t>FOODS_1</w:t>
            </w:r>
          </w:p>
        </w:tc>
        <w:tc>
          <w:tcPr>
            <w:tcW w:type="dxa" w:w="1742"/>
            <w:vAlign w:val="center"/>
          </w:tcPr>
          <w:p>
            <w:pPr>
              <w:spacing w:after="0"/>
            </w:pPr>
            <w:r>
              <w:rPr>
                <w:rFonts w:ascii="Arial" w:hAnsi="Arial"/>
                <w:sz w:val="15"/>
              </w:rPr>
            </w:r>
            <w:r>
              <w:rPr>
                <w:rFonts w:ascii="Arial" w:hAnsi="Arial"/>
                <w:b w:val="0"/>
                <w:sz w:val="15"/>
              </w:rPr>
              <w:t>513</w:t>
            </w:r>
          </w:p>
        </w:tc>
        <w:tc>
          <w:tcPr>
            <w:tcW w:type="dxa" w:w="1742"/>
            <w:vAlign w:val="center"/>
          </w:tcPr>
          <w:p>
            <w:pPr>
              <w:spacing w:after="0"/>
            </w:pPr>
            <w:r>
              <w:rPr>
                <w:rFonts w:ascii="Arial" w:hAnsi="Arial"/>
                <w:sz w:val="15"/>
              </w:rPr>
            </w:r>
            <w:r>
              <w:rPr>
                <w:rFonts w:ascii="Arial" w:hAnsi="Arial"/>
                <w:b w:val="0"/>
                <w:sz w:val="15"/>
              </w:rPr>
              <w:t>816</w:t>
            </w:r>
          </w:p>
        </w:tc>
        <w:tc>
          <w:tcPr>
            <w:tcW w:type="dxa" w:w="1742"/>
            <w:vAlign w:val="center"/>
          </w:tcPr>
          <w:p>
            <w:pPr>
              <w:spacing w:after="0"/>
            </w:pPr>
            <w:r>
              <w:rPr>
                <w:rFonts w:ascii="Arial" w:hAnsi="Arial"/>
                <w:sz w:val="15"/>
              </w:rPr>
            </w:r>
            <w:r>
              <w:rPr>
                <w:rFonts w:ascii="Arial" w:hAnsi="Arial"/>
                <w:b w:val="0"/>
                <w:sz w:val="15"/>
              </w:rPr>
              <w:t>303</w:t>
            </w:r>
          </w:p>
        </w:tc>
        <w:tc>
          <w:tcPr>
            <w:tcW w:type="dxa" w:w="1742"/>
            <w:vAlign w:val="center"/>
          </w:tcPr>
          <w:p>
            <w:pPr>
              <w:spacing w:after="0"/>
            </w:pPr>
            <w:r>
              <w:rPr>
                <w:rFonts w:ascii="Arial" w:hAnsi="Arial"/>
                <w:sz w:val="15"/>
              </w:rPr>
            </w:r>
            <w:r>
              <w:rPr>
                <w:rFonts w:ascii="Arial" w:hAnsi="Arial"/>
                <w:b w:val="0"/>
                <w:sz w:val="15"/>
              </w:rPr>
              <w:t>59.1%</w:t>
            </w:r>
          </w:p>
        </w:tc>
      </w:tr>
    </w:tbl>
    <w:p>
      <w:r>
        <w:br w:type="page"/>
      </w:r>
    </w:p>
    <w:p>
      <w:pPr>
        <w:pStyle w:val="Heading1"/>
        <w:spacing w:before="120" w:after="60"/>
      </w:pPr>
      <w:r>
        <w:rPr>
          <w:rFonts w:ascii="Arial" w:hAnsi="Arial"/>
          <w:b/>
          <w:color w:val="1F4E79"/>
          <w:sz w:val="28"/>
        </w:rPr>
        <w:t>Department-Level Exception Concentration</w:t>
      </w:r>
    </w:p>
    <w:p>
      <w:pPr>
        <w:spacing w:after="80" w:line="250" w:lineRule="auto"/>
      </w:pPr>
      <w:r>
        <w:rPr>
          <w:rFonts w:ascii="Arial" w:hAnsi="Arial"/>
          <w:sz w:val="18"/>
        </w:rPr>
        <w:t>FOODS_3 represented the largest concentration of forecast exceptions on both sides of risk. This suggests that the department may have higher demand volatility and may require more frequent item-level forecast review, parameter tuning, or planner exception workflow.</w:t>
      </w:r>
    </w:p>
    <w:p>
      <w:pPr>
        <w:pStyle w:val="Heading2"/>
        <w:spacing w:before="80" w:after="60"/>
      </w:pPr>
      <w:r>
        <w:rPr>
          <w:rFonts w:ascii="Arial" w:hAnsi="Arial"/>
          <w:b/>
          <w:color w:val="4F81BD"/>
          <w:sz w:val="22"/>
        </w:rPr>
        <w:t>Model Under-Forecast Risk by Department</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shd w:fill="1F4E79"/>
            <w:shd w:fill="1F4E79"/>
          </w:tcPr>
          <w:p>
            <w:pPr>
              <w:spacing w:after="0"/>
            </w:pPr>
            <w:r>
              <w:rPr>
                <w:rFonts w:ascii="Arial" w:hAnsi="Arial"/>
                <w:b/>
                <w:color w:val="FFFFFF"/>
                <w:sz w:val="16"/>
              </w:rPr>
            </w:r>
            <w:r>
              <w:rPr>
                <w:rFonts w:ascii="Arial" w:hAnsi="Arial"/>
                <w:b/>
                <w:color w:val="FFFFFF"/>
                <w:sz w:val="16"/>
              </w:rPr>
              <w:t>Dept</w:t>
            </w:r>
          </w:p>
        </w:tc>
        <w:tc>
          <w:tcPr>
            <w:tcW w:type="dxa" w:w="2091"/>
            <w:vAlign w:val="center"/>
            <w:shd w:fill="1F4E79"/>
            <w:shd w:fill="1F4E79"/>
          </w:tcPr>
          <w:p>
            <w:pPr>
              <w:spacing w:after="0"/>
            </w:pPr>
            <w:r>
              <w:rPr>
                <w:rFonts w:ascii="Arial" w:hAnsi="Arial"/>
                <w:b/>
                <w:color w:val="FFFFFF"/>
                <w:sz w:val="16"/>
              </w:rPr>
            </w:r>
            <w:r>
              <w:rPr>
                <w:rFonts w:ascii="Arial" w:hAnsi="Arial"/>
                <w:b/>
                <w:color w:val="FFFFFF"/>
                <w:sz w:val="16"/>
              </w:rPr>
              <w:t>Risk Items</w:t>
            </w:r>
          </w:p>
        </w:tc>
        <w:tc>
          <w:tcPr>
            <w:tcW w:type="dxa" w:w="2091"/>
            <w:vAlign w:val="center"/>
            <w:shd w:fill="1F4E79"/>
            <w:shd w:fill="1F4E79"/>
          </w:tcPr>
          <w:p>
            <w:pPr>
              <w:spacing w:after="0"/>
            </w:pPr>
            <w:r>
              <w:rPr>
                <w:rFonts w:ascii="Arial" w:hAnsi="Arial"/>
                <w:b/>
                <w:color w:val="FFFFFF"/>
                <w:sz w:val="16"/>
              </w:rPr>
            </w:r>
            <w:r>
              <w:rPr>
                <w:rFonts w:ascii="Arial" w:hAnsi="Arial"/>
                <w:b/>
                <w:color w:val="FFFFFF"/>
                <w:sz w:val="16"/>
              </w:rPr>
              <w:t>Actual Units</w:t>
            </w:r>
          </w:p>
        </w:tc>
        <w:tc>
          <w:tcPr>
            <w:tcW w:type="dxa" w:w="2091"/>
            <w:vAlign w:val="center"/>
            <w:shd w:fill="1F4E79"/>
            <w:shd w:fill="1F4E79"/>
          </w:tcPr>
          <w:p>
            <w:pPr>
              <w:spacing w:after="0"/>
            </w:pPr>
            <w:r>
              <w:rPr>
                <w:rFonts w:ascii="Arial" w:hAnsi="Arial"/>
                <w:b/>
                <w:color w:val="FFFFFF"/>
                <w:sz w:val="16"/>
              </w:rPr>
            </w:r>
            <w:r>
              <w:rPr>
                <w:rFonts w:ascii="Arial" w:hAnsi="Arial"/>
                <w:b/>
                <w:color w:val="FFFFFF"/>
                <w:sz w:val="16"/>
              </w:rPr>
              <w:t>Forecast Units</w:t>
            </w:r>
          </w:p>
        </w:tc>
        <w:tc>
          <w:tcPr>
            <w:tcW w:type="dxa" w:w="2091"/>
            <w:vAlign w:val="center"/>
            <w:shd w:fill="1F4E79"/>
            <w:shd w:fill="1F4E79"/>
          </w:tcPr>
          <w:p>
            <w:pPr>
              <w:spacing w:after="0"/>
            </w:pPr>
            <w:r>
              <w:rPr>
                <w:rFonts w:ascii="Arial" w:hAnsi="Arial"/>
                <w:b/>
                <w:color w:val="FFFFFF"/>
                <w:sz w:val="16"/>
              </w:rPr>
            </w:r>
            <w:r>
              <w:rPr>
                <w:rFonts w:ascii="Arial" w:hAnsi="Arial"/>
                <w:b/>
                <w:color w:val="FFFFFF"/>
                <w:sz w:val="16"/>
              </w:rPr>
              <w:t>Total Error</w:t>
            </w:r>
          </w:p>
        </w:tc>
      </w:tr>
      <w:tr>
        <w:tc>
          <w:tcPr>
            <w:tcW w:type="dxa" w:w="2091"/>
            <w:vAlign w:val="center"/>
          </w:tcPr>
          <w:p>
            <w:pPr>
              <w:spacing w:after="0"/>
            </w:pPr>
            <w:r>
              <w:rPr>
                <w:rFonts w:ascii="Arial" w:hAnsi="Arial"/>
                <w:sz w:val="16"/>
              </w:rPr>
            </w:r>
            <w:r>
              <w:rPr>
                <w:rFonts w:ascii="Arial" w:hAnsi="Arial"/>
                <w:b w:val="0"/>
                <w:sz w:val="16"/>
              </w:rPr>
              <w:t>FOODS_3</w:t>
            </w:r>
          </w:p>
        </w:tc>
        <w:tc>
          <w:tcPr>
            <w:tcW w:type="dxa" w:w="2091"/>
            <w:vAlign w:val="center"/>
          </w:tcPr>
          <w:p>
            <w:pPr>
              <w:spacing w:after="0"/>
            </w:pPr>
            <w:r>
              <w:rPr>
                <w:rFonts w:ascii="Arial" w:hAnsi="Arial"/>
                <w:sz w:val="16"/>
              </w:rPr>
            </w:r>
            <w:r>
              <w:rPr>
                <w:rFonts w:ascii="Arial" w:hAnsi="Arial"/>
                <w:b w:val="0"/>
                <w:sz w:val="16"/>
              </w:rPr>
              <w:t>14</w:t>
            </w:r>
          </w:p>
        </w:tc>
        <w:tc>
          <w:tcPr>
            <w:tcW w:type="dxa" w:w="2091"/>
            <w:vAlign w:val="center"/>
          </w:tcPr>
          <w:p>
            <w:pPr>
              <w:spacing w:after="0"/>
            </w:pPr>
            <w:r>
              <w:rPr>
                <w:rFonts w:ascii="Arial" w:hAnsi="Arial"/>
                <w:sz w:val="16"/>
              </w:rPr>
            </w:r>
            <w:r>
              <w:rPr>
                <w:rFonts w:ascii="Arial" w:hAnsi="Arial"/>
                <w:b w:val="0"/>
                <w:sz w:val="16"/>
              </w:rPr>
              <w:t>80,091</w:t>
            </w:r>
          </w:p>
        </w:tc>
        <w:tc>
          <w:tcPr>
            <w:tcW w:type="dxa" w:w="2091"/>
            <w:vAlign w:val="center"/>
          </w:tcPr>
          <w:p>
            <w:pPr>
              <w:spacing w:after="0"/>
            </w:pPr>
            <w:r>
              <w:rPr>
                <w:rFonts w:ascii="Arial" w:hAnsi="Arial"/>
                <w:sz w:val="16"/>
              </w:rPr>
            </w:r>
            <w:r>
              <w:rPr>
                <w:rFonts w:ascii="Arial" w:hAnsi="Arial"/>
                <w:b w:val="0"/>
                <w:sz w:val="16"/>
              </w:rPr>
              <w:t>69,132</w:t>
            </w:r>
          </w:p>
        </w:tc>
        <w:tc>
          <w:tcPr>
            <w:tcW w:type="dxa" w:w="2091"/>
            <w:vAlign w:val="center"/>
          </w:tcPr>
          <w:p>
            <w:pPr>
              <w:spacing w:after="0"/>
            </w:pPr>
            <w:r>
              <w:rPr>
                <w:rFonts w:ascii="Arial" w:hAnsi="Arial"/>
                <w:sz w:val="16"/>
              </w:rPr>
            </w:r>
            <w:r>
              <w:rPr>
                <w:rFonts w:ascii="Arial" w:hAnsi="Arial"/>
                <w:b w:val="0"/>
                <w:sz w:val="16"/>
              </w:rPr>
              <w:t>-10,959</w:t>
            </w:r>
          </w:p>
        </w:tc>
      </w:tr>
      <w:tr>
        <w:tc>
          <w:tcPr>
            <w:tcW w:type="dxa" w:w="2091"/>
            <w:vAlign w:val="center"/>
          </w:tcPr>
          <w:p>
            <w:pPr>
              <w:spacing w:after="0"/>
            </w:pPr>
            <w:r>
              <w:rPr>
                <w:rFonts w:ascii="Arial" w:hAnsi="Arial"/>
                <w:sz w:val="16"/>
              </w:rPr>
            </w:r>
            <w:r>
              <w:rPr>
                <w:rFonts w:ascii="Arial" w:hAnsi="Arial"/>
                <w:b w:val="0"/>
                <w:sz w:val="16"/>
              </w:rPr>
              <w:t>FOODS_1</w:t>
            </w:r>
          </w:p>
        </w:tc>
        <w:tc>
          <w:tcPr>
            <w:tcW w:type="dxa" w:w="2091"/>
            <w:vAlign w:val="center"/>
          </w:tcPr>
          <w:p>
            <w:pPr>
              <w:spacing w:after="0"/>
            </w:pPr>
            <w:r>
              <w:rPr>
                <w:rFonts w:ascii="Arial" w:hAnsi="Arial"/>
                <w:sz w:val="16"/>
              </w:rPr>
            </w:r>
            <w:r>
              <w:rPr>
                <w:rFonts w:ascii="Arial" w:hAnsi="Arial"/>
                <w:b w:val="0"/>
                <w:sz w:val="16"/>
              </w:rPr>
              <w:t>3</w:t>
            </w:r>
          </w:p>
        </w:tc>
        <w:tc>
          <w:tcPr>
            <w:tcW w:type="dxa" w:w="2091"/>
            <w:vAlign w:val="center"/>
          </w:tcPr>
          <w:p>
            <w:pPr>
              <w:spacing w:after="0"/>
            </w:pPr>
            <w:r>
              <w:rPr>
                <w:rFonts w:ascii="Arial" w:hAnsi="Arial"/>
                <w:sz w:val="16"/>
              </w:rPr>
            </w:r>
            <w:r>
              <w:rPr>
                <w:rFonts w:ascii="Arial" w:hAnsi="Arial"/>
                <w:b w:val="0"/>
                <w:sz w:val="16"/>
              </w:rPr>
              <w:t>9,196</w:t>
            </w:r>
          </w:p>
        </w:tc>
        <w:tc>
          <w:tcPr>
            <w:tcW w:type="dxa" w:w="2091"/>
            <w:vAlign w:val="center"/>
          </w:tcPr>
          <w:p>
            <w:pPr>
              <w:spacing w:after="0"/>
            </w:pPr>
            <w:r>
              <w:rPr>
                <w:rFonts w:ascii="Arial" w:hAnsi="Arial"/>
                <w:sz w:val="16"/>
              </w:rPr>
            </w:r>
            <w:r>
              <w:rPr>
                <w:rFonts w:ascii="Arial" w:hAnsi="Arial"/>
                <w:b w:val="0"/>
                <w:sz w:val="16"/>
              </w:rPr>
              <w:t>2,697</w:t>
            </w:r>
          </w:p>
        </w:tc>
        <w:tc>
          <w:tcPr>
            <w:tcW w:type="dxa" w:w="2091"/>
            <w:vAlign w:val="center"/>
          </w:tcPr>
          <w:p>
            <w:pPr>
              <w:spacing w:after="0"/>
            </w:pPr>
            <w:r>
              <w:rPr>
                <w:rFonts w:ascii="Arial" w:hAnsi="Arial"/>
                <w:sz w:val="16"/>
              </w:rPr>
            </w:r>
            <w:r>
              <w:rPr>
                <w:rFonts w:ascii="Arial" w:hAnsi="Arial"/>
                <w:b w:val="0"/>
                <w:sz w:val="16"/>
              </w:rPr>
              <w:t>-6,499</w:t>
            </w:r>
          </w:p>
        </w:tc>
      </w:tr>
      <w:tr>
        <w:tc>
          <w:tcPr>
            <w:tcW w:type="dxa" w:w="2091"/>
            <w:vAlign w:val="center"/>
          </w:tcPr>
          <w:p>
            <w:pPr>
              <w:spacing w:after="0"/>
            </w:pPr>
            <w:r>
              <w:rPr>
                <w:rFonts w:ascii="Arial" w:hAnsi="Arial"/>
                <w:sz w:val="16"/>
              </w:rPr>
            </w:r>
            <w:r>
              <w:rPr>
                <w:rFonts w:ascii="Arial" w:hAnsi="Arial"/>
                <w:b w:val="0"/>
                <w:sz w:val="16"/>
              </w:rPr>
              <w:t>FOODS_2</w:t>
            </w:r>
          </w:p>
        </w:tc>
        <w:tc>
          <w:tcPr>
            <w:tcW w:type="dxa" w:w="2091"/>
            <w:vAlign w:val="center"/>
          </w:tcPr>
          <w:p>
            <w:pPr>
              <w:spacing w:after="0"/>
            </w:pPr>
            <w:r>
              <w:rPr>
                <w:rFonts w:ascii="Arial" w:hAnsi="Arial"/>
                <w:sz w:val="16"/>
              </w:rPr>
            </w:r>
            <w:r>
              <w:rPr>
                <w:rFonts w:ascii="Arial" w:hAnsi="Arial"/>
                <w:b w:val="0"/>
                <w:sz w:val="16"/>
              </w:rPr>
              <w:t>3</w:t>
            </w:r>
          </w:p>
        </w:tc>
        <w:tc>
          <w:tcPr>
            <w:tcW w:type="dxa" w:w="2091"/>
            <w:vAlign w:val="center"/>
          </w:tcPr>
          <w:p>
            <w:pPr>
              <w:spacing w:after="0"/>
            </w:pPr>
            <w:r>
              <w:rPr>
                <w:rFonts w:ascii="Arial" w:hAnsi="Arial"/>
                <w:sz w:val="16"/>
              </w:rPr>
            </w:r>
            <w:r>
              <w:rPr>
                <w:rFonts w:ascii="Arial" w:hAnsi="Arial"/>
                <w:b w:val="0"/>
                <w:sz w:val="16"/>
              </w:rPr>
              <w:t>10,645</w:t>
            </w:r>
          </w:p>
        </w:tc>
        <w:tc>
          <w:tcPr>
            <w:tcW w:type="dxa" w:w="2091"/>
            <w:vAlign w:val="center"/>
          </w:tcPr>
          <w:p>
            <w:pPr>
              <w:spacing w:after="0"/>
            </w:pPr>
            <w:r>
              <w:rPr>
                <w:rFonts w:ascii="Arial" w:hAnsi="Arial"/>
                <w:sz w:val="16"/>
              </w:rPr>
            </w:r>
            <w:r>
              <w:rPr>
                <w:rFonts w:ascii="Arial" w:hAnsi="Arial"/>
                <w:b w:val="0"/>
                <w:sz w:val="16"/>
              </w:rPr>
              <w:t>8,822</w:t>
            </w:r>
          </w:p>
        </w:tc>
        <w:tc>
          <w:tcPr>
            <w:tcW w:type="dxa" w:w="2091"/>
            <w:vAlign w:val="center"/>
          </w:tcPr>
          <w:p>
            <w:pPr>
              <w:spacing w:after="0"/>
            </w:pPr>
            <w:r>
              <w:rPr>
                <w:rFonts w:ascii="Arial" w:hAnsi="Arial"/>
                <w:sz w:val="16"/>
              </w:rPr>
            </w:r>
            <w:r>
              <w:rPr>
                <w:rFonts w:ascii="Arial" w:hAnsi="Arial"/>
                <w:b w:val="0"/>
                <w:sz w:val="16"/>
              </w:rPr>
              <w:t>-1,823</w:t>
            </w:r>
          </w:p>
        </w:tc>
      </w:tr>
    </w:tbl>
    <w:p>
      <w:pPr>
        <w:pStyle w:val="Heading2"/>
        <w:spacing w:before="80" w:after="60"/>
      </w:pPr>
      <w:r>
        <w:rPr>
          <w:rFonts w:ascii="Arial" w:hAnsi="Arial"/>
          <w:b/>
          <w:color w:val="4F81BD"/>
          <w:sz w:val="22"/>
        </w:rPr>
        <w:t>Model Over-Forecast Risk by Department</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shd w:fill="1F4E79"/>
            <w:shd w:fill="1F4E79"/>
          </w:tcPr>
          <w:p>
            <w:pPr>
              <w:spacing w:after="0"/>
            </w:pPr>
            <w:r>
              <w:rPr>
                <w:rFonts w:ascii="Arial" w:hAnsi="Arial"/>
                <w:b/>
                <w:color w:val="FFFFFF"/>
                <w:sz w:val="16"/>
              </w:rPr>
            </w:r>
            <w:r>
              <w:rPr>
                <w:rFonts w:ascii="Arial" w:hAnsi="Arial"/>
                <w:b/>
                <w:color w:val="FFFFFF"/>
                <w:sz w:val="16"/>
              </w:rPr>
              <w:t>Dept</w:t>
            </w:r>
          </w:p>
        </w:tc>
        <w:tc>
          <w:tcPr>
            <w:tcW w:type="dxa" w:w="2091"/>
            <w:vAlign w:val="center"/>
            <w:shd w:fill="1F4E79"/>
            <w:shd w:fill="1F4E79"/>
          </w:tcPr>
          <w:p>
            <w:pPr>
              <w:spacing w:after="0"/>
            </w:pPr>
            <w:r>
              <w:rPr>
                <w:rFonts w:ascii="Arial" w:hAnsi="Arial"/>
                <w:b/>
                <w:color w:val="FFFFFF"/>
                <w:sz w:val="16"/>
              </w:rPr>
            </w:r>
            <w:r>
              <w:rPr>
                <w:rFonts w:ascii="Arial" w:hAnsi="Arial"/>
                <w:b/>
                <w:color w:val="FFFFFF"/>
                <w:sz w:val="16"/>
              </w:rPr>
              <w:t>Risk Items</w:t>
            </w:r>
          </w:p>
        </w:tc>
        <w:tc>
          <w:tcPr>
            <w:tcW w:type="dxa" w:w="2091"/>
            <w:vAlign w:val="center"/>
            <w:shd w:fill="1F4E79"/>
            <w:shd w:fill="1F4E79"/>
          </w:tcPr>
          <w:p>
            <w:pPr>
              <w:spacing w:after="0"/>
            </w:pPr>
            <w:r>
              <w:rPr>
                <w:rFonts w:ascii="Arial" w:hAnsi="Arial"/>
                <w:b/>
                <w:color w:val="FFFFFF"/>
                <w:sz w:val="16"/>
              </w:rPr>
            </w:r>
            <w:r>
              <w:rPr>
                <w:rFonts w:ascii="Arial" w:hAnsi="Arial"/>
                <w:b/>
                <w:color w:val="FFFFFF"/>
                <w:sz w:val="16"/>
              </w:rPr>
              <w:t>Actual Units</w:t>
            </w:r>
          </w:p>
        </w:tc>
        <w:tc>
          <w:tcPr>
            <w:tcW w:type="dxa" w:w="2091"/>
            <w:vAlign w:val="center"/>
            <w:shd w:fill="1F4E79"/>
            <w:shd w:fill="1F4E79"/>
          </w:tcPr>
          <w:p>
            <w:pPr>
              <w:spacing w:after="0"/>
            </w:pPr>
            <w:r>
              <w:rPr>
                <w:rFonts w:ascii="Arial" w:hAnsi="Arial"/>
                <w:b/>
                <w:color w:val="FFFFFF"/>
                <w:sz w:val="16"/>
              </w:rPr>
            </w:r>
            <w:r>
              <w:rPr>
                <w:rFonts w:ascii="Arial" w:hAnsi="Arial"/>
                <w:b/>
                <w:color w:val="FFFFFF"/>
                <w:sz w:val="16"/>
              </w:rPr>
              <w:t>Forecast Units</w:t>
            </w:r>
          </w:p>
        </w:tc>
        <w:tc>
          <w:tcPr>
            <w:tcW w:type="dxa" w:w="2091"/>
            <w:vAlign w:val="center"/>
            <w:shd w:fill="1F4E79"/>
            <w:shd w:fill="1F4E79"/>
          </w:tcPr>
          <w:p>
            <w:pPr>
              <w:spacing w:after="0"/>
            </w:pPr>
            <w:r>
              <w:rPr>
                <w:rFonts w:ascii="Arial" w:hAnsi="Arial"/>
                <w:b/>
                <w:color w:val="FFFFFF"/>
                <w:sz w:val="16"/>
              </w:rPr>
            </w:r>
            <w:r>
              <w:rPr>
                <w:rFonts w:ascii="Arial" w:hAnsi="Arial"/>
                <w:b/>
                <w:color w:val="FFFFFF"/>
                <w:sz w:val="16"/>
              </w:rPr>
              <w:t>Total Error</w:t>
            </w:r>
          </w:p>
        </w:tc>
      </w:tr>
      <w:tr>
        <w:tc>
          <w:tcPr>
            <w:tcW w:type="dxa" w:w="2091"/>
            <w:vAlign w:val="center"/>
          </w:tcPr>
          <w:p>
            <w:pPr>
              <w:spacing w:after="0"/>
            </w:pPr>
            <w:r>
              <w:rPr>
                <w:rFonts w:ascii="Arial" w:hAnsi="Arial"/>
                <w:sz w:val="16"/>
              </w:rPr>
            </w:r>
            <w:r>
              <w:rPr>
                <w:rFonts w:ascii="Arial" w:hAnsi="Arial"/>
                <w:b w:val="0"/>
                <w:sz w:val="16"/>
              </w:rPr>
              <w:t>FOODS_3</w:t>
            </w:r>
          </w:p>
        </w:tc>
        <w:tc>
          <w:tcPr>
            <w:tcW w:type="dxa" w:w="2091"/>
            <w:vAlign w:val="center"/>
          </w:tcPr>
          <w:p>
            <w:pPr>
              <w:spacing w:after="0"/>
            </w:pPr>
            <w:r>
              <w:rPr>
                <w:rFonts w:ascii="Arial" w:hAnsi="Arial"/>
                <w:sz w:val="16"/>
              </w:rPr>
            </w:r>
            <w:r>
              <w:rPr>
                <w:rFonts w:ascii="Arial" w:hAnsi="Arial"/>
                <w:b w:val="0"/>
                <w:sz w:val="16"/>
              </w:rPr>
              <w:t>17</w:t>
            </w:r>
          </w:p>
        </w:tc>
        <w:tc>
          <w:tcPr>
            <w:tcW w:type="dxa" w:w="2091"/>
            <w:vAlign w:val="center"/>
          </w:tcPr>
          <w:p>
            <w:pPr>
              <w:spacing w:after="0"/>
            </w:pPr>
            <w:r>
              <w:rPr>
                <w:rFonts w:ascii="Arial" w:hAnsi="Arial"/>
                <w:sz w:val="16"/>
              </w:rPr>
            </w:r>
            <w:r>
              <w:rPr>
                <w:rFonts w:ascii="Arial" w:hAnsi="Arial"/>
                <w:b w:val="0"/>
                <w:sz w:val="16"/>
              </w:rPr>
              <w:t>45,462</w:t>
            </w:r>
          </w:p>
        </w:tc>
        <w:tc>
          <w:tcPr>
            <w:tcW w:type="dxa" w:w="2091"/>
            <w:vAlign w:val="center"/>
          </w:tcPr>
          <w:p>
            <w:pPr>
              <w:spacing w:after="0"/>
            </w:pPr>
            <w:r>
              <w:rPr>
                <w:rFonts w:ascii="Arial" w:hAnsi="Arial"/>
                <w:sz w:val="16"/>
              </w:rPr>
            </w:r>
            <w:r>
              <w:rPr>
                <w:rFonts w:ascii="Arial" w:hAnsi="Arial"/>
                <w:b w:val="0"/>
                <w:sz w:val="16"/>
              </w:rPr>
              <w:t>51,222</w:t>
            </w:r>
          </w:p>
        </w:tc>
        <w:tc>
          <w:tcPr>
            <w:tcW w:type="dxa" w:w="2091"/>
            <w:vAlign w:val="center"/>
          </w:tcPr>
          <w:p>
            <w:pPr>
              <w:spacing w:after="0"/>
            </w:pPr>
            <w:r>
              <w:rPr>
                <w:rFonts w:ascii="Arial" w:hAnsi="Arial"/>
                <w:sz w:val="16"/>
              </w:rPr>
            </w:r>
            <w:r>
              <w:rPr>
                <w:rFonts w:ascii="Arial" w:hAnsi="Arial"/>
                <w:b w:val="0"/>
                <w:sz w:val="16"/>
              </w:rPr>
              <w:t>5,760</w:t>
            </w:r>
          </w:p>
        </w:tc>
      </w:tr>
      <w:tr>
        <w:tc>
          <w:tcPr>
            <w:tcW w:type="dxa" w:w="2091"/>
            <w:vAlign w:val="center"/>
          </w:tcPr>
          <w:p>
            <w:pPr>
              <w:spacing w:after="0"/>
            </w:pPr>
            <w:r>
              <w:rPr>
                <w:rFonts w:ascii="Arial" w:hAnsi="Arial"/>
                <w:sz w:val="16"/>
              </w:rPr>
            </w:r>
            <w:r>
              <w:rPr>
                <w:rFonts w:ascii="Arial" w:hAnsi="Arial"/>
                <w:b w:val="0"/>
                <w:sz w:val="16"/>
              </w:rPr>
              <w:t>FOODS_1</w:t>
            </w:r>
          </w:p>
        </w:tc>
        <w:tc>
          <w:tcPr>
            <w:tcW w:type="dxa" w:w="2091"/>
            <w:vAlign w:val="center"/>
          </w:tcPr>
          <w:p>
            <w:pPr>
              <w:spacing w:after="0"/>
            </w:pPr>
            <w:r>
              <w:rPr>
                <w:rFonts w:ascii="Arial" w:hAnsi="Arial"/>
                <w:sz w:val="16"/>
              </w:rPr>
            </w:r>
            <w:r>
              <w:rPr>
                <w:rFonts w:ascii="Arial" w:hAnsi="Arial"/>
                <w:b w:val="0"/>
                <w:sz w:val="16"/>
              </w:rPr>
              <w:t>2</w:t>
            </w:r>
          </w:p>
        </w:tc>
        <w:tc>
          <w:tcPr>
            <w:tcW w:type="dxa" w:w="2091"/>
            <w:vAlign w:val="center"/>
          </w:tcPr>
          <w:p>
            <w:pPr>
              <w:spacing w:after="0"/>
            </w:pPr>
            <w:r>
              <w:rPr>
                <w:rFonts w:ascii="Arial" w:hAnsi="Arial"/>
                <w:sz w:val="16"/>
              </w:rPr>
            </w:r>
            <w:r>
              <w:rPr>
                <w:rFonts w:ascii="Arial" w:hAnsi="Arial"/>
                <w:b w:val="0"/>
                <w:sz w:val="16"/>
              </w:rPr>
              <w:t>2,024</w:t>
            </w:r>
          </w:p>
        </w:tc>
        <w:tc>
          <w:tcPr>
            <w:tcW w:type="dxa" w:w="2091"/>
            <w:vAlign w:val="center"/>
          </w:tcPr>
          <w:p>
            <w:pPr>
              <w:spacing w:after="0"/>
            </w:pPr>
            <w:r>
              <w:rPr>
                <w:rFonts w:ascii="Arial" w:hAnsi="Arial"/>
                <w:sz w:val="16"/>
              </w:rPr>
            </w:r>
            <w:r>
              <w:rPr>
                <w:rFonts w:ascii="Arial" w:hAnsi="Arial"/>
                <w:b w:val="0"/>
                <w:sz w:val="16"/>
              </w:rPr>
              <w:t>2,470</w:t>
            </w:r>
          </w:p>
        </w:tc>
        <w:tc>
          <w:tcPr>
            <w:tcW w:type="dxa" w:w="2091"/>
            <w:vAlign w:val="center"/>
          </w:tcPr>
          <w:p>
            <w:pPr>
              <w:spacing w:after="0"/>
            </w:pPr>
            <w:r>
              <w:rPr>
                <w:rFonts w:ascii="Arial" w:hAnsi="Arial"/>
                <w:sz w:val="16"/>
              </w:rPr>
            </w:r>
            <w:r>
              <w:rPr>
                <w:rFonts w:ascii="Arial" w:hAnsi="Arial"/>
                <w:b w:val="0"/>
                <w:sz w:val="16"/>
              </w:rPr>
              <w:t>446</w:t>
            </w:r>
          </w:p>
        </w:tc>
      </w:tr>
      <w:tr>
        <w:tc>
          <w:tcPr>
            <w:tcW w:type="dxa" w:w="2091"/>
            <w:vAlign w:val="center"/>
          </w:tcPr>
          <w:p>
            <w:pPr>
              <w:spacing w:after="0"/>
            </w:pPr>
            <w:r>
              <w:rPr>
                <w:rFonts w:ascii="Arial" w:hAnsi="Arial"/>
                <w:sz w:val="16"/>
              </w:rPr>
            </w:r>
            <w:r>
              <w:rPr>
                <w:rFonts w:ascii="Arial" w:hAnsi="Arial"/>
                <w:b w:val="0"/>
                <w:sz w:val="16"/>
              </w:rPr>
              <w:t>FOODS_2</w:t>
            </w:r>
          </w:p>
        </w:tc>
        <w:tc>
          <w:tcPr>
            <w:tcW w:type="dxa" w:w="2091"/>
            <w:vAlign w:val="center"/>
          </w:tcPr>
          <w:p>
            <w:pPr>
              <w:spacing w:after="0"/>
            </w:pPr>
            <w:r>
              <w:rPr>
                <w:rFonts w:ascii="Arial" w:hAnsi="Arial"/>
                <w:sz w:val="16"/>
              </w:rPr>
            </w:r>
            <w:r>
              <w:rPr>
                <w:rFonts w:ascii="Arial" w:hAnsi="Arial"/>
                <w:b w:val="0"/>
                <w:sz w:val="16"/>
              </w:rPr>
              <w:t>1</w:t>
            </w:r>
          </w:p>
        </w:tc>
        <w:tc>
          <w:tcPr>
            <w:tcW w:type="dxa" w:w="2091"/>
            <w:vAlign w:val="center"/>
          </w:tcPr>
          <w:p>
            <w:pPr>
              <w:spacing w:after="0"/>
            </w:pPr>
            <w:r>
              <w:rPr>
                <w:rFonts w:ascii="Arial" w:hAnsi="Arial"/>
                <w:sz w:val="16"/>
              </w:rPr>
            </w:r>
            <w:r>
              <w:rPr>
                <w:rFonts w:ascii="Arial" w:hAnsi="Arial"/>
                <w:b w:val="0"/>
                <w:sz w:val="16"/>
              </w:rPr>
              <w:t>1,498</w:t>
            </w:r>
          </w:p>
        </w:tc>
        <w:tc>
          <w:tcPr>
            <w:tcW w:type="dxa" w:w="2091"/>
            <w:vAlign w:val="center"/>
          </w:tcPr>
          <w:p>
            <w:pPr>
              <w:spacing w:after="0"/>
            </w:pPr>
            <w:r>
              <w:rPr>
                <w:rFonts w:ascii="Arial" w:hAnsi="Arial"/>
                <w:sz w:val="16"/>
              </w:rPr>
            </w:r>
            <w:r>
              <w:rPr>
                <w:rFonts w:ascii="Arial" w:hAnsi="Arial"/>
                <w:b w:val="0"/>
                <w:sz w:val="16"/>
              </w:rPr>
              <w:t>1,623</w:t>
            </w:r>
          </w:p>
        </w:tc>
        <w:tc>
          <w:tcPr>
            <w:tcW w:type="dxa" w:w="2091"/>
            <w:vAlign w:val="center"/>
          </w:tcPr>
          <w:p>
            <w:pPr>
              <w:spacing w:after="0"/>
            </w:pPr>
            <w:r>
              <w:rPr>
                <w:rFonts w:ascii="Arial" w:hAnsi="Arial"/>
                <w:sz w:val="16"/>
              </w:rPr>
            </w:r>
            <w:r>
              <w:rPr>
                <w:rFonts w:ascii="Arial" w:hAnsi="Arial"/>
                <w:b w:val="0"/>
                <w:sz w:val="16"/>
              </w:rPr>
              <w:t>125</w:t>
            </w:r>
          </w:p>
        </w:tc>
      </w:tr>
    </w:tbl>
    <w:p>
      <w:pPr>
        <w:pStyle w:val="Heading1"/>
        <w:spacing w:before="120" w:after="60"/>
      </w:pPr>
      <w:r>
        <w:rPr>
          <w:rFonts w:ascii="Arial" w:hAnsi="Arial"/>
          <w:b/>
          <w:color w:val="1F4E79"/>
          <w:sz w:val="28"/>
        </w:rPr>
        <w:t>Business Recommendations</w:t>
      </w:r>
    </w:p>
    <w:p>
      <w:pPr>
        <w:pStyle w:val="ListBullet"/>
        <w:spacing w:after="40" w:line="240" w:lineRule="auto"/>
      </w:pPr>
      <w:r>
        <w:rPr>
          <w:rFonts w:ascii="Arial" w:hAnsi="Arial"/>
          <w:sz w:val="18"/>
        </w:rPr>
        <w:t>Use HistGradientBoosting as the primary forecast accuracy benchmark, but pair it with forecast bias monitoring and under-forecast exception alerts.</w:t>
      </w:r>
    </w:p>
    <w:p>
      <w:pPr>
        <w:pStyle w:val="ListBullet"/>
        <w:spacing w:after="40" w:line="240" w:lineRule="auto"/>
      </w:pPr>
      <w:r>
        <w:rPr>
          <w:rFonts w:ascii="Arial" w:hAnsi="Arial"/>
          <w:sz w:val="18"/>
        </w:rPr>
        <w:t>Prioritize under-forecast exceptions for high-volume items, especially cases where forecast demand is near zero while actual demand is strong. These items may require item lifecycle, active-item, or demand restart flags.</w:t>
      </w:r>
    </w:p>
    <w:p>
      <w:pPr>
        <w:pStyle w:val="ListBullet"/>
        <w:spacing w:after="40" w:line="240" w:lineRule="auto"/>
      </w:pPr>
      <w:r>
        <w:rPr>
          <w:rFonts w:ascii="Arial" w:hAnsi="Arial"/>
          <w:sz w:val="18"/>
        </w:rPr>
        <w:t>Monitor FOODS_3 more closely because it contributed the majority of both under-forecast and over-forecast exceptions, indicating higher demand volatility.</w:t>
      </w:r>
    </w:p>
    <w:p>
      <w:pPr>
        <w:pStyle w:val="ListBullet"/>
        <w:spacing w:after="40" w:line="240" w:lineRule="auto"/>
      </w:pPr>
      <w:r>
        <w:rPr>
          <w:rFonts w:ascii="Arial" w:hAnsi="Arial"/>
          <w:sz w:val="18"/>
        </w:rPr>
        <w:t>Use both absolute forecast error and forecast bias percentage when ranking exceptions; low-volume items can show extreme percentage bias without large business impact.</w:t>
      </w:r>
    </w:p>
    <w:p>
      <w:pPr>
        <w:pStyle w:val="ListBullet"/>
        <w:spacing w:after="40" w:line="240" w:lineRule="auto"/>
      </w:pPr>
      <w:r>
        <w:rPr>
          <w:rFonts w:ascii="Arial" w:hAnsi="Arial"/>
          <w:sz w:val="18"/>
        </w:rPr>
        <w:t>Build dashboard views for actual vs. forecast, department-level risk, under-forecast exceptions, and over-forecast exceptions to support recurring planner review.</w:t>
      </w:r>
    </w:p>
    <w:p>
      <w:pPr>
        <w:pStyle w:val="Heading1"/>
        <w:spacing w:before="120" w:after="60"/>
      </w:pPr>
      <w:r>
        <w:rPr>
          <w:rFonts w:ascii="Arial" w:hAnsi="Arial"/>
          <w:b/>
          <w:color w:val="1F4E79"/>
          <w:sz w:val="28"/>
        </w:rPr>
        <w:t>Suggested Next Steps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shd w:fill="1F4E79"/>
          </w:tcPr>
          <w:p>
            <w:pPr>
              <w:spacing w:after="0"/>
            </w:pPr>
            <w:r>
              <w:rPr>
                <w:rFonts w:ascii="Arial" w:hAnsi="Arial"/>
                <w:b/>
                <w:color w:val="FFFFFF"/>
                <w:sz w:val="15"/>
              </w:rPr>
            </w:r>
            <w:r>
              <w:rPr>
                <w:rFonts w:ascii="Arial" w:hAnsi="Arial"/>
                <w:b/>
                <w:color w:val="FFFFFF"/>
                <w:sz w:val="15"/>
              </w:rPr>
              <w:t>Phase</w:t>
            </w:r>
          </w:p>
        </w:tc>
        <w:tc>
          <w:tcPr>
            <w:tcW w:type="dxa" w:w="3485"/>
            <w:vAlign w:val="center"/>
            <w:shd w:fill="1F4E79"/>
            <w:shd w:fill="1F4E79"/>
          </w:tcPr>
          <w:p>
            <w:pPr>
              <w:spacing w:after="0"/>
            </w:pPr>
            <w:r>
              <w:rPr>
                <w:rFonts w:ascii="Arial" w:hAnsi="Arial"/>
                <w:b/>
                <w:color w:val="FFFFFF"/>
                <w:sz w:val="15"/>
              </w:rPr>
            </w:r>
            <w:r>
              <w:rPr>
                <w:rFonts w:ascii="Arial" w:hAnsi="Arial"/>
                <w:b/>
                <w:color w:val="FFFFFF"/>
                <w:sz w:val="15"/>
              </w:rPr>
              <w:t>Action</w:t>
            </w:r>
          </w:p>
        </w:tc>
        <w:tc>
          <w:tcPr>
            <w:tcW w:type="dxa" w:w="3485"/>
            <w:vAlign w:val="center"/>
            <w:shd w:fill="1F4E79"/>
            <w:shd w:fill="1F4E79"/>
          </w:tcPr>
          <w:p>
            <w:pPr>
              <w:spacing w:after="0"/>
            </w:pPr>
            <w:r>
              <w:rPr>
                <w:rFonts w:ascii="Arial" w:hAnsi="Arial"/>
                <w:b/>
                <w:color w:val="FFFFFF"/>
                <w:sz w:val="15"/>
              </w:rPr>
            </w:r>
            <w:r>
              <w:rPr>
                <w:rFonts w:ascii="Arial" w:hAnsi="Arial"/>
                <w:b/>
                <w:color w:val="FFFFFF"/>
                <w:sz w:val="15"/>
              </w:rPr>
              <w:t>Business Value</w:t>
            </w:r>
          </w:p>
        </w:tc>
      </w:tr>
      <w:tr>
        <w:tc>
          <w:tcPr>
            <w:tcW w:type="dxa" w:w="3485"/>
            <w:vAlign w:val="center"/>
          </w:tcPr>
          <w:p>
            <w:pPr>
              <w:spacing w:after="0"/>
            </w:pPr>
            <w:r>
              <w:rPr>
                <w:rFonts w:ascii="Arial" w:hAnsi="Arial"/>
                <w:sz w:val="15"/>
              </w:rPr>
            </w:r>
            <w:r>
              <w:rPr>
                <w:rFonts w:ascii="Arial" w:hAnsi="Arial"/>
                <w:b w:val="0"/>
                <w:sz w:val="15"/>
              </w:rPr>
              <w:t>1. Dashboard</w:t>
            </w:r>
          </w:p>
        </w:tc>
        <w:tc>
          <w:tcPr>
            <w:tcW w:type="dxa" w:w="3485"/>
            <w:vAlign w:val="center"/>
          </w:tcPr>
          <w:p>
            <w:pPr>
              <w:spacing w:after="0"/>
            </w:pPr>
            <w:r>
              <w:rPr>
                <w:rFonts w:ascii="Arial" w:hAnsi="Arial"/>
                <w:sz w:val="15"/>
              </w:rPr>
            </w:r>
            <w:r>
              <w:rPr>
                <w:rFonts w:ascii="Arial" w:hAnsi="Arial"/>
                <w:b w:val="0"/>
                <w:sz w:val="15"/>
              </w:rPr>
              <w:t>Create Power BI / Tableau views for actual vs forecast, item exceptions, and department risk.</w:t>
            </w:r>
          </w:p>
        </w:tc>
        <w:tc>
          <w:tcPr>
            <w:tcW w:type="dxa" w:w="3485"/>
            <w:vAlign w:val="center"/>
          </w:tcPr>
          <w:p>
            <w:pPr>
              <w:spacing w:after="0"/>
            </w:pPr>
            <w:r>
              <w:rPr>
                <w:rFonts w:ascii="Arial" w:hAnsi="Arial"/>
                <w:sz w:val="15"/>
              </w:rPr>
            </w:r>
            <w:r>
              <w:rPr>
                <w:rFonts w:ascii="Arial" w:hAnsi="Arial"/>
                <w:b w:val="0"/>
                <w:sz w:val="15"/>
              </w:rPr>
              <w:t>Improves recurring forecast review and stakeholder communication.</w:t>
            </w:r>
          </w:p>
        </w:tc>
      </w:tr>
      <w:tr>
        <w:tc>
          <w:tcPr>
            <w:tcW w:type="dxa" w:w="3485"/>
            <w:vAlign w:val="center"/>
          </w:tcPr>
          <w:p>
            <w:pPr>
              <w:spacing w:after="0"/>
            </w:pPr>
            <w:r>
              <w:rPr>
                <w:rFonts w:ascii="Arial" w:hAnsi="Arial"/>
                <w:sz w:val="15"/>
              </w:rPr>
            </w:r>
            <w:r>
              <w:rPr>
                <w:rFonts w:ascii="Arial" w:hAnsi="Arial"/>
                <w:b w:val="0"/>
                <w:sz w:val="15"/>
              </w:rPr>
              <w:t>2. Feature Expansion</w:t>
            </w:r>
          </w:p>
        </w:tc>
        <w:tc>
          <w:tcPr>
            <w:tcW w:type="dxa" w:w="3485"/>
            <w:vAlign w:val="center"/>
          </w:tcPr>
          <w:p>
            <w:pPr>
              <w:spacing w:after="0"/>
            </w:pPr>
            <w:r>
              <w:rPr>
                <w:rFonts w:ascii="Arial" w:hAnsi="Arial"/>
                <w:sz w:val="15"/>
              </w:rPr>
            </w:r>
            <w:r>
              <w:rPr>
                <w:rFonts w:ascii="Arial" w:hAnsi="Arial"/>
                <w:b w:val="0"/>
                <w:sz w:val="15"/>
              </w:rPr>
              <w:t>Add price-change, event, SNAP, availability, and item lifecycle signals to forecast exception analysis.</w:t>
            </w:r>
          </w:p>
        </w:tc>
        <w:tc>
          <w:tcPr>
            <w:tcW w:type="dxa" w:w="3485"/>
            <w:vAlign w:val="center"/>
          </w:tcPr>
          <w:p>
            <w:pPr>
              <w:spacing w:after="0"/>
            </w:pPr>
            <w:r>
              <w:rPr>
                <w:rFonts w:ascii="Arial" w:hAnsi="Arial"/>
                <w:sz w:val="15"/>
              </w:rPr>
            </w:r>
            <w:r>
              <w:rPr>
                <w:rFonts w:ascii="Arial" w:hAnsi="Arial"/>
                <w:b w:val="0"/>
                <w:sz w:val="15"/>
              </w:rPr>
              <w:t>Reduces missed demand spikes and near-zero forecast cases.</w:t>
            </w:r>
          </w:p>
        </w:tc>
      </w:tr>
      <w:tr>
        <w:tc>
          <w:tcPr>
            <w:tcW w:type="dxa" w:w="3485"/>
            <w:vAlign w:val="center"/>
          </w:tcPr>
          <w:p>
            <w:pPr>
              <w:spacing w:after="0"/>
            </w:pPr>
            <w:r>
              <w:rPr>
                <w:rFonts w:ascii="Arial" w:hAnsi="Arial"/>
                <w:sz w:val="15"/>
              </w:rPr>
            </w:r>
            <w:r>
              <w:rPr>
                <w:rFonts w:ascii="Arial" w:hAnsi="Arial"/>
                <w:b w:val="0"/>
                <w:sz w:val="15"/>
              </w:rPr>
              <w:t>3. Bias Calibration</w:t>
            </w:r>
          </w:p>
        </w:tc>
        <w:tc>
          <w:tcPr>
            <w:tcW w:type="dxa" w:w="3485"/>
            <w:vAlign w:val="center"/>
          </w:tcPr>
          <w:p>
            <w:pPr>
              <w:spacing w:after="0"/>
            </w:pPr>
            <w:r>
              <w:rPr>
                <w:rFonts w:ascii="Arial" w:hAnsi="Arial"/>
                <w:sz w:val="15"/>
              </w:rPr>
            </w:r>
            <w:r>
              <w:rPr>
                <w:rFonts w:ascii="Arial" w:hAnsi="Arial"/>
                <w:b w:val="0"/>
                <w:sz w:val="15"/>
              </w:rPr>
              <w:t>Test bias adjustment or forecast calibration for high-volume items with recurring under-forecasting.</w:t>
            </w:r>
          </w:p>
        </w:tc>
        <w:tc>
          <w:tcPr>
            <w:tcW w:type="dxa" w:w="3485"/>
            <w:vAlign w:val="center"/>
          </w:tcPr>
          <w:p>
            <w:pPr>
              <w:spacing w:after="0"/>
            </w:pPr>
            <w:r>
              <w:rPr>
                <w:rFonts w:ascii="Arial" w:hAnsi="Arial"/>
                <w:sz w:val="15"/>
              </w:rPr>
            </w:r>
            <w:r>
              <w:rPr>
                <w:rFonts w:ascii="Arial" w:hAnsi="Arial"/>
                <w:b w:val="0"/>
                <w:sz w:val="15"/>
              </w:rPr>
              <w:t>Improves planning reliability beyond raw MAE/RMSE gains.</w:t>
            </w:r>
          </w:p>
        </w:tc>
      </w:tr>
      <w:tr>
        <w:tc>
          <w:tcPr>
            <w:tcW w:type="dxa" w:w="3485"/>
            <w:vAlign w:val="center"/>
          </w:tcPr>
          <w:p>
            <w:pPr>
              <w:spacing w:after="0"/>
            </w:pPr>
            <w:r>
              <w:rPr>
                <w:rFonts w:ascii="Arial" w:hAnsi="Arial"/>
                <w:sz w:val="15"/>
              </w:rPr>
            </w:r>
            <w:r>
              <w:rPr>
                <w:rFonts w:ascii="Arial" w:hAnsi="Arial"/>
                <w:b w:val="0"/>
                <w:sz w:val="15"/>
              </w:rPr>
              <w:t>4. Exception Workflow</w:t>
            </w:r>
          </w:p>
        </w:tc>
        <w:tc>
          <w:tcPr>
            <w:tcW w:type="dxa" w:w="3485"/>
            <w:vAlign w:val="center"/>
          </w:tcPr>
          <w:p>
            <w:pPr>
              <w:spacing w:after="0"/>
            </w:pPr>
            <w:r>
              <w:rPr>
                <w:rFonts w:ascii="Arial" w:hAnsi="Arial"/>
                <w:sz w:val="15"/>
              </w:rPr>
            </w:r>
            <w:r>
              <w:rPr>
                <w:rFonts w:ascii="Arial" w:hAnsi="Arial"/>
                <w:b w:val="0"/>
                <w:sz w:val="15"/>
              </w:rPr>
              <w:t>Set thresholds for under-forecast and over-forecast alerts by item volume, absolute error, and bias percentage.</w:t>
            </w:r>
          </w:p>
        </w:tc>
        <w:tc>
          <w:tcPr>
            <w:tcW w:type="dxa" w:w="3485"/>
            <w:vAlign w:val="center"/>
          </w:tcPr>
          <w:p>
            <w:pPr>
              <w:spacing w:after="0"/>
            </w:pPr>
            <w:r>
              <w:rPr>
                <w:rFonts w:ascii="Arial" w:hAnsi="Arial"/>
                <w:sz w:val="15"/>
              </w:rPr>
            </w:r>
            <w:r>
              <w:rPr>
                <w:rFonts w:ascii="Arial" w:hAnsi="Arial"/>
                <w:b w:val="0"/>
                <w:sz w:val="15"/>
              </w:rPr>
              <w:t>Helps planners prioritize actions by business impact and replenishment risk.</w:t>
            </w:r>
          </w:p>
        </w:tc>
      </w:tr>
    </w:tbl>
    <w:p>
      <w:pPr>
        <w:pStyle w:val="Heading1"/>
        <w:spacing w:before="120" w:after="60"/>
      </w:pPr>
      <w:r>
        <w:rPr>
          <w:rFonts w:ascii="Arial" w:hAnsi="Arial"/>
          <w:b/>
          <w:color w:val="1F4E79"/>
          <w:sz w:val="28"/>
        </w:rPr>
        <w:t>Resume-Ready Project Description</w:t>
      </w:r>
    </w:p>
    <w:p>
      <w:pPr>
        <w:spacing w:after="40" w:line="250" w:lineRule="auto"/>
      </w:pPr>
      <w:r>
        <w:rPr>
          <w:rFonts w:ascii="Arial" w:hAnsi="Arial"/>
          <w:b/>
          <w:sz w:val="19"/>
        </w:rPr>
        <w:t>Walmart Retail Demand Forecasting &amp; Category Performance Analysis | Python / pandas / scikit-learn / Tableau-ready outputs</w:t>
      </w:r>
    </w:p>
    <w:p>
      <w:pPr>
        <w:pStyle w:val="ListBullet"/>
        <w:spacing w:after="40" w:line="240" w:lineRule="auto"/>
      </w:pPr>
      <w:r>
        <w:rPr>
          <w:rFonts w:ascii="Arial" w:hAnsi="Arial"/>
          <w:sz w:val="18"/>
        </w:rPr>
        <w:t>Analyzed Walmart food-category sales, price, calendar, and event data to evaluate demand patterns, seasonality, and sales volatility.</w:t>
      </w:r>
    </w:p>
    <w:p>
      <w:pPr>
        <w:pStyle w:val="ListBullet"/>
        <w:spacing w:after="40" w:line="240" w:lineRule="auto"/>
      </w:pPr>
      <w:r>
        <w:rPr>
          <w:rFonts w:ascii="Arial" w:hAnsi="Arial"/>
          <w:sz w:val="18"/>
        </w:rPr>
        <w:t>Compared moving-average baselines with Ridge regression and tree-based forecasting models, improving MAE by 9.1% versus the 28-day baseline while evaluating forecast bias and item-level exception risk.</w:t>
      </w:r>
    </w:p>
    <w:p>
      <w:pPr>
        <w:pStyle w:val="ListBullet"/>
        <w:spacing w:after="40" w:line="240" w:lineRule="auto"/>
      </w:pPr>
      <w:r>
        <w:rPr>
          <w:rFonts w:ascii="Arial" w:hAnsi="Arial"/>
          <w:sz w:val="18"/>
        </w:rPr>
        <w:t>Developed business recommendations to support category performance tracking, replenishment planning, and inventory risk identification.</w:t>
      </w:r>
    </w:p>
    <w:sectPr w:rsidR="00FC693F" w:rsidRPr="0006063C" w:rsidSect="00034616">
      <w:footerReference w:type="default" r:id="rId9"/>
      <w:pgSz w:w="12240" w:h="15840"/>
      <w:pgMar w:top="792"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Walmart Retail Demand Forecasting &amp; Category Performance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