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於夏涵 · Yu Xiahan (Ray)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TEL: </w:t>
      </w:r>
      <w:r>
        <w:rPr>
          <w:rFonts w:ascii="Calibri" w:cs="Calibri" w:eastAsia="Calibri" w:hAnsi="Calibri"/>
          <w:sz w:val="19"/>
          <w:szCs w:val="19"/>
        </w:rPr>
        <w:t xml:space="preserve">(+852) 5517 2765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EMAIL: </w:t>
      </w:r>
      <w:r>
        <w:rPr>
          <w:rFonts w:ascii="Calibri" w:cs="Calibri" w:eastAsia="Calibri" w:hAnsi="Calibri"/>
          <w:sz w:val="19"/>
          <w:szCs w:val="19"/>
        </w:rPr>
        <w:t xml:space="preserve">yuxiahan2004@gmail.com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PORTFOLIO: </w:t>
      </w:r>
      <w:hyperlink w:history="1" r:id="rId3hjeuj_dj0aealysjz7ts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yuxiahan2004.wixsite.com/my-site-3</w:t>
        </w:r>
      </w:hyperlink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SKILLSET</w:t>
      </w:r>
    </w:p>
    <w:p>
      <w:pPr>
        <w:pBdr>
          <w:bottom w:val="single" w:color="000000" w:sz="4" w:space="1"/>
        </w:pBdr>
        <w:spacing w:after="60"/>
      </w:pP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Software: </w:t>
      </w:r>
      <w:r>
        <w:rPr>
          <w:rFonts w:ascii="Calibri" w:cs="Calibri" w:eastAsia="Calibri" w:hAnsi="Calibri"/>
          <w:sz w:val="19"/>
          <w:szCs w:val="19"/>
        </w:rPr>
        <w:t xml:space="preserve">Microsoft Office, Tableau, SPSS, Canva, Midjourney, Kling, ChatGPT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 Proficiency: </w:t>
      </w:r>
      <w:r>
        <w:rPr>
          <w:rFonts w:ascii="Calibri" w:cs="Calibri" w:eastAsia="Calibri" w:hAnsi="Calibri"/>
          <w:sz w:val="19"/>
          <w:szCs w:val="19"/>
        </w:rPr>
        <w:t xml:space="preserve">Mandarin (Native), English (Fluent), Cantonese (Fluent)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 BACKGROUND</w:t>
      </w:r>
    </w:p>
    <w:p>
      <w:pPr>
        <w:pBdr>
          <w:bottom w:val="single" w:color="000000" w:sz="4" w:space="1"/>
        </w:pBdr>
        <w:spacing w:after="60"/>
      </w:pPr>
    </w:p>
    <w:p>
      <w:pPr>
        <w:tabs>
          <w:tab w:val="right" w:pos="11226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Data and Media Communication  |  Hong Kong Baptist University (HKBU)</w:t>
      </w:r>
      <w:r>
        <w:t xml:space="preserve">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Sep 2024 – Jun 2028</w:t>
      </w:r>
    </w:p>
    <w:p>
      <w:pPr>
        <w:spacing w:after="2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Main Courses: Multimedia &amp; Multiplatform Journalism with AI Applications, Fundamentals of Data Analysis and Management, Chinese News Reporting and Writing, Journalism and Communication Theory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Academic Performance: </w:t>
      </w:r>
      <w:r>
        <w:rPr>
          <w:rFonts w:ascii="Calibri" w:cs="Calibri" w:eastAsia="Calibri" w:hAnsi="Calibri"/>
          <w:sz w:val="19"/>
          <w:szCs w:val="19"/>
        </w:rPr>
        <w:t xml:space="preserve">CGPA 3.46; President’s Honour Roll (2025–26); Dean’s List (2024–25)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INTERNSHIP</w:t>
      </w:r>
    </w:p>
    <w:p>
      <w:pPr>
        <w:pBdr>
          <w:bottom w:val="single" w:color="000000" w:sz="4" w:space="1"/>
        </w:pBdr>
        <w:spacing w:after="60"/>
      </w:pPr>
    </w:p>
    <w:p>
      <w:pPr>
        <w:tabs>
          <w:tab w:val="right" w:pos="11226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Gang Piao Quan, Hong Kong  |  Content Intern</w:t>
      </w:r>
      <w:r>
        <w:t xml:space="preserve">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May 2025 – Sep 2025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Data-informed content reporting: </w:t>
      </w:r>
      <w:r>
        <w:rPr>
          <w:rFonts w:ascii="Calibri" w:cs="Calibri" w:eastAsia="Calibri" w:hAnsi="Calibri"/>
          <w:sz w:val="19"/>
          <w:szCs w:val="19"/>
        </w:rPr>
        <w:t xml:space="preserve">drafted original articles on social trends and news topics, independently managing the full process from research to publication.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Multimedia production: </w:t>
      </w:r>
      <w:r>
        <w:rPr>
          <w:rFonts w:ascii="Calibri" w:cs="Calibri" w:eastAsia="Calibri" w:hAnsi="Calibri"/>
          <w:sz w:val="19"/>
          <w:szCs w:val="19"/>
        </w:rPr>
        <w:t xml:space="preserve">produced on-site photography, copywriting and WeChat layout design, averaging 80,000+ views per post (peak 150,000+).</w:t>
      </w:r>
    </w:p>
    <w:p>
      <w:pPr>
        <w:spacing w:before="60"/>
      </w:pPr>
    </w:p>
    <w:p>
      <w:pPr>
        <w:tabs>
          <w:tab w:val="right" w:pos="11226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Alliance Medical Group, Hong Kong  |  Content Intern</w:t>
      </w:r>
      <w:r>
        <w:t xml:space="preserve">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Dec 2024 – May 2025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AI-assisted video production: </w:t>
      </w:r>
      <w:r>
        <w:rPr>
          <w:rFonts w:ascii="Calibri" w:cs="Calibri" w:eastAsia="Calibri" w:hAnsi="Calibri"/>
          <w:sz w:val="19"/>
          <w:szCs w:val="19"/>
        </w:rPr>
        <w:t xml:space="preserve">produced AI-generated promotional and educational videos (Midjourney, Kling, ChatGPT), including HPV vaccination and clinic-introduction content.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Social content strategy: </w:t>
      </w:r>
      <w:r>
        <w:rPr>
          <w:rFonts w:ascii="Calibri" w:cs="Calibri" w:eastAsia="Calibri" w:hAnsi="Calibri"/>
          <w:sz w:val="19"/>
          <w:szCs w:val="19"/>
        </w:rPr>
        <w:t xml:space="preserve">drafted Xiaohongshu (RED) posts on parenting education and product marketing, strengthening digital outreach.</w:t>
      </w:r>
    </w:p>
    <w:p>
      <w:pPr>
        <w:spacing w:before="60"/>
      </w:pPr>
    </w:p>
    <w:p>
      <w:pPr>
        <w:tabs>
          <w:tab w:val="right" w:pos="11226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Cultural Infusion, Melbourne, Australia  |  Content Intern</w:t>
      </w:r>
      <w:r>
        <w:t xml:space="preserve">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Jun 2024 – Jul 2024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AI video &amp; design production: </w:t>
      </w:r>
      <w:r>
        <w:rPr>
          <w:rFonts w:ascii="Calibri" w:cs="Calibri" w:eastAsia="Calibri" w:hAnsi="Calibri"/>
          <w:sz w:val="19"/>
          <w:szCs w:val="19"/>
        </w:rPr>
        <w:t xml:space="preserve">developed promotional and introductory videos for the membership website using AI tools, published on YouTube, and crafted membership posters shared on LinkedIn.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Research: </w:t>
      </w:r>
      <w:r>
        <w:rPr>
          <w:rFonts w:ascii="Calibri" w:cs="Calibri" w:eastAsia="Calibri" w:hAnsi="Calibri"/>
          <w:sz w:val="19"/>
          <w:szCs w:val="19"/>
        </w:rPr>
        <w:t xml:space="preserve">researched and summarized ESG (Environmental, Social, Governance) practices among major global companies to support the organization’s sustainability commitments.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DESIGN PROJECT</w:t>
      </w:r>
    </w:p>
    <w:p>
      <w:pPr>
        <w:pBdr>
          <w:bottom w:val="single" w:color="000000" w:sz="4" w:space="1"/>
        </w:pBdr>
        <w:spacing w:after="60"/>
      </w:pPr>
    </w:p>
    <w:p>
      <w:pPr>
        <w:tabs>
          <w:tab w:val="right" w:pos="11226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From Hiking Trail to Photo Spot: How Social Media Reshaped the MacLehose Trail  |  Data Story</w:t>
      </w:r>
      <w:r>
        <w:t xml:space="preserve">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Apr 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fieldwork: </w:t>
      </w:r>
      <w:r>
        <w:rPr>
          <w:rFonts w:ascii="Calibri" w:cs="Calibri" w:eastAsia="Calibri" w:hAnsi="Calibri"/>
          <w:sz w:val="19"/>
          <w:szCs w:val="19"/>
        </w:rPr>
        <w:t xml:space="preserve">combined government visitor and enforcement statistics with Douyin/TikTok topic-heat metrics and on-site interviews to trace how social-media virality reshaped foot traffic on the MacLehose Trail.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Visual storytelling: </w:t>
      </w:r>
      <w:r>
        <w:rPr>
          <w:rFonts w:ascii="Calibri" w:cs="Calibri" w:eastAsia="Calibri" w:hAnsi="Calibri"/>
          <w:sz w:val="19"/>
          <w:szCs w:val="19"/>
        </w:rPr>
        <w:t xml:space="preserve">built interactive Flourish visualizations and a comparative case study (Mt. Fuji) to explain the environmental and safety consequences of algorithm-driven overcrowding.</w:t>
      </w:r>
    </w:p>
    <w:p>
      <w:pPr>
        <w:spacing w:before="60"/>
      </w:pPr>
    </w:p>
    <w:p>
      <w:pPr>
        <w:tabs>
          <w:tab w:val="right" w:pos="11226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“Four Trails” That Could Not Be Finished  |  Data Story</w:t>
      </w:r>
      <w:r>
        <w:t xml:space="preserve">	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Mar 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mapping: </w:t>
      </w:r>
      <w:r>
        <w:rPr>
          <w:rFonts w:ascii="Calibri" w:cs="Calibri" w:eastAsia="Calibri" w:hAnsi="Calibri"/>
          <w:sz w:val="19"/>
          <w:szCs w:val="19"/>
        </w:rPr>
        <w:t xml:space="preserve">mapped HK4TUC ultra-race withdrawal data (2021–2026) against route characteristics to identify segments most associated with did-not-finish rates.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Narrative design: </w:t>
      </w:r>
      <w:r>
        <w:rPr>
          <w:rFonts w:ascii="Calibri" w:cs="Calibri" w:eastAsia="Calibri" w:hAnsi="Calibri"/>
          <w:sz w:val="19"/>
          <w:szCs w:val="19"/>
        </w:rPr>
        <w:t xml:space="preserve">combined geographic and performance data into a visual story explaining why certain trail segments broke runners.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Additional Work: </w:t>
      </w:r>
      <w:r>
        <w:rPr>
          <w:rFonts w:ascii="Calibri" w:cs="Calibri" w:eastAsia="Calibri" w:hAnsi="Calibri"/>
          <w:sz w:val="19"/>
          <w:szCs w:val="19"/>
        </w:rPr>
        <w:t xml:space="preserve">Fragments of Hong Kong (Photo Story, Jan 2026)  ·  Tiny Feet, Big Business: Inside Hong Kong’s Largest Baby Expo (Photo Story, Feb 2026)  ·  Living in Hong Kong: Can Music Turn a City Into Home? (Podcast, Mar 2026)  ·  C919 Makes International Debut in Singapore (Video Story, Apr 2026)  ·  Foreign Employee Works for Pinduoduo Parcels (Video Story, Apr 2026)  ·  Liang Hanyu: A Business Behind Graduation Season (Video Story, May 2026)</w:t>
      </w:r>
    </w:p>
    <w:sectPr>
      <w:pgSz w:w="11906" w:h="16838" w:orient="portrait"/>
      <w:pgMar w:top="340" w:right="340" w:bottom="340" w:left="3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hjeuj_dj0aealysjz7ts" Type="http://schemas.openxmlformats.org/officeDocument/2006/relationships/hyperlink" Target="https://yuxiahan2004.wixsite.com/my-site-3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2026-09-28T16:17:27.536Z</dcterms:created>
  <dcterms:modified xsi:type="dcterms:W3CDTF">2026-09-28T16:17:27.551Z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