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A219E" w14:textId="77777777" w:rsidR="00B31921" w:rsidRDefault="00000000">
      <w:pPr>
        <w:pStyle w:val="3"/>
        <w:shd w:val="clear" w:color="auto" w:fill="FFFFFF"/>
        <w:spacing w:before="0" w:after="160"/>
        <w:jc w:val="center"/>
        <w:rPr>
          <w:b/>
          <w:color w:val="000000"/>
          <w:sz w:val="24"/>
          <w:szCs w:val="24"/>
        </w:rPr>
      </w:pPr>
      <w:r>
        <w:rPr>
          <w:b/>
          <w:noProof/>
          <w:color w:val="000000"/>
          <w:sz w:val="24"/>
          <w:szCs w:val="24"/>
        </w:rPr>
        <w:drawing>
          <wp:inline distT="114300" distB="114300" distL="114300" distR="114300" wp14:anchorId="3F766549" wp14:editId="3C1865DB">
            <wp:extent cx="4229100" cy="2628900"/>
            <wp:effectExtent l="0" t="0" r="0" b="0"/>
            <wp:docPr id="1" name="image1.jpg" descr="A logo of a national university of singapor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jpg" descr="A logo of a national university of singapore&#10;&#10;AI-generated content may be incorrect."/>
                    <pic:cNvPicPr preferRelativeResize="0"/>
                  </pic:nvPicPr>
                  <pic:blipFill>
                    <a:blip r:embed="rId5"/>
                    <a:srcRect/>
                    <a:stretch>
                      <a:fillRect/>
                    </a:stretch>
                  </pic:blipFill>
                  <pic:spPr>
                    <a:xfrm>
                      <a:off x="0" y="0"/>
                      <a:ext cx="4229100" cy="2628900"/>
                    </a:xfrm>
                    <a:prstGeom prst="rect">
                      <a:avLst/>
                    </a:prstGeom>
                    <a:ln/>
                  </pic:spPr>
                </pic:pic>
              </a:graphicData>
            </a:graphic>
          </wp:inline>
        </w:drawing>
      </w:r>
    </w:p>
    <w:p w14:paraId="00D85B55" w14:textId="77777777" w:rsidR="00B31921" w:rsidRDefault="00000000">
      <w:pPr>
        <w:pStyle w:val="3"/>
        <w:shd w:val="clear" w:color="auto" w:fill="FFFFFF"/>
        <w:spacing w:before="0" w:after="160"/>
        <w:jc w:val="center"/>
        <w:rPr>
          <w:b/>
          <w:color w:val="000000"/>
          <w:sz w:val="26"/>
          <w:szCs w:val="26"/>
        </w:rPr>
      </w:pPr>
      <w:r>
        <w:rPr>
          <w:b/>
          <w:color w:val="000000"/>
          <w:sz w:val="26"/>
          <w:szCs w:val="26"/>
        </w:rPr>
        <w:t xml:space="preserve"> </w:t>
      </w:r>
    </w:p>
    <w:p w14:paraId="07347073" w14:textId="77777777" w:rsidR="00B31921" w:rsidRDefault="00000000">
      <w:pPr>
        <w:pStyle w:val="3"/>
        <w:shd w:val="clear" w:color="auto" w:fill="FFFFFF"/>
        <w:spacing w:before="0" w:after="160"/>
        <w:jc w:val="center"/>
        <w:rPr>
          <w:b/>
          <w:color w:val="000000"/>
          <w:sz w:val="48"/>
          <w:szCs w:val="48"/>
        </w:rPr>
      </w:pPr>
      <w:r>
        <w:rPr>
          <w:b/>
          <w:color w:val="000000"/>
          <w:sz w:val="48"/>
          <w:szCs w:val="48"/>
        </w:rPr>
        <w:t>FT5005 Machine Learning for Finance</w:t>
      </w:r>
    </w:p>
    <w:p w14:paraId="01CA9179" w14:textId="77777777" w:rsidR="00B31921" w:rsidRDefault="00000000">
      <w:pPr>
        <w:pStyle w:val="3"/>
        <w:shd w:val="clear" w:color="auto" w:fill="FFFFFF"/>
        <w:spacing w:before="0" w:after="160"/>
        <w:jc w:val="center"/>
        <w:rPr>
          <w:b/>
          <w:color w:val="000000"/>
          <w:sz w:val="32"/>
          <w:szCs w:val="32"/>
        </w:rPr>
      </w:pPr>
      <w:r>
        <w:rPr>
          <w:b/>
          <w:color w:val="000000"/>
          <w:sz w:val="32"/>
          <w:szCs w:val="32"/>
        </w:rPr>
        <w:t xml:space="preserve"> </w:t>
      </w:r>
    </w:p>
    <w:p w14:paraId="533B7595" w14:textId="77777777" w:rsidR="00B31921" w:rsidRDefault="00000000">
      <w:pPr>
        <w:pStyle w:val="3"/>
        <w:shd w:val="clear" w:color="auto" w:fill="FFFFFF"/>
        <w:spacing w:before="0" w:after="160"/>
        <w:jc w:val="center"/>
        <w:rPr>
          <w:b/>
          <w:color w:val="000000"/>
          <w:sz w:val="36"/>
          <w:szCs w:val="36"/>
        </w:rPr>
      </w:pPr>
      <w:r>
        <w:rPr>
          <w:b/>
          <w:color w:val="000000"/>
          <w:sz w:val="36"/>
          <w:szCs w:val="36"/>
        </w:rPr>
        <w:t>Final Project Report I</w:t>
      </w:r>
    </w:p>
    <w:p w14:paraId="2B1AB42E" w14:textId="77777777" w:rsidR="00B31921" w:rsidRDefault="00B31921"/>
    <w:p w14:paraId="3A7F0FBE" w14:textId="77777777" w:rsidR="00B31921" w:rsidRDefault="00000000">
      <w:pPr>
        <w:rPr>
          <w:sz w:val="36"/>
          <w:szCs w:val="36"/>
        </w:rPr>
      </w:pPr>
      <w:r>
        <w:rPr>
          <w:sz w:val="36"/>
          <w:szCs w:val="36"/>
        </w:rPr>
        <w:tab/>
      </w:r>
      <w:r>
        <w:rPr>
          <w:sz w:val="36"/>
          <w:szCs w:val="36"/>
        </w:rPr>
        <w:tab/>
      </w:r>
      <w:r>
        <w:rPr>
          <w:sz w:val="36"/>
          <w:szCs w:val="36"/>
        </w:rPr>
        <w:tab/>
      </w:r>
      <w:r>
        <w:rPr>
          <w:sz w:val="36"/>
          <w:szCs w:val="36"/>
        </w:rPr>
        <w:tab/>
      </w:r>
      <w:r>
        <w:rPr>
          <w:sz w:val="36"/>
          <w:szCs w:val="36"/>
        </w:rPr>
        <w:tab/>
        <w:t>March 2025</w:t>
      </w:r>
    </w:p>
    <w:p w14:paraId="378BCD5B" w14:textId="77777777" w:rsidR="00B31921" w:rsidRDefault="00B31921">
      <w:pPr>
        <w:rPr>
          <w:sz w:val="36"/>
          <w:szCs w:val="36"/>
        </w:rPr>
      </w:pPr>
    </w:p>
    <w:p w14:paraId="0951F407" w14:textId="77777777" w:rsidR="00B31921" w:rsidRDefault="00B31921">
      <w:pPr>
        <w:rPr>
          <w:sz w:val="36"/>
          <w:szCs w:val="36"/>
        </w:rPr>
      </w:pPr>
    </w:p>
    <w:p w14:paraId="280B6D76" w14:textId="77777777" w:rsidR="00B31921" w:rsidRDefault="00000000">
      <w:pPr>
        <w:shd w:val="clear" w:color="auto" w:fill="FFFFFF"/>
        <w:spacing w:after="160"/>
        <w:jc w:val="center"/>
        <w:rPr>
          <w:sz w:val="36"/>
          <w:szCs w:val="36"/>
        </w:rPr>
      </w:pPr>
      <w:r>
        <w:rPr>
          <w:sz w:val="36"/>
          <w:szCs w:val="36"/>
        </w:rPr>
        <w:t>Group 6</w:t>
      </w:r>
    </w:p>
    <w:tbl>
      <w:tblPr>
        <w:tblStyle w:val="a5"/>
        <w:tblW w:w="936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860"/>
        <w:gridCol w:w="4500"/>
      </w:tblGrid>
      <w:tr w:rsidR="00B31921" w14:paraId="5038913F" w14:textId="77777777">
        <w:trPr>
          <w:trHeight w:val="390"/>
        </w:trPr>
        <w:tc>
          <w:tcPr>
            <w:tcW w:w="4859" w:type="dxa"/>
            <w:tcBorders>
              <w:top w:val="nil"/>
              <w:left w:val="nil"/>
              <w:bottom w:val="nil"/>
              <w:right w:val="nil"/>
            </w:tcBorders>
            <w:tcMar>
              <w:top w:w="0" w:type="dxa"/>
              <w:left w:w="0" w:type="dxa"/>
              <w:bottom w:w="0" w:type="dxa"/>
              <w:right w:w="0" w:type="dxa"/>
            </w:tcMar>
          </w:tcPr>
          <w:p w14:paraId="59731531" w14:textId="77777777" w:rsidR="00B31921" w:rsidRDefault="00000000">
            <w:pPr>
              <w:spacing w:before="40" w:after="40"/>
              <w:ind w:left="-80" w:right="360"/>
              <w:jc w:val="right"/>
            </w:pPr>
            <w:r>
              <w:t xml:space="preserve">ALYA RIZKY PRASTITI </w:t>
            </w:r>
          </w:p>
        </w:tc>
        <w:tc>
          <w:tcPr>
            <w:tcW w:w="4500" w:type="dxa"/>
            <w:tcBorders>
              <w:top w:val="nil"/>
              <w:left w:val="nil"/>
              <w:bottom w:val="nil"/>
              <w:right w:val="nil"/>
            </w:tcBorders>
            <w:tcMar>
              <w:top w:w="0" w:type="dxa"/>
              <w:left w:w="0" w:type="dxa"/>
              <w:bottom w:w="0" w:type="dxa"/>
              <w:right w:w="0" w:type="dxa"/>
            </w:tcMar>
          </w:tcPr>
          <w:p w14:paraId="2F00E406" w14:textId="77777777" w:rsidR="00B31921" w:rsidRDefault="00000000">
            <w:pPr>
              <w:spacing w:before="40" w:after="40"/>
              <w:ind w:left="-80" w:firstLine="350"/>
            </w:pPr>
            <w:r>
              <w:t xml:space="preserve">A0275710H </w:t>
            </w:r>
          </w:p>
        </w:tc>
      </w:tr>
      <w:tr w:rsidR="00B31921" w14:paraId="66EDBD56" w14:textId="77777777">
        <w:trPr>
          <w:trHeight w:val="2265"/>
        </w:trPr>
        <w:tc>
          <w:tcPr>
            <w:tcW w:w="4859" w:type="dxa"/>
            <w:tcBorders>
              <w:top w:val="nil"/>
              <w:left w:val="nil"/>
              <w:bottom w:val="nil"/>
              <w:right w:val="nil"/>
            </w:tcBorders>
            <w:tcMar>
              <w:top w:w="0" w:type="dxa"/>
              <w:left w:w="0" w:type="dxa"/>
              <w:bottom w:w="0" w:type="dxa"/>
              <w:right w:w="0" w:type="dxa"/>
            </w:tcMar>
          </w:tcPr>
          <w:p w14:paraId="2528FA46" w14:textId="77777777" w:rsidR="00B31921" w:rsidRDefault="00000000">
            <w:pPr>
              <w:spacing w:before="40" w:after="40"/>
              <w:ind w:left="-80" w:right="360"/>
              <w:jc w:val="right"/>
            </w:pPr>
            <w:r>
              <w:t>LIN XIAO</w:t>
            </w:r>
          </w:p>
          <w:p w14:paraId="301627D9" w14:textId="77777777" w:rsidR="00B31921" w:rsidRDefault="00000000">
            <w:pPr>
              <w:spacing w:before="40" w:after="40"/>
              <w:ind w:left="-80" w:right="360"/>
              <w:jc w:val="right"/>
            </w:pPr>
            <w:r>
              <w:t>WANG RUIJUE</w:t>
            </w:r>
          </w:p>
          <w:p w14:paraId="5D037032" w14:textId="77777777" w:rsidR="00B31921" w:rsidRDefault="00000000">
            <w:pPr>
              <w:spacing w:before="40" w:after="40"/>
              <w:ind w:left="-80" w:right="360"/>
              <w:jc w:val="right"/>
            </w:pPr>
            <w:r>
              <w:t>XU RUI</w:t>
            </w:r>
          </w:p>
          <w:p w14:paraId="67F40920" w14:textId="77777777" w:rsidR="00B31921" w:rsidRDefault="00000000">
            <w:pPr>
              <w:spacing w:before="40" w:after="40"/>
              <w:ind w:left="-80" w:right="360"/>
              <w:jc w:val="right"/>
            </w:pPr>
            <w:r>
              <w:t>ZOU ZEREN</w:t>
            </w:r>
          </w:p>
          <w:p w14:paraId="180EFE19" w14:textId="77777777" w:rsidR="00B31921" w:rsidRDefault="00000000">
            <w:pPr>
              <w:spacing w:before="40" w:after="40"/>
              <w:ind w:left="-80" w:right="360"/>
              <w:jc w:val="right"/>
            </w:pPr>
            <w:r>
              <w:t xml:space="preserve"> </w:t>
            </w:r>
          </w:p>
          <w:p w14:paraId="1236C706" w14:textId="77777777" w:rsidR="00B31921" w:rsidRDefault="00B31921">
            <w:pPr>
              <w:spacing w:before="40" w:after="40"/>
              <w:ind w:left="-80" w:right="360"/>
              <w:jc w:val="right"/>
            </w:pPr>
          </w:p>
          <w:p w14:paraId="5A7DDEA9" w14:textId="77777777" w:rsidR="00B31921" w:rsidRDefault="00B31921">
            <w:pPr>
              <w:spacing w:before="40" w:after="40"/>
              <w:ind w:left="-80" w:right="360"/>
              <w:jc w:val="right"/>
            </w:pPr>
          </w:p>
          <w:p w14:paraId="29D3DD0D" w14:textId="77777777" w:rsidR="00B31921" w:rsidRDefault="00000000">
            <w:pPr>
              <w:spacing w:before="40" w:after="40"/>
              <w:ind w:left="-80" w:right="360"/>
              <w:jc w:val="right"/>
            </w:pPr>
            <w:r>
              <w:t xml:space="preserve"> </w:t>
            </w:r>
          </w:p>
        </w:tc>
        <w:tc>
          <w:tcPr>
            <w:tcW w:w="4500" w:type="dxa"/>
            <w:tcBorders>
              <w:top w:val="nil"/>
              <w:left w:val="nil"/>
              <w:bottom w:val="nil"/>
              <w:right w:val="nil"/>
            </w:tcBorders>
            <w:tcMar>
              <w:top w:w="0" w:type="dxa"/>
              <w:left w:w="0" w:type="dxa"/>
              <w:bottom w:w="0" w:type="dxa"/>
              <w:right w:w="0" w:type="dxa"/>
            </w:tcMar>
          </w:tcPr>
          <w:p w14:paraId="3FD40587" w14:textId="77777777" w:rsidR="00B31921" w:rsidRDefault="00000000">
            <w:pPr>
              <w:spacing w:before="40" w:after="40"/>
              <w:ind w:left="-80" w:firstLine="350"/>
            </w:pPr>
            <w:r>
              <w:t>A0296234Y</w:t>
            </w:r>
          </w:p>
          <w:p w14:paraId="43E4E2A9" w14:textId="77777777" w:rsidR="00B31921" w:rsidRDefault="00000000">
            <w:pPr>
              <w:spacing w:before="40" w:after="40"/>
              <w:ind w:left="-80" w:firstLine="350"/>
            </w:pPr>
            <w:r>
              <w:t>A0211256R</w:t>
            </w:r>
          </w:p>
          <w:p w14:paraId="3ED84656" w14:textId="77777777" w:rsidR="00B31921" w:rsidRDefault="00000000">
            <w:pPr>
              <w:spacing w:before="40" w:after="40"/>
              <w:ind w:left="-80" w:firstLine="350"/>
            </w:pPr>
            <w:r>
              <w:t>A0296229R</w:t>
            </w:r>
          </w:p>
          <w:p w14:paraId="0A0F1C06" w14:textId="77777777" w:rsidR="00B31921" w:rsidRDefault="00000000">
            <w:pPr>
              <w:spacing w:before="40" w:after="40"/>
              <w:ind w:left="-80" w:firstLine="350"/>
            </w:pPr>
            <w:r>
              <w:t>A0297860M</w:t>
            </w:r>
          </w:p>
          <w:p w14:paraId="00B2D04D" w14:textId="77777777" w:rsidR="00B31921" w:rsidRDefault="00000000">
            <w:pPr>
              <w:spacing w:before="40" w:after="40"/>
              <w:ind w:left="-80" w:firstLine="350"/>
            </w:pPr>
            <w:r>
              <w:t xml:space="preserve"> </w:t>
            </w:r>
          </w:p>
        </w:tc>
      </w:tr>
    </w:tbl>
    <w:p w14:paraId="49858241" w14:textId="77777777" w:rsidR="00B31921" w:rsidRDefault="00000000">
      <w:pPr>
        <w:pStyle w:val="3"/>
        <w:spacing w:before="240" w:after="240"/>
        <w:rPr>
          <w:b/>
          <w:color w:val="000000"/>
          <w:sz w:val="24"/>
          <w:szCs w:val="24"/>
        </w:rPr>
      </w:pPr>
      <w:bookmarkStart w:id="0" w:name="_ex8ypa5q91vm" w:colFirst="0" w:colLast="0"/>
      <w:bookmarkEnd w:id="0"/>
      <w:r>
        <w:br w:type="page"/>
      </w:r>
    </w:p>
    <w:p w14:paraId="21E2E024" w14:textId="77777777" w:rsidR="00B31921" w:rsidRDefault="00000000">
      <w:pPr>
        <w:pStyle w:val="3"/>
        <w:spacing w:before="240" w:after="240"/>
        <w:rPr>
          <w:b/>
          <w:color w:val="000000"/>
          <w:sz w:val="24"/>
          <w:szCs w:val="24"/>
        </w:rPr>
      </w:pPr>
      <w:bookmarkStart w:id="1" w:name="_j4cwmod5mmho" w:colFirst="0" w:colLast="0"/>
      <w:bookmarkEnd w:id="1"/>
      <w:r>
        <w:rPr>
          <w:b/>
          <w:color w:val="000000"/>
          <w:sz w:val="24"/>
          <w:szCs w:val="24"/>
        </w:rPr>
        <w:lastRenderedPageBreak/>
        <w:t>Section I: Overview</w:t>
      </w:r>
    </w:p>
    <w:p w14:paraId="17BD8778" w14:textId="77777777" w:rsidR="00B31921" w:rsidRDefault="00000000">
      <w:pPr>
        <w:spacing w:before="240" w:after="240"/>
        <w:jc w:val="both"/>
        <w:rPr>
          <w:sz w:val="24"/>
          <w:szCs w:val="24"/>
        </w:rPr>
      </w:pPr>
      <w:r>
        <w:rPr>
          <w:sz w:val="24"/>
          <w:szCs w:val="24"/>
        </w:rPr>
        <w:t>This report focuses on forecasting revenue and EBITDA for real estate firms operating in the New York City market. To enhance our predictive capabilities, we integrate an additional dataset—the NYC Property Sales dataset—which provides detailed records of every property sold in NYC since 2003, updated monthly. This dataset includes key attributes such as sale price, property type, and location, offering a comprehensive view of market trends and valuation changes that are critical for assessing the performance of real estate companies.</w:t>
      </w:r>
    </w:p>
    <w:p w14:paraId="5D02B785" w14:textId="77777777" w:rsidR="00B31921" w:rsidRDefault="00000000">
      <w:pPr>
        <w:spacing w:before="240" w:after="240"/>
        <w:jc w:val="both"/>
        <w:rPr>
          <w:sz w:val="24"/>
          <w:szCs w:val="24"/>
        </w:rPr>
      </w:pPr>
      <w:r>
        <w:rPr>
          <w:sz w:val="24"/>
          <w:szCs w:val="24"/>
        </w:rPr>
        <w:t xml:space="preserve">Property sales data capture market sentiment, supply-demand imbalances, and asset value changes, serving as leading indicators for revenue and EBITDA. Academic research supports this; the </w:t>
      </w:r>
      <w:r>
        <w:rPr>
          <w:i/>
          <w:sz w:val="24"/>
          <w:szCs w:val="24"/>
        </w:rPr>
        <w:t>Journal of Real Estate Finance and Economics</w:t>
      </w:r>
      <w:r>
        <w:rPr>
          <w:sz w:val="24"/>
          <w:szCs w:val="24"/>
        </w:rPr>
        <w:t>[1] reported a 12% improvement in REIT earnings forecasts using granular property sales data over macroeconomic factors alone. Industry analyses by Empire State Realty Trust[2] similarly show residential price growth correlating with developer EBITDA margins, while commercial sales volume forecasts leasing revenues six months ahead. These findings align with broader financial economics literature emphasizing the predictive power of high-frequency, asset-specific data in reducing information asymmetry and enhancing forecasting precision.</w:t>
      </w:r>
    </w:p>
    <w:p w14:paraId="4C475A9C" w14:textId="77777777" w:rsidR="00B31921" w:rsidRDefault="00000000">
      <w:pPr>
        <w:spacing w:before="240" w:after="240"/>
        <w:jc w:val="both"/>
        <w:rPr>
          <w:b/>
          <w:sz w:val="24"/>
          <w:szCs w:val="24"/>
        </w:rPr>
      </w:pPr>
      <w:r>
        <w:rPr>
          <w:b/>
          <w:sz w:val="24"/>
          <w:szCs w:val="24"/>
        </w:rPr>
        <w:t>Feature Engineering Framework and the Evidence</w:t>
      </w:r>
    </w:p>
    <w:p w14:paraId="686BDEB9" w14:textId="77777777" w:rsidR="00B31921" w:rsidRDefault="00000000">
      <w:pPr>
        <w:spacing w:before="240" w:after="240"/>
        <w:jc w:val="both"/>
        <w:rPr>
          <w:sz w:val="24"/>
          <w:szCs w:val="24"/>
        </w:rPr>
      </w:pPr>
      <w:r>
        <w:rPr>
          <w:sz w:val="24"/>
          <w:szCs w:val="24"/>
        </w:rPr>
        <w:t>Our feature engineering framework leverages publicly available data and industry-standard practices to enhance the predictive accuracy of our revenue and EBITDA forecasting models. The strategies we propose are grounded in evidence that is easily accessible online:</w:t>
      </w:r>
    </w:p>
    <w:p w14:paraId="0D4C4710" w14:textId="77777777" w:rsidR="00B31921" w:rsidRDefault="00000000">
      <w:pPr>
        <w:numPr>
          <w:ilvl w:val="0"/>
          <w:numId w:val="2"/>
        </w:numPr>
        <w:spacing w:before="240"/>
        <w:jc w:val="both"/>
        <w:rPr>
          <w:sz w:val="24"/>
          <w:szCs w:val="24"/>
        </w:rPr>
      </w:pPr>
      <w:r>
        <w:rPr>
          <w:b/>
          <w:sz w:val="24"/>
          <w:szCs w:val="24"/>
        </w:rPr>
        <w:t>Land and Improvement Value Separation</w:t>
      </w:r>
      <w:r>
        <w:rPr>
          <w:sz w:val="24"/>
          <w:szCs w:val="24"/>
        </w:rPr>
        <w:t>: Distinguishing between land and structural components of property sales enables a more accurate assessment of asset values. This approach aligns with methodologies that separate land and improvement values to enhance prediction accuracy.</w:t>
      </w:r>
    </w:p>
    <w:p w14:paraId="424EDAD9" w14:textId="69A1FC40" w:rsidR="00B31921" w:rsidRDefault="00000000">
      <w:pPr>
        <w:numPr>
          <w:ilvl w:val="0"/>
          <w:numId w:val="2"/>
        </w:numPr>
        <w:jc w:val="both"/>
        <w:rPr>
          <w:sz w:val="24"/>
          <w:szCs w:val="24"/>
        </w:rPr>
      </w:pPr>
      <w:r>
        <w:rPr>
          <w:b/>
          <w:sz w:val="24"/>
          <w:szCs w:val="24"/>
        </w:rPr>
        <w:t>Location-Based(Geographical) Aggregation</w:t>
      </w:r>
      <w:r>
        <w:rPr>
          <w:sz w:val="24"/>
          <w:szCs w:val="24"/>
        </w:rPr>
        <w:t>: Aggregating sales data by borough and neighborhood facilitates the identification of location-specific trends and demand patterns, such as distance from Central Business District (CBD) or the influence of LRT, subways and other public transportations. Moreover, Haider and Miller (2000) investigated some cases in the United States and Australia and discovered that the house prices tend to drop sharply as the distance of a city’s CBD’s increases</w:t>
      </w:r>
      <w:r w:rsidR="00831AF2">
        <w:rPr>
          <w:rFonts w:hint="eastAsia"/>
          <w:sz w:val="24"/>
          <w:szCs w:val="24"/>
        </w:rPr>
        <w:t>[3]</w:t>
      </w:r>
      <w:r>
        <w:rPr>
          <w:sz w:val="24"/>
          <w:szCs w:val="24"/>
        </w:rPr>
        <w:t xml:space="preserve">. </w:t>
      </w:r>
    </w:p>
    <w:p w14:paraId="662E8CD9" w14:textId="4CEF9F55" w:rsidR="00B31921" w:rsidRDefault="00000000">
      <w:pPr>
        <w:numPr>
          <w:ilvl w:val="0"/>
          <w:numId w:val="2"/>
        </w:numPr>
        <w:jc w:val="both"/>
        <w:rPr>
          <w:sz w:val="24"/>
          <w:szCs w:val="24"/>
        </w:rPr>
      </w:pPr>
      <w:r>
        <w:rPr>
          <w:b/>
          <w:sz w:val="24"/>
          <w:szCs w:val="24"/>
        </w:rPr>
        <w:t>Temporal Analysis</w:t>
      </w:r>
      <w:r>
        <w:rPr>
          <w:sz w:val="24"/>
          <w:szCs w:val="24"/>
        </w:rPr>
        <w:t xml:space="preserve">: Incorporating temporal features such as sale date and year built allows for the assessment of market cycles and the impact of property age on sales dynamics. Understanding these temporal factors aids in forecasting future </w:t>
      </w:r>
      <w:r>
        <w:rPr>
          <w:sz w:val="24"/>
          <w:szCs w:val="24"/>
        </w:rPr>
        <w:lastRenderedPageBreak/>
        <w:t>revenue streams.​ Ferlan, Bastic and Psunder (2017) revealed that the age of buildings is negatively correlated with the value of residential properties</w:t>
      </w:r>
      <w:r w:rsidR="00831AF2">
        <w:rPr>
          <w:rFonts w:hint="eastAsia"/>
          <w:sz w:val="24"/>
          <w:szCs w:val="24"/>
        </w:rPr>
        <w:t>[4]</w:t>
      </w:r>
      <w:r>
        <w:rPr>
          <w:sz w:val="24"/>
          <w:szCs w:val="24"/>
        </w:rPr>
        <w:t xml:space="preserve">. This indicates that as buildings get older, their price tend to drop. </w:t>
      </w:r>
    </w:p>
    <w:p w14:paraId="22DE4EC1" w14:textId="2D11C867" w:rsidR="00B31921" w:rsidRDefault="00000000">
      <w:pPr>
        <w:numPr>
          <w:ilvl w:val="0"/>
          <w:numId w:val="2"/>
        </w:numPr>
        <w:spacing w:after="240"/>
        <w:jc w:val="both"/>
        <w:rPr>
          <w:sz w:val="24"/>
          <w:szCs w:val="24"/>
        </w:rPr>
      </w:pPr>
      <w:r>
        <w:rPr>
          <w:b/>
          <w:sz w:val="24"/>
          <w:szCs w:val="24"/>
        </w:rPr>
        <w:t>Property Characteristics Profiling</w:t>
      </w:r>
      <w:r>
        <w:rPr>
          <w:sz w:val="24"/>
          <w:szCs w:val="24"/>
        </w:rPr>
        <w:t>: Analyzing attributes like building class category, residential units, and commercial units provides insights into the types of properties driving sales and their alignment with market demand. As stated by the New York State Association for REALTORS (NYSAR), the properties are categorized as 2 bedrooms or fewer, 3 bedrooms, and 4 bedrooms or more</w:t>
      </w:r>
      <w:r w:rsidR="00831AF2">
        <w:rPr>
          <w:rFonts w:hint="eastAsia"/>
          <w:sz w:val="24"/>
          <w:szCs w:val="24"/>
        </w:rPr>
        <w:t>[5]</w:t>
      </w:r>
      <w:r>
        <w:rPr>
          <w:sz w:val="24"/>
          <w:szCs w:val="24"/>
        </w:rPr>
        <w:t xml:space="preserve">. </w:t>
      </w:r>
    </w:p>
    <w:p w14:paraId="4580077F" w14:textId="77777777" w:rsidR="00B31921" w:rsidRDefault="00000000">
      <w:pPr>
        <w:spacing w:before="240" w:after="240"/>
        <w:jc w:val="both"/>
        <w:rPr>
          <w:b/>
          <w:sz w:val="24"/>
          <w:szCs w:val="24"/>
        </w:rPr>
      </w:pPr>
      <w:r>
        <w:rPr>
          <w:sz w:val="24"/>
          <w:szCs w:val="24"/>
        </w:rPr>
        <w:t xml:space="preserve">In addition, the Annual Report on the New York State Market for residential real estate mentioned that the listing number of homes available for sale was lower by 2.6 percent comparing 2024 to the prior year. Moreover, home prices in 2024 were up with the overall median sales price increasing 7.8 percent compared to 2023. </w:t>
      </w:r>
    </w:p>
    <w:p w14:paraId="5BAC749E" w14:textId="77777777" w:rsidR="00B31921" w:rsidRDefault="00000000">
      <w:pPr>
        <w:pStyle w:val="3"/>
        <w:keepNext w:val="0"/>
        <w:keepLines w:val="0"/>
        <w:spacing w:before="280"/>
        <w:jc w:val="both"/>
        <w:rPr>
          <w:b/>
          <w:color w:val="1F1F1F"/>
          <w:sz w:val="24"/>
          <w:szCs w:val="24"/>
          <w:highlight w:val="white"/>
        </w:rPr>
      </w:pPr>
      <w:bookmarkStart w:id="2" w:name="_2ish7freqfsk" w:colFirst="0" w:colLast="0"/>
      <w:bookmarkEnd w:id="2"/>
      <w:r>
        <w:rPr>
          <w:b/>
          <w:color w:val="1F1F1F"/>
          <w:sz w:val="24"/>
          <w:szCs w:val="24"/>
          <w:highlight w:val="white"/>
        </w:rPr>
        <w:t>Section II: Existing Literature</w:t>
      </w:r>
    </w:p>
    <w:p w14:paraId="0202B74E" w14:textId="77777777" w:rsidR="00B31921" w:rsidRDefault="00B31921"/>
    <w:p w14:paraId="3D3EE003" w14:textId="77777777" w:rsidR="00B31921" w:rsidRDefault="00000000">
      <w:pPr>
        <w:jc w:val="both"/>
        <w:rPr>
          <w:b/>
          <w:sz w:val="24"/>
          <w:szCs w:val="24"/>
        </w:rPr>
      </w:pPr>
      <w:r>
        <w:rPr>
          <w:b/>
          <w:sz w:val="24"/>
          <w:szCs w:val="24"/>
        </w:rPr>
        <w:t>2.1 Introduction</w:t>
      </w:r>
    </w:p>
    <w:p w14:paraId="3024A12B" w14:textId="77777777" w:rsidR="00B31921" w:rsidRDefault="00B31921">
      <w:pPr>
        <w:jc w:val="both"/>
        <w:rPr>
          <w:sz w:val="24"/>
          <w:szCs w:val="24"/>
        </w:rPr>
      </w:pPr>
    </w:p>
    <w:p w14:paraId="0847C372" w14:textId="77777777" w:rsidR="00B31921" w:rsidRDefault="00000000">
      <w:pPr>
        <w:jc w:val="both"/>
        <w:rPr>
          <w:sz w:val="24"/>
          <w:szCs w:val="24"/>
        </w:rPr>
      </w:pPr>
      <w:r>
        <w:rPr>
          <w:sz w:val="24"/>
          <w:szCs w:val="24"/>
        </w:rPr>
        <w:t>This section synthesizes theoretical and empirical literature to:</w:t>
      </w:r>
    </w:p>
    <w:p w14:paraId="44219134" w14:textId="77777777" w:rsidR="00B31921" w:rsidRDefault="00000000">
      <w:pPr>
        <w:ind w:left="1080" w:hanging="360"/>
        <w:jc w:val="both"/>
        <w:rPr>
          <w:sz w:val="24"/>
          <w:szCs w:val="24"/>
        </w:rPr>
      </w:pPr>
      <w:r>
        <w:rPr>
          <w:sz w:val="24"/>
          <w:szCs w:val="24"/>
        </w:rPr>
        <w:t>(1) Justify the selected features and features from engineering (X) based on their documented impact on target (Y).</w:t>
      </w:r>
    </w:p>
    <w:p w14:paraId="56CC58D9" w14:textId="77777777" w:rsidR="00B31921" w:rsidRDefault="00000000">
      <w:pPr>
        <w:ind w:left="1080" w:hanging="360"/>
        <w:jc w:val="both"/>
        <w:rPr>
          <w:sz w:val="24"/>
          <w:szCs w:val="24"/>
        </w:rPr>
      </w:pPr>
      <w:r>
        <w:rPr>
          <w:sz w:val="24"/>
          <w:szCs w:val="24"/>
        </w:rPr>
        <w:t>(2) Identify methodologies from prior studies on similar prediction tasks.</w:t>
      </w:r>
    </w:p>
    <w:p w14:paraId="78795851" w14:textId="77777777" w:rsidR="00B31921" w:rsidRDefault="00B31921">
      <w:pPr>
        <w:jc w:val="both"/>
        <w:rPr>
          <w:sz w:val="24"/>
          <w:szCs w:val="24"/>
        </w:rPr>
      </w:pPr>
    </w:p>
    <w:p w14:paraId="623E134F" w14:textId="77777777" w:rsidR="00B31921" w:rsidRDefault="00000000">
      <w:pPr>
        <w:jc w:val="both"/>
        <w:rPr>
          <w:sz w:val="24"/>
          <w:szCs w:val="24"/>
        </w:rPr>
      </w:pPr>
      <w:r>
        <w:rPr>
          <w:sz w:val="24"/>
          <w:szCs w:val="24"/>
        </w:rPr>
        <w:t>Given the scarcity of studies directly addressing revenue and EBITDA prediction for real estate firms, where extant literature remains predominantly focused on property prices, our review systematically extended to cross-industry research examining financial performance prediction, including revenue, operating profit, net profit, ROA, and ROE.</w:t>
      </w:r>
    </w:p>
    <w:p w14:paraId="0277AF85" w14:textId="77777777" w:rsidR="00B31921" w:rsidRDefault="00B31921">
      <w:pPr>
        <w:jc w:val="both"/>
        <w:rPr>
          <w:sz w:val="24"/>
          <w:szCs w:val="24"/>
        </w:rPr>
      </w:pPr>
    </w:p>
    <w:p w14:paraId="4495316C" w14:textId="77777777" w:rsidR="00B31921" w:rsidRDefault="00000000">
      <w:pPr>
        <w:jc w:val="both"/>
        <w:rPr>
          <w:sz w:val="24"/>
          <w:szCs w:val="24"/>
        </w:rPr>
      </w:pPr>
      <w:r>
        <w:rPr>
          <w:sz w:val="24"/>
          <w:szCs w:val="24"/>
        </w:rPr>
        <w:t>The structural and functional linkages between financial metrics justify utilizing those literature for our revenue/EBITDA prediction. Revenue and EBITDA serve as foundational inputs for downstream profitability metrics in the income statement. Identical operational (e.g., asset turnover), financial (e.g., leverage), and macroeconomic drivers influencing later-stage variables inherently influence upstream dynamics through additive/multiplicative relationships. For instance, interest rate sensitivity affects both EBITDA (via financing costs) and ROE (via leverage amplification). Therefore, it is methodologically sound to utilize academic literature with analogous predictive objectives as reference</w:t>
      </w:r>
    </w:p>
    <w:p w14:paraId="2A95C73E" w14:textId="77777777" w:rsidR="00B31921" w:rsidRDefault="00B31921">
      <w:pPr>
        <w:ind w:firstLine="240"/>
        <w:jc w:val="both"/>
        <w:rPr>
          <w:sz w:val="24"/>
          <w:szCs w:val="24"/>
        </w:rPr>
      </w:pPr>
    </w:p>
    <w:p w14:paraId="4F09592F" w14:textId="77777777" w:rsidR="00B31921" w:rsidRDefault="00000000">
      <w:pPr>
        <w:jc w:val="both"/>
        <w:rPr>
          <w:b/>
          <w:sz w:val="24"/>
          <w:szCs w:val="24"/>
        </w:rPr>
      </w:pPr>
      <w:r>
        <w:rPr>
          <w:b/>
          <w:sz w:val="24"/>
          <w:szCs w:val="24"/>
        </w:rPr>
        <w:t>2.2 Theoretical Foundations: Feature-Target Relationships</w:t>
      </w:r>
    </w:p>
    <w:p w14:paraId="34AF3ABD" w14:textId="77777777" w:rsidR="00B31921" w:rsidRDefault="00000000">
      <w:pPr>
        <w:jc w:val="both"/>
        <w:rPr>
          <w:sz w:val="24"/>
          <w:szCs w:val="24"/>
        </w:rPr>
      </w:pPr>
      <w:r>
        <w:rPr>
          <w:sz w:val="24"/>
          <w:szCs w:val="24"/>
        </w:rPr>
        <w:t xml:space="preserve">Existing literature on corporate financial performance prediction predominantly employs four categories of explanatory variables: (1) fundamental accounting metrics from </w:t>
      </w:r>
      <w:r>
        <w:rPr>
          <w:sz w:val="24"/>
          <w:szCs w:val="24"/>
        </w:rPr>
        <w:lastRenderedPageBreak/>
        <w:t>financial statements, (2) classic financial ratios, (3) macroeconomic indicators, and (4) property sales data.</w:t>
      </w:r>
    </w:p>
    <w:p w14:paraId="416D3642" w14:textId="61A92FF8" w:rsidR="00B31921" w:rsidRDefault="00000000">
      <w:pPr>
        <w:jc w:val="both"/>
        <w:rPr>
          <w:sz w:val="24"/>
          <w:szCs w:val="24"/>
        </w:rPr>
      </w:pPr>
      <w:r>
        <w:rPr>
          <w:b/>
          <w:sz w:val="24"/>
          <w:szCs w:val="24"/>
        </w:rPr>
        <w:t xml:space="preserve">  2.2.1 Fundamental Accounting Metrics</w:t>
      </w:r>
      <w:r>
        <w:rPr>
          <w:sz w:val="24"/>
          <w:szCs w:val="24"/>
        </w:rPr>
        <w:t>. Financial statements directly quantify a firm's operational efficiency and resource allocation through revenue recognition and expense matching, inherently reflecting key performance drivers. Although forecasting based solely on historical revenue or EBITDA represents a traditional time series method, it often overlooks critical external factors. Therefore, this basic approach serves as a baseline to evaluate more comprehensive multivariate models. Most studies incorporate multiple accounting measures, aligning with financial theory's emphasis on the interconnectedness of financial statements. Lee et al. (2017) used eleven financial indicators—including profit growth, operating expenses, shareholder’s equity, and total assets—to successfully predict revenue, operating profit, and net profit for 22 U.S. biopharmaceutical firms[</w:t>
      </w:r>
      <w:r w:rsidR="00831AF2">
        <w:rPr>
          <w:rFonts w:hint="eastAsia"/>
          <w:sz w:val="24"/>
          <w:szCs w:val="24"/>
        </w:rPr>
        <w:t>6</w:t>
      </w:r>
      <w:r>
        <w:rPr>
          <w:sz w:val="24"/>
          <w:szCs w:val="24"/>
        </w:rPr>
        <w:t>].</w:t>
      </w:r>
    </w:p>
    <w:p w14:paraId="15C75467" w14:textId="77777777" w:rsidR="00B31921" w:rsidRDefault="00B31921">
      <w:pPr>
        <w:ind w:firstLine="720"/>
        <w:jc w:val="both"/>
        <w:rPr>
          <w:sz w:val="24"/>
          <w:szCs w:val="24"/>
        </w:rPr>
      </w:pPr>
    </w:p>
    <w:p w14:paraId="1AFD9F67" w14:textId="0FA43D02" w:rsidR="00B31921" w:rsidRDefault="00000000">
      <w:pPr>
        <w:jc w:val="both"/>
        <w:rPr>
          <w:sz w:val="24"/>
          <w:szCs w:val="24"/>
        </w:rPr>
      </w:pPr>
      <w:r>
        <w:rPr>
          <w:b/>
          <w:sz w:val="24"/>
          <w:szCs w:val="24"/>
        </w:rPr>
        <w:t xml:space="preserve">  2.2.2 Financial Ratios</w:t>
      </w:r>
      <w:r>
        <w:rPr>
          <w:sz w:val="24"/>
          <w:szCs w:val="24"/>
        </w:rPr>
        <w:t>. Financial theory suggests that ratios simplify complex financial statements into standardized metrics, providing advantages like improved readability, comparability across different-sized firms, stability, and early risk detection. Ratios effectively capture liquidity, profitability, leverage, and operational efficiency—critical factors influencing revenue generation and earnings capacity. Shen and Tzeng (2014) used 25 financial ratios, covering dimensions such as Capital Sufficiency, Asset Quality, Earnings, Liquidity, Interest Rate Sensitivity, and Growth, in a DRSA-based Neuro-Fuzzy model predicting ROA in Taiwanese banks[</w:t>
      </w:r>
      <w:r w:rsidR="00831AF2">
        <w:rPr>
          <w:rFonts w:hint="eastAsia"/>
          <w:sz w:val="24"/>
          <w:szCs w:val="24"/>
        </w:rPr>
        <w:t>7</w:t>
      </w:r>
      <w:r>
        <w:rPr>
          <w:sz w:val="24"/>
          <w:szCs w:val="24"/>
        </w:rPr>
        <w:t>]. Key predictive ratios included Capital Adequacy (Net Worth to Assets), Profitability (e.g., NIBT to Assets), Liquidity (Liquidity Ratio, Loan-to-Deposit Ratio), and Growth (Deposit, Investment, Guarantee Growth Rates). Thus, our feature engineering primarily involves computing these financial ratios as model inputs.</w:t>
      </w:r>
    </w:p>
    <w:p w14:paraId="0ED8FDCD" w14:textId="77777777" w:rsidR="00B31921" w:rsidRDefault="00B31921">
      <w:pPr>
        <w:ind w:firstLine="720"/>
        <w:jc w:val="both"/>
        <w:rPr>
          <w:sz w:val="24"/>
          <w:szCs w:val="24"/>
        </w:rPr>
      </w:pPr>
    </w:p>
    <w:p w14:paraId="358D4A9C" w14:textId="2E7DC2BE" w:rsidR="00B31921" w:rsidRDefault="00000000">
      <w:pPr>
        <w:ind w:firstLine="240"/>
        <w:jc w:val="both"/>
        <w:rPr>
          <w:sz w:val="24"/>
          <w:szCs w:val="24"/>
        </w:rPr>
      </w:pPr>
      <w:r>
        <w:rPr>
          <w:b/>
          <w:sz w:val="24"/>
          <w:szCs w:val="24"/>
        </w:rPr>
        <w:t>2.2.3 Macroeconomic Indicators</w:t>
      </w:r>
      <w:r>
        <w:rPr>
          <w:sz w:val="24"/>
          <w:szCs w:val="24"/>
        </w:rPr>
        <w:t>. Macroeconomic variables significantly influence real estate companies' revenues through channels such as demand dynamics, financing conditions, and asset valuation effects. Factors like GDP growth, interest rates, inflation, unemployment, and monetary or fiscal policies shape market fundamentals and corporate earnings. Trang et al. (2022) found that money supply strongly impacts real estate profitability during crises like the COVID-19 pandemic, while GDP growth partially influences performance[</w:t>
      </w:r>
      <w:r w:rsidR="00831AF2">
        <w:rPr>
          <w:rFonts w:hint="eastAsia"/>
          <w:sz w:val="24"/>
          <w:szCs w:val="24"/>
        </w:rPr>
        <w:t>8</w:t>
      </w:r>
      <w:r>
        <w:rPr>
          <w:sz w:val="24"/>
          <w:szCs w:val="24"/>
        </w:rPr>
        <w:t>]. However, macroeconomic factors don't always enhance revenue predictions. Lam (2004) noted that incorporating macroeconomic variables into neural network models did not significantly improve forecasting accuracy[</w:t>
      </w:r>
      <w:r w:rsidR="00831AF2">
        <w:rPr>
          <w:rFonts w:hint="eastAsia"/>
          <w:sz w:val="24"/>
          <w:szCs w:val="24"/>
        </w:rPr>
        <w:t>9</w:t>
      </w:r>
      <w:r>
        <w:rPr>
          <w:sz w:val="24"/>
          <w:szCs w:val="24"/>
        </w:rPr>
        <w:t>]. Given these inconclusive findings and pandemic-related disruptions, we conservatively limit macroeconomic inputs in our models.</w:t>
      </w:r>
    </w:p>
    <w:p w14:paraId="087411CD" w14:textId="77777777" w:rsidR="00B31921" w:rsidRDefault="00B31921">
      <w:pPr>
        <w:ind w:firstLine="240"/>
        <w:jc w:val="both"/>
        <w:rPr>
          <w:sz w:val="24"/>
          <w:szCs w:val="24"/>
        </w:rPr>
      </w:pPr>
    </w:p>
    <w:p w14:paraId="67DB91C1" w14:textId="77777777" w:rsidR="00B31921" w:rsidRDefault="00000000">
      <w:pPr>
        <w:ind w:firstLine="240"/>
        <w:jc w:val="both"/>
        <w:rPr>
          <w:sz w:val="24"/>
          <w:szCs w:val="24"/>
        </w:rPr>
      </w:pPr>
      <w:r>
        <w:rPr>
          <w:b/>
          <w:sz w:val="24"/>
          <w:szCs w:val="24"/>
        </w:rPr>
        <w:lastRenderedPageBreak/>
        <w:t>2.2.4 Property sales data</w:t>
      </w:r>
      <w:r>
        <w:rPr>
          <w:sz w:val="24"/>
          <w:szCs w:val="24"/>
        </w:rPr>
        <w:t xml:space="preserve">. As noted in Section I, property sales constitute one of the primary revenue streams for real estate enterprises. Consequently, property sales data can serve as an indirect indicator of a real estate company's financial performance. And this relationship has been well-documented in the existing literature, thus warranting no further elaboration here. </w:t>
      </w:r>
    </w:p>
    <w:p w14:paraId="6D73805D" w14:textId="77777777" w:rsidR="00B31921" w:rsidRDefault="00000000">
      <w:pPr>
        <w:ind w:firstLine="240"/>
        <w:jc w:val="both"/>
        <w:rPr>
          <w:sz w:val="24"/>
          <w:szCs w:val="24"/>
        </w:rPr>
      </w:pPr>
      <w:r>
        <w:rPr>
          <w:sz w:val="24"/>
          <w:szCs w:val="24"/>
        </w:rPr>
        <w:t>The specific variables selected as model inputs for this project are enumerated in the Appendix.</w:t>
      </w:r>
    </w:p>
    <w:p w14:paraId="0310552B" w14:textId="77777777" w:rsidR="00B31921" w:rsidRDefault="00B31921">
      <w:pPr>
        <w:jc w:val="both"/>
        <w:rPr>
          <w:b/>
          <w:sz w:val="24"/>
          <w:szCs w:val="24"/>
          <w:highlight w:val="yellow"/>
        </w:rPr>
      </w:pPr>
    </w:p>
    <w:p w14:paraId="249FFCF5" w14:textId="77777777" w:rsidR="00B31921" w:rsidRDefault="00000000">
      <w:pPr>
        <w:jc w:val="both"/>
        <w:rPr>
          <w:sz w:val="24"/>
          <w:szCs w:val="24"/>
        </w:rPr>
      </w:pPr>
      <w:r>
        <w:rPr>
          <w:b/>
          <w:sz w:val="24"/>
          <w:szCs w:val="24"/>
        </w:rPr>
        <w:t>2.3 Empirical Studies Results in Financial Performance Prediction</w:t>
      </w:r>
    </w:p>
    <w:p w14:paraId="28B80E89" w14:textId="2E8FEF25" w:rsidR="00B31921" w:rsidRDefault="00000000">
      <w:pPr>
        <w:spacing w:before="240" w:after="240"/>
        <w:jc w:val="both"/>
        <w:rPr>
          <w:sz w:val="24"/>
          <w:szCs w:val="24"/>
        </w:rPr>
      </w:pPr>
      <w:r>
        <w:rPr>
          <w:sz w:val="24"/>
          <w:szCs w:val="24"/>
        </w:rPr>
        <w:t xml:space="preserve">Table 1 summarizes key findings from two academic studies: </w:t>
      </w:r>
      <w:r>
        <w:rPr>
          <w:i/>
          <w:sz w:val="24"/>
          <w:szCs w:val="24"/>
        </w:rPr>
        <w:t>“A Contrastive Study of Machine Learning on Energy Firm Value Prediction”</w:t>
      </w:r>
      <w:r>
        <w:rPr>
          <w:sz w:val="24"/>
          <w:szCs w:val="24"/>
        </w:rPr>
        <w:t xml:space="preserve"> by Zhang et al. (2020)</w:t>
      </w:r>
      <w:r w:rsidR="00831AF2">
        <w:rPr>
          <w:rFonts w:hint="eastAsia"/>
          <w:sz w:val="24"/>
          <w:szCs w:val="24"/>
        </w:rPr>
        <w:t>[10]</w:t>
      </w:r>
      <w:r>
        <w:rPr>
          <w:sz w:val="24"/>
          <w:szCs w:val="24"/>
        </w:rPr>
        <w:t xml:space="preserve"> and </w:t>
      </w:r>
      <w:r>
        <w:rPr>
          <w:i/>
          <w:sz w:val="24"/>
          <w:szCs w:val="24"/>
        </w:rPr>
        <w:t>“Composite financial performance index prediction – A neural networks approach”</w:t>
      </w:r>
      <w:r>
        <w:rPr>
          <w:sz w:val="24"/>
          <w:szCs w:val="24"/>
        </w:rPr>
        <w:t xml:space="preserve"> by Popa et al. (2021)</w:t>
      </w:r>
      <w:r w:rsidR="00831AF2">
        <w:rPr>
          <w:rFonts w:hint="eastAsia"/>
          <w:sz w:val="24"/>
          <w:szCs w:val="24"/>
        </w:rPr>
        <w:t>[11]</w:t>
      </w:r>
      <w:r>
        <w:rPr>
          <w:sz w:val="24"/>
          <w:szCs w:val="24"/>
        </w:rPr>
        <w:t>.</w:t>
      </w:r>
    </w:p>
    <w:p w14:paraId="38126BD8" w14:textId="77777777" w:rsidR="00B31921" w:rsidRDefault="00000000">
      <w:pPr>
        <w:spacing w:before="240" w:after="240"/>
        <w:jc w:val="both"/>
        <w:rPr>
          <w:sz w:val="24"/>
          <w:szCs w:val="24"/>
        </w:rPr>
      </w:pPr>
      <w:r>
        <w:rPr>
          <w:sz w:val="24"/>
          <w:szCs w:val="24"/>
        </w:rPr>
        <w:t>Zhang et al. (2020) compared six machine learning methods—K-Nearest Neighbors (KNN), Decision Trees (DT), Support Vector Regression (SVR), Artificial Neural Networks (ANN), AdaBoost, and Random Forest (RF)—for predicting energy firm values, focusing on oil and power sectors. The best-performing method, performance metric (MAPE), and key predictive features based on empirical importance or theoretical relevance are highlighted.</w:t>
      </w:r>
    </w:p>
    <w:p w14:paraId="35C021A6" w14:textId="77777777" w:rsidR="00B31921" w:rsidRDefault="00000000">
      <w:pPr>
        <w:spacing w:before="240" w:after="240"/>
        <w:jc w:val="both"/>
        <w:rPr>
          <w:sz w:val="24"/>
          <w:szCs w:val="24"/>
        </w:rPr>
      </w:pPr>
      <w:r>
        <w:rPr>
          <w:sz w:val="24"/>
          <w:szCs w:val="24"/>
        </w:rPr>
        <w:t>Popa et al. (2021) proposed a neural network-based approach utilizing Principal Component Analysis (PCA) to create a composite financial performance index. Their study combined traditional accounting and value-added indicators for Romanian-listed companies (2011–2018), testing both feed-forward and recurrent neural networks to evaluate prediction accuracy based on historical financial data.</w:t>
      </w:r>
    </w:p>
    <w:p w14:paraId="26D7B187" w14:textId="77777777" w:rsidR="00B31921" w:rsidRDefault="00000000">
      <w:pPr>
        <w:jc w:val="center"/>
        <w:rPr>
          <w:sz w:val="24"/>
          <w:szCs w:val="24"/>
        </w:rPr>
      </w:pPr>
      <w:r>
        <w:rPr>
          <w:b/>
          <w:sz w:val="24"/>
          <w:szCs w:val="24"/>
        </w:rPr>
        <w:t>Table 1.</w:t>
      </w:r>
      <w:r>
        <w:rPr>
          <w:sz w:val="24"/>
          <w:szCs w:val="24"/>
        </w:rPr>
        <w:t xml:space="preserve"> Key Finding of Two Academic Papers</w:t>
      </w:r>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3690"/>
        <w:gridCol w:w="3885"/>
      </w:tblGrid>
      <w:tr w:rsidR="00B31921" w14:paraId="1F219E3C" w14:textId="77777777">
        <w:tc>
          <w:tcPr>
            <w:tcW w:w="1770" w:type="dxa"/>
            <w:shd w:val="clear" w:color="auto" w:fill="auto"/>
            <w:tcMar>
              <w:top w:w="100" w:type="dxa"/>
              <w:left w:w="100" w:type="dxa"/>
              <w:bottom w:w="100" w:type="dxa"/>
              <w:right w:w="100" w:type="dxa"/>
            </w:tcMar>
          </w:tcPr>
          <w:p w14:paraId="3BC241D0" w14:textId="77777777" w:rsidR="00B31921" w:rsidRDefault="00000000">
            <w:pPr>
              <w:widowControl w:val="0"/>
              <w:pBdr>
                <w:top w:val="nil"/>
                <w:left w:val="nil"/>
                <w:bottom w:val="nil"/>
                <w:right w:val="nil"/>
                <w:between w:val="nil"/>
              </w:pBdr>
              <w:rPr>
                <w:b/>
                <w:sz w:val="24"/>
                <w:szCs w:val="24"/>
              </w:rPr>
            </w:pPr>
            <w:r>
              <w:rPr>
                <w:b/>
                <w:sz w:val="24"/>
                <w:szCs w:val="24"/>
              </w:rPr>
              <w:t>Aspects</w:t>
            </w:r>
          </w:p>
        </w:tc>
        <w:tc>
          <w:tcPr>
            <w:tcW w:w="3690" w:type="dxa"/>
            <w:shd w:val="clear" w:color="auto" w:fill="auto"/>
            <w:tcMar>
              <w:top w:w="100" w:type="dxa"/>
              <w:left w:w="100" w:type="dxa"/>
              <w:bottom w:w="100" w:type="dxa"/>
              <w:right w:w="100" w:type="dxa"/>
            </w:tcMar>
          </w:tcPr>
          <w:p w14:paraId="2663A420" w14:textId="77777777" w:rsidR="00B31921" w:rsidRDefault="00000000">
            <w:pPr>
              <w:widowControl w:val="0"/>
              <w:pBdr>
                <w:top w:val="nil"/>
                <w:left w:val="nil"/>
                <w:bottom w:val="nil"/>
                <w:right w:val="nil"/>
                <w:between w:val="nil"/>
              </w:pBdr>
              <w:rPr>
                <w:b/>
                <w:sz w:val="24"/>
                <w:szCs w:val="24"/>
              </w:rPr>
            </w:pPr>
            <w:r>
              <w:rPr>
                <w:b/>
                <w:sz w:val="24"/>
                <w:szCs w:val="24"/>
              </w:rPr>
              <w:t xml:space="preserve">Zhang et al. (2020) </w:t>
            </w:r>
            <w:r>
              <w:rPr>
                <w:b/>
                <w:i/>
                <w:sz w:val="24"/>
                <w:szCs w:val="24"/>
              </w:rPr>
              <w:t>–</w:t>
            </w:r>
            <w:r>
              <w:rPr>
                <w:b/>
                <w:sz w:val="24"/>
                <w:szCs w:val="24"/>
              </w:rPr>
              <w:t xml:space="preserve"> “</w:t>
            </w:r>
            <w:r>
              <w:rPr>
                <w:b/>
                <w:i/>
                <w:sz w:val="24"/>
                <w:szCs w:val="24"/>
              </w:rPr>
              <w:t xml:space="preserve">A Contrastive Study of Machine Learning on Energy Firm Value Prediction” </w:t>
            </w:r>
            <w:r>
              <w:rPr>
                <w:b/>
                <w:sz w:val="24"/>
                <w:szCs w:val="24"/>
              </w:rPr>
              <w:t>paper</w:t>
            </w:r>
          </w:p>
        </w:tc>
        <w:tc>
          <w:tcPr>
            <w:tcW w:w="3885" w:type="dxa"/>
            <w:shd w:val="clear" w:color="auto" w:fill="auto"/>
            <w:tcMar>
              <w:top w:w="100" w:type="dxa"/>
              <w:left w:w="100" w:type="dxa"/>
              <w:bottom w:w="100" w:type="dxa"/>
              <w:right w:w="100" w:type="dxa"/>
            </w:tcMar>
          </w:tcPr>
          <w:p w14:paraId="579C381D" w14:textId="77777777" w:rsidR="00B31921" w:rsidRDefault="00000000">
            <w:pPr>
              <w:widowControl w:val="0"/>
              <w:pBdr>
                <w:top w:val="nil"/>
                <w:left w:val="nil"/>
                <w:bottom w:val="nil"/>
                <w:right w:val="nil"/>
                <w:between w:val="nil"/>
              </w:pBdr>
              <w:rPr>
                <w:b/>
                <w:sz w:val="24"/>
                <w:szCs w:val="24"/>
              </w:rPr>
            </w:pPr>
            <w:r>
              <w:rPr>
                <w:b/>
                <w:sz w:val="24"/>
                <w:szCs w:val="24"/>
              </w:rPr>
              <w:t xml:space="preserve">Popa et al. (2021) </w:t>
            </w:r>
            <w:r>
              <w:rPr>
                <w:b/>
                <w:i/>
                <w:sz w:val="24"/>
                <w:szCs w:val="24"/>
              </w:rPr>
              <w:t>–</w:t>
            </w:r>
            <w:r>
              <w:rPr>
                <w:b/>
                <w:sz w:val="24"/>
                <w:szCs w:val="24"/>
              </w:rPr>
              <w:t xml:space="preserve"> Details from “</w:t>
            </w:r>
            <w:r>
              <w:rPr>
                <w:b/>
                <w:i/>
                <w:sz w:val="24"/>
                <w:szCs w:val="24"/>
              </w:rPr>
              <w:t xml:space="preserve">Composite financial performance index prediction – A neural networks approach” </w:t>
            </w:r>
            <w:r>
              <w:rPr>
                <w:b/>
                <w:sz w:val="24"/>
                <w:szCs w:val="24"/>
              </w:rPr>
              <w:t>paper</w:t>
            </w:r>
          </w:p>
        </w:tc>
      </w:tr>
      <w:tr w:rsidR="00B31921" w14:paraId="61E1D7DB" w14:textId="77777777">
        <w:tc>
          <w:tcPr>
            <w:tcW w:w="1770" w:type="dxa"/>
            <w:shd w:val="clear" w:color="auto" w:fill="auto"/>
            <w:tcMar>
              <w:top w:w="100" w:type="dxa"/>
              <w:left w:w="100" w:type="dxa"/>
              <w:bottom w:w="100" w:type="dxa"/>
              <w:right w:w="100" w:type="dxa"/>
            </w:tcMar>
          </w:tcPr>
          <w:p w14:paraId="67C01446" w14:textId="77777777" w:rsidR="00B31921" w:rsidRDefault="00000000">
            <w:pPr>
              <w:widowControl w:val="0"/>
              <w:pBdr>
                <w:top w:val="nil"/>
                <w:left w:val="nil"/>
                <w:bottom w:val="nil"/>
                <w:right w:val="nil"/>
                <w:between w:val="nil"/>
              </w:pBdr>
              <w:rPr>
                <w:b/>
                <w:sz w:val="24"/>
                <w:szCs w:val="24"/>
              </w:rPr>
            </w:pPr>
            <w:r>
              <w:rPr>
                <w:b/>
                <w:sz w:val="24"/>
                <w:szCs w:val="24"/>
              </w:rPr>
              <w:t>Research context</w:t>
            </w:r>
          </w:p>
        </w:tc>
        <w:tc>
          <w:tcPr>
            <w:tcW w:w="3690" w:type="dxa"/>
            <w:shd w:val="clear" w:color="auto" w:fill="auto"/>
            <w:tcMar>
              <w:top w:w="100" w:type="dxa"/>
              <w:left w:w="100" w:type="dxa"/>
              <w:bottom w:w="100" w:type="dxa"/>
              <w:right w:w="100" w:type="dxa"/>
            </w:tcMar>
          </w:tcPr>
          <w:p w14:paraId="4ED6AF46" w14:textId="77777777" w:rsidR="00B31921" w:rsidRDefault="00000000">
            <w:pPr>
              <w:widowControl w:val="0"/>
              <w:pBdr>
                <w:top w:val="nil"/>
                <w:left w:val="nil"/>
                <w:bottom w:val="nil"/>
                <w:right w:val="nil"/>
                <w:between w:val="nil"/>
              </w:pBdr>
              <w:rPr>
                <w:sz w:val="24"/>
                <w:szCs w:val="24"/>
              </w:rPr>
            </w:pPr>
            <w:r>
              <w:rPr>
                <w:sz w:val="24"/>
                <w:szCs w:val="24"/>
              </w:rPr>
              <w:t>Predicting energy firm value specifically in Oil and Power industries.</w:t>
            </w:r>
          </w:p>
        </w:tc>
        <w:tc>
          <w:tcPr>
            <w:tcW w:w="3885" w:type="dxa"/>
            <w:shd w:val="clear" w:color="auto" w:fill="auto"/>
            <w:tcMar>
              <w:top w:w="100" w:type="dxa"/>
              <w:left w:w="100" w:type="dxa"/>
              <w:bottom w:w="100" w:type="dxa"/>
              <w:right w:w="100" w:type="dxa"/>
            </w:tcMar>
          </w:tcPr>
          <w:p w14:paraId="1D0EF536" w14:textId="77777777" w:rsidR="00B31921" w:rsidRDefault="00000000">
            <w:pPr>
              <w:widowControl w:val="0"/>
              <w:pBdr>
                <w:top w:val="nil"/>
                <w:left w:val="nil"/>
                <w:bottom w:val="nil"/>
                <w:right w:val="nil"/>
                <w:between w:val="nil"/>
              </w:pBdr>
              <w:rPr>
                <w:sz w:val="24"/>
                <w:szCs w:val="24"/>
              </w:rPr>
            </w:pPr>
            <w:r>
              <w:rPr>
                <w:sz w:val="24"/>
                <w:szCs w:val="24"/>
              </w:rPr>
              <w:t>Predicting a composite financial performance index for Romanian listed companies.</w:t>
            </w:r>
          </w:p>
        </w:tc>
      </w:tr>
      <w:tr w:rsidR="00B31921" w14:paraId="426DAB39" w14:textId="77777777">
        <w:tc>
          <w:tcPr>
            <w:tcW w:w="1770" w:type="dxa"/>
            <w:shd w:val="clear" w:color="auto" w:fill="auto"/>
            <w:tcMar>
              <w:top w:w="100" w:type="dxa"/>
              <w:left w:w="100" w:type="dxa"/>
              <w:bottom w:w="100" w:type="dxa"/>
              <w:right w:w="100" w:type="dxa"/>
            </w:tcMar>
          </w:tcPr>
          <w:p w14:paraId="3022D216" w14:textId="77777777" w:rsidR="00B31921" w:rsidRDefault="00000000">
            <w:pPr>
              <w:widowControl w:val="0"/>
              <w:pBdr>
                <w:top w:val="nil"/>
                <w:left w:val="nil"/>
                <w:bottom w:val="nil"/>
                <w:right w:val="nil"/>
                <w:between w:val="nil"/>
              </w:pBdr>
              <w:rPr>
                <w:b/>
                <w:sz w:val="24"/>
                <w:szCs w:val="24"/>
              </w:rPr>
            </w:pPr>
            <w:r>
              <w:rPr>
                <w:b/>
                <w:sz w:val="24"/>
                <w:szCs w:val="24"/>
              </w:rPr>
              <w:t>Methodology</w:t>
            </w:r>
          </w:p>
        </w:tc>
        <w:tc>
          <w:tcPr>
            <w:tcW w:w="3690" w:type="dxa"/>
            <w:shd w:val="clear" w:color="auto" w:fill="auto"/>
            <w:tcMar>
              <w:top w:w="100" w:type="dxa"/>
              <w:left w:w="100" w:type="dxa"/>
              <w:bottom w:w="100" w:type="dxa"/>
              <w:right w:w="100" w:type="dxa"/>
            </w:tcMar>
          </w:tcPr>
          <w:p w14:paraId="42E2748D" w14:textId="77777777" w:rsidR="00B31921" w:rsidRDefault="00000000">
            <w:pPr>
              <w:widowControl w:val="0"/>
              <w:pBdr>
                <w:top w:val="nil"/>
                <w:left w:val="nil"/>
                <w:bottom w:val="nil"/>
                <w:right w:val="nil"/>
                <w:between w:val="nil"/>
              </w:pBdr>
              <w:rPr>
                <w:sz w:val="24"/>
                <w:szCs w:val="24"/>
              </w:rPr>
            </w:pPr>
            <w:r>
              <w:rPr>
                <w:sz w:val="24"/>
                <w:szCs w:val="24"/>
              </w:rPr>
              <w:t xml:space="preserve">Compared multiple ML methods: ANN, RF, SVR, KNN, Decision </w:t>
            </w:r>
            <w:r>
              <w:rPr>
                <w:sz w:val="24"/>
                <w:szCs w:val="24"/>
              </w:rPr>
              <w:lastRenderedPageBreak/>
              <w:t>Trees, and AdaBoost.</w:t>
            </w:r>
          </w:p>
        </w:tc>
        <w:tc>
          <w:tcPr>
            <w:tcW w:w="3885" w:type="dxa"/>
            <w:shd w:val="clear" w:color="auto" w:fill="auto"/>
            <w:tcMar>
              <w:top w:w="100" w:type="dxa"/>
              <w:left w:w="100" w:type="dxa"/>
              <w:bottom w:w="100" w:type="dxa"/>
              <w:right w:w="100" w:type="dxa"/>
            </w:tcMar>
          </w:tcPr>
          <w:p w14:paraId="049E27E8" w14:textId="77777777" w:rsidR="00B31921" w:rsidRDefault="00000000">
            <w:pPr>
              <w:widowControl w:val="0"/>
              <w:pBdr>
                <w:top w:val="nil"/>
                <w:left w:val="nil"/>
                <w:bottom w:val="nil"/>
                <w:right w:val="nil"/>
                <w:between w:val="nil"/>
              </w:pBdr>
              <w:rPr>
                <w:sz w:val="24"/>
                <w:szCs w:val="24"/>
              </w:rPr>
            </w:pPr>
            <w:r>
              <w:rPr>
                <w:sz w:val="24"/>
                <w:szCs w:val="24"/>
              </w:rPr>
              <w:lastRenderedPageBreak/>
              <w:t xml:space="preserve">Developed and compared Feed-forward NN and RNN (LSTM) </w:t>
            </w:r>
            <w:r>
              <w:rPr>
                <w:sz w:val="24"/>
                <w:szCs w:val="24"/>
              </w:rPr>
              <w:lastRenderedPageBreak/>
              <w:t>methods. Utilized Principal Common Analysis (PCA) to construct a composite index.</w:t>
            </w:r>
          </w:p>
        </w:tc>
      </w:tr>
      <w:tr w:rsidR="00B31921" w14:paraId="4E914DC7" w14:textId="77777777">
        <w:tc>
          <w:tcPr>
            <w:tcW w:w="1770" w:type="dxa"/>
            <w:shd w:val="clear" w:color="auto" w:fill="auto"/>
            <w:tcMar>
              <w:top w:w="100" w:type="dxa"/>
              <w:left w:w="100" w:type="dxa"/>
              <w:bottom w:w="100" w:type="dxa"/>
              <w:right w:w="100" w:type="dxa"/>
            </w:tcMar>
          </w:tcPr>
          <w:p w14:paraId="044E8F8A" w14:textId="77777777" w:rsidR="00B31921" w:rsidRDefault="00000000">
            <w:pPr>
              <w:widowControl w:val="0"/>
              <w:pBdr>
                <w:top w:val="nil"/>
                <w:left w:val="nil"/>
                <w:bottom w:val="nil"/>
                <w:right w:val="nil"/>
                <w:between w:val="nil"/>
              </w:pBdr>
              <w:rPr>
                <w:b/>
                <w:sz w:val="24"/>
                <w:szCs w:val="24"/>
              </w:rPr>
            </w:pPr>
            <w:r>
              <w:rPr>
                <w:b/>
                <w:sz w:val="24"/>
                <w:szCs w:val="24"/>
              </w:rPr>
              <w:lastRenderedPageBreak/>
              <w:t>Best method</w:t>
            </w:r>
          </w:p>
        </w:tc>
        <w:tc>
          <w:tcPr>
            <w:tcW w:w="3690" w:type="dxa"/>
            <w:shd w:val="clear" w:color="auto" w:fill="auto"/>
            <w:tcMar>
              <w:top w:w="100" w:type="dxa"/>
              <w:left w:w="100" w:type="dxa"/>
              <w:bottom w:w="100" w:type="dxa"/>
              <w:right w:w="100" w:type="dxa"/>
            </w:tcMar>
          </w:tcPr>
          <w:p w14:paraId="54E54ED7" w14:textId="77777777" w:rsidR="00B31921" w:rsidRDefault="00000000">
            <w:pPr>
              <w:widowControl w:val="0"/>
              <w:pBdr>
                <w:top w:val="nil"/>
                <w:left w:val="nil"/>
                <w:bottom w:val="nil"/>
                <w:right w:val="nil"/>
                <w:between w:val="nil"/>
              </w:pBdr>
              <w:rPr>
                <w:sz w:val="24"/>
                <w:szCs w:val="24"/>
              </w:rPr>
            </w:pPr>
            <w:r>
              <w:rPr>
                <w:sz w:val="24"/>
                <w:szCs w:val="24"/>
              </w:rPr>
              <w:t>Artificial Neural Network (ANN)</w:t>
            </w:r>
          </w:p>
        </w:tc>
        <w:tc>
          <w:tcPr>
            <w:tcW w:w="3885" w:type="dxa"/>
            <w:shd w:val="clear" w:color="auto" w:fill="auto"/>
            <w:tcMar>
              <w:top w:w="100" w:type="dxa"/>
              <w:left w:w="100" w:type="dxa"/>
              <w:bottom w:w="100" w:type="dxa"/>
              <w:right w:w="100" w:type="dxa"/>
            </w:tcMar>
          </w:tcPr>
          <w:p w14:paraId="7C0E604C" w14:textId="77777777" w:rsidR="00B31921" w:rsidRDefault="00000000">
            <w:pPr>
              <w:widowControl w:val="0"/>
              <w:pBdr>
                <w:top w:val="nil"/>
                <w:left w:val="nil"/>
                <w:bottom w:val="nil"/>
                <w:right w:val="nil"/>
                <w:between w:val="nil"/>
              </w:pBdr>
              <w:rPr>
                <w:sz w:val="24"/>
                <w:szCs w:val="24"/>
              </w:rPr>
            </w:pPr>
            <w:r>
              <w:rPr>
                <w:sz w:val="24"/>
                <w:szCs w:val="24"/>
              </w:rPr>
              <w:t>Recurrent Neural Network (RNN), specifically LongShort-Term Memory (LSTM) Sequence-to-Sequence model.</w:t>
            </w:r>
          </w:p>
        </w:tc>
      </w:tr>
      <w:tr w:rsidR="00B31921" w14:paraId="4C253F20" w14:textId="77777777">
        <w:tc>
          <w:tcPr>
            <w:tcW w:w="1770" w:type="dxa"/>
            <w:shd w:val="clear" w:color="auto" w:fill="auto"/>
            <w:tcMar>
              <w:top w:w="100" w:type="dxa"/>
              <w:left w:w="100" w:type="dxa"/>
              <w:bottom w:w="100" w:type="dxa"/>
              <w:right w:w="100" w:type="dxa"/>
            </w:tcMar>
          </w:tcPr>
          <w:p w14:paraId="3761A309" w14:textId="77777777" w:rsidR="00B31921" w:rsidRDefault="00000000">
            <w:pPr>
              <w:widowControl w:val="0"/>
              <w:pBdr>
                <w:top w:val="nil"/>
                <w:left w:val="nil"/>
                <w:bottom w:val="nil"/>
                <w:right w:val="nil"/>
                <w:between w:val="nil"/>
              </w:pBdr>
              <w:rPr>
                <w:b/>
                <w:sz w:val="24"/>
                <w:szCs w:val="24"/>
              </w:rPr>
            </w:pPr>
            <w:r>
              <w:rPr>
                <w:b/>
                <w:sz w:val="24"/>
                <w:szCs w:val="24"/>
              </w:rPr>
              <w:t>Performance metric and values</w:t>
            </w:r>
          </w:p>
        </w:tc>
        <w:tc>
          <w:tcPr>
            <w:tcW w:w="3690" w:type="dxa"/>
            <w:shd w:val="clear" w:color="auto" w:fill="auto"/>
            <w:tcMar>
              <w:top w:w="100" w:type="dxa"/>
              <w:left w:w="100" w:type="dxa"/>
              <w:bottom w:w="100" w:type="dxa"/>
              <w:right w:w="100" w:type="dxa"/>
            </w:tcMar>
          </w:tcPr>
          <w:p w14:paraId="37B85EA5" w14:textId="28281D28" w:rsidR="00B31921" w:rsidRDefault="00000000">
            <w:pPr>
              <w:widowControl w:val="0"/>
              <w:rPr>
                <w:rFonts w:hint="eastAsia"/>
                <w:sz w:val="24"/>
                <w:szCs w:val="24"/>
              </w:rPr>
            </w:pPr>
            <w:r>
              <w:rPr>
                <w:sz w:val="24"/>
                <w:szCs w:val="24"/>
              </w:rPr>
              <w:t>- Oil: ANN MAPE* = 5.15%</w:t>
            </w:r>
            <w:r w:rsidR="00831AF2">
              <w:rPr>
                <w:rFonts w:hint="eastAsia"/>
                <w:sz w:val="24"/>
                <w:szCs w:val="24"/>
              </w:rPr>
              <w:t>.</w:t>
            </w:r>
          </w:p>
          <w:p w14:paraId="3713B9A2" w14:textId="77777777" w:rsidR="00B31921" w:rsidRDefault="00000000">
            <w:pPr>
              <w:widowControl w:val="0"/>
              <w:pBdr>
                <w:top w:val="nil"/>
                <w:left w:val="nil"/>
                <w:bottom w:val="nil"/>
                <w:right w:val="nil"/>
                <w:between w:val="nil"/>
              </w:pBdr>
              <w:rPr>
                <w:sz w:val="24"/>
                <w:szCs w:val="24"/>
              </w:rPr>
            </w:pPr>
            <w:r>
              <w:rPr>
                <w:sz w:val="24"/>
                <w:szCs w:val="24"/>
              </w:rPr>
              <w:t>- Power: ANN MAPE = 8.64%.</w:t>
            </w:r>
          </w:p>
        </w:tc>
        <w:tc>
          <w:tcPr>
            <w:tcW w:w="3885" w:type="dxa"/>
            <w:shd w:val="clear" w:color="auto" w:fill="auto"/>
            <w:tcMar>
              <w:top w:w="100" w:type="dxa"/>
              <w:left w:w="100" w:type="dxa"/>
              <w:bottom w:w="100" w:type="dxa"/>
              <w:right w:w="100" w:type="dxa"/>
            </w:tcMar>
          </w:tcPr>
          <w:p w14:paraId="0AC53F97" w14:textId="77777777" w:rsidR="00B31921" w:rsidRDefault="00000000">
            <w:pPr>
              <w:widowControl w:val="0"/>
              <w:rPr>
                <w:sz w:val="24"/>
                <w:szCs w:val="24"/>
              </w:rPr>
            </w:pPr>
            <w:r>
              <w:rPr>
                <w:sz w:val="24"/>
                <w:szCs w:val="24"/>
              </w:rPr>
              <w:t>RNN (LSTM) achieved MSE** (0.04 train, 0.09 test), MAE*** (0.15 train, 0.19 test).</w:t>
            </w:r>
          </w:p>
        </w:tc>
      </w:tr>
      <w:tr w:rsidR="00B31921" w14:paraId="02712C79" w14:textId="77777777">
        <w:tc>
          <w:tcPr>
            <w:tcW w:w="1770" w:type="dxa"/>
            <w:shd w:val="clear" w:color="auto" w:fill="auto"/>
            <w:tcMar>
              <w:top w:w="100" w:type="dxa"/>
              <w:left w:w="100" w:type="dxa"/>
              <w:bottom w:w="100" w:type="dxa"/>
              <w:right w:w="100" w:type="dxa"/>
            </w:tcMar>
          </w:tcPr>
          <w:p w14:paraId="4BF37C1A" w14:textId="77777777" w:rsidR="00B31921" w:rsidRDefault="00000000">
            <w:pPr>
              <w:widowControl w:val="0"/>
              <w:pBdr>
                <w:top w:val="nil"/>
                <w:left w:val="nil"/>
                <w:bottom w:val="nil"/>
                <w:right w:val="nil"/>
                <w:between w:val="nil"/>
              </w:pBdr>
              <w:rPr>
                <w:b/>
                <w:sz w:val="24"/>
                <w:szCs w:val="24"/>
              </w:rPr>
            </w:pPr>
            <w:r>
              <w:rPr>
                <w:b/>
                <w:sz w:val="24"/>
                <w:szCs w:val="24"/>
              </w:rPr>
              <w:t>Important features</w:t>
            </w:r>
          </w:p>
        </w:tc>
        <w:tc>
          <w:tcPr>
            <w:tcW w:w="3690" w:type="dxa"/>
            <w:shd w:val="clear" w:color="auto" w:fill="auto"/>
            <w:tcMar>
              <w:top w:w="100" w:type="dxa"/>
              <w:left w:w="100" w:type="dxa"/>
              <w:bottom w:w="100" w:type="dxa"/>
              <w:right w:w="100" w:type="dxa"/>
            </w:tcMar>
          </w:tcPr>
          <w:p w14:paraId="56ECC43D" w14:textId="77777777" w:rsidR="00B31921" w:rsidRDefault="00000000">
            <w:pPr>
              <w:widowControl w:val="0"/>
              <w:pBdr>
                <w:top w:val="nil"/>
                <w:left w:val="nil"/>
                <w:bottom w:val="nil"/>
                <w:right w:val="nil"/>
                <w:between w:val="nil"/>
              </w:pBdr>
              <w:rPr>
                <w:sz w:val="24"/>
                <w:szCs w:val="24"/>
              </w:rPr>
            </w:pPr>
            <w:r>
              <w:rPr>
                <w:sz w:val="24"/>
                <w:szCs w:val="24"/>
              </w:rPr>
              <w:t>Firm size, Asset turnover, EBIT, Net profit margin, ROA, ROE, Debt-to-asset ratio, Cash-to-debt, Firm growth, Acquisition type, Share % acquired.</w:t>
            </w:r>
          </w:p>
        </w:tc>
        <w:tc>
          <w:tcPr>
            <w:tcW w:w="3885" w:type="dxa"/>
            <w:shd w:val="clear" w:color="auto" w:fill="auto"/>
            <w:tcMar>
              <w:top w:w="100" w:type="dxa"/>
              <w:left w:w="100" w:type="dxa"/>
              <w:bottom w:w="100" w:type="dxa"/>
              <w:right w:w="100" w:type="dxa"/>
            </w:tcMar>
          </w:tcPr>
          <w:p w14:paraId="54314D59" w14:textId="77777777" w:rsidR="00B31921" w:rsidRDefault="00000000">
            <w:pPr>
              <w:widowControl w:val="0"/>
              <w:rPr>
                <w:sz w:val="24"/>
                <w:szCs w:val="24"/>
              </w:rPr>
            </w:pPr>
            <w:r>
              <w:rPr>
                <w:sz w:val="24"/>
                <w:szCs w:val="24"/>
              </w:rPr>
              <w:t>Cash Value Added (CVA), Market Value Added (MVA), ROA, EPS, Economic Value Added (EVA), Solvency (SOL), Cash Flow Return on Investment (CFROI), ROE (identified through PCA).</w:t>
            </w:r>
          </w:p>
        </w:tc>
      </w:tr>
    </w:tbl>
    <w:p w14:paraId="4AC3C8F7" w14:textId="77777777" w:rsidR="00B31921" w:rsidRDefault="00000000">
      <w:pPr>
        <w:jc w:val="both"/>
        <w:rPr>
          <w:i/>
          <w:sz w:val="18"/>
          <w:szCs w:val="18"/>
        </w:rPr>
      </w:pPr>
      <w:r>
        <w:rPr>
          <w:i/>
          <w:sz w:val="18"/>
          <w:szCs w:val="18"/>
        </w:rPr>
        <w:t>* Mean Absolute Percentage Error</w:t>
      </w:r>
    </w:p>
    <w:p w14:paraId="54018F9C" w14:textId="77777777" w:rsidR="00B31921" w:rsidRDefault="00000000">
      <w:pPr>
        <w:jc w:val="both"/>
        <w:rPr>
          <w:i/>
          <w:sz w:val="18"/>
          <w:szCs w:val="18"/>
        </w:rPr>
      </w:pPr>
      <w:r>
        <w:rPr>
          <w:i/>
          <w:sz w:val="18"/>
          <w:szCs w:val="18"/>
        </w:rPr>
        <w:t>** Mean Squared Error</w:t>
      </w:r>
    </w:p>
    <w:p w14:paraId="5AEF4962" w14:textId="77777777" w:rsidR="00B31921" w:rsidRDefault="00000000">
      <w:pPr>
        <w:jc w:val="both"/>
        <w:rPr>
          <w:i/>
          <w:sz w:val="18"/>
          <w:szCs w:val="18"/>
        </w:rPr>
      </w:pPr>
      <w:r>
        <w:rPr>
          <w:i/>
          <w:sz w:val="18"/>
          <w:szCs w:val="18"/>
        </w:rPr>
        <w:t>*** Mean Absolute Error</w:t>
      </w:r>
    </w:p>
    <w:p w14:paraId="28DF1C27" w14:textId="77777777" w:rsidR="00B31921" w:rsidRDefault="00000000">
      <w:pPr>
        <w:spacing w:before="240" w:after="240"/>
        <w:jc w:val="both"/>
        <w:rPr>
          <w:sz w:val="24"/>
          <w:szCs w:val="24"/>
        </w:rPr>
      </w:pPr>
      <w:r>
        <w:rPr>
          <w:sz w:val="24"/>
          <w:szCs w:val="24"/>
        </w:rPr>
        <w:t>Zhang et al. (2020) clearly demonstrated ANN's predictive effectiveness within homogeneous sectors, making it potentially suitable for real estate firms, which often share similar business models and financial indicators like asset turnover, debt levels, and profitability. However, the original model's specificity to energy firms necessitates adjustments to include real estate-specific variables such as occupancy rates, rental yields, and property valuations. Popa et al. (2021) illustrated the advantage of combining PCA and LSTM to capture historical trends and economic cycles, valuable for real estate forecasting. Still, PCA's interpretative complexity and limited sample scope require careful consideration of local market conditions and sector-specific metrics.</w:t>
      </w:r>
    </w:p>
    <w:p w14:paraId="1247DF0F" w14:textId="77777777" w:rsidR="00B31921" w:rsidRDefault="00000000">
      <w:pPr>
        <w:pStyle w:val="3"/>
        <w:spacing w:before="240" w:after="240"/>
        <w:jc w:val="both"/>
      </w:pPr>
      <w:bookmarkStart w:id="3" w:name="_pmixjojjnebd" w:colFirst="0" w:colLast="0"/>
      <w:bookmarkEnd w:id="3"/>
      <w:r>
        <w:rPr>
          <w:b/>
          <w:color w:val="1F1F1F"/>
          <w:sz w:val="24"/>
          <w:szCs w:val="24"/>
          <w:highlight w:val="white"/>
        </w:rPr>
        <w:t>Section III: Data Sources and Preprocessing</w:t>
      </w:r>
    </w:p>
    <w:p w14:paraId="6A450296" w14:textId="77777777" w:rsidR="00B31921" w:rsidRDefault="00000000">
      <w:pPr>
        <w:spacing w:before="240" w:after="240"/>
        <w:jc w:val="both"/>
        <w:rPr>
          <w:color w:val="1F1F1F"/>
          <w:sz w:val="24"/>
          <w:szCs w:val="24"/>
          <w:highlight w:val="white"/>
        </w:rPr>
      </w:pPr>
      <w:r>
        <w:rPr>
          <w:color w:val="1F1F1F"/>
          <w:sz w:val="24"/>
          <w:szCs w:val="24"/>
          <w:highlight w:val="white"/>
        </w:rPr>
        <w:t xml:space="preserve">Our primary dataset is </w:t>
      </w:r>
      <w:r>
        <w:rPr>
          <w:i/>
          <w:color w:val="1F1F1F"/>
          <w:sz w:val="24"/>
          <w:szCs w:val="24"/>
          <w:highlight w:val="white"/>
        </w:rPr>
        <w:t>Compustat Daily Updates - Fundamentals Quarterly.csv</w:t>
      </w:r>
      <w:r>
        <w:rPr>
          <w:color w:val="1F1F1F"/>
          <w:sz w:val="24"/>
          <w:szCs w:val="24"/>
          <w:highlight w:val="white"/>
        </w:rPr>
        <w:t>, containing essential financial data. During preprocessing, we focus exclusively on real estate companies identified through Standard Industrial Classification (SIC) codes. Additionally, we restrict the dataset to records from 2010 onward, as earlier data may carry biases due to lasting impacts from the 2008 financial crisis. The training dataset covers the period from 2010 to 2020, while data from 2021–2024 is reserved for model testing.</w:t>
      </w:r>
    </w:p>
    <w:p w14:paraId="748120E9" w14:textId="77777777" w:rsidR="00B31921" w:rsidRDefault="00000000">
      <w:pPr>
        <w:spacing w:before="240" w:after="240"/>
        <w:jc w:val="both"/>
        <w:rPr>
          <w:color w:val="1F1F1F"/>
          <w:sz w:val="24"/>
          <w:szCs w:val="24"/>
          <w:highlight w:val="white"/>
        </w:rPr>
      </w:pPr>
      <w:r>
        <w:rPr>
          <w:color w:val="1F1F1F"/>
          <w:sz w:val="24"/>
          <w:szCs w:val="24"/>
          <w:highlight w:val="white"/>
        </w:rPr>
        <w:lastRenderedPageBreak/>
        <w:t>For the target variable (Y), we focus on quarterly revenue and EBITDA. Since EBITDA is not directly available, we reconstruct it using the formula:</w:t>
      </w:r>
    </w:p>
    <w:p w14:paraId="18D8847B" w14:textId="77777777" w:rsidR="00B31921" w:rsidRDefault="00000000">
      <w:pPr>
        <w:spacing w:before="240" w:after="240"/>
        <w:ind w:left="720"/>
        <w:jc w:val="center"/>
        <w:rPr>
          <w:color w:val="1F1F1F"/>
          <w:sz w:val="24"/>
          <w:szCs w:val="24"/>
          <w:highlight w:val="white"/>
        </w:rPr>
      </w:pPr>
      <w:r>
        <w:rPr>
          <w:color w:val="1F1F1F"/>
          <w:sz w:val="24"/>
          <w:szCs w:val="24"/>
          <w:highlight w:val="white"/>
        </w:rPr>
        <w:t>EBITDA = Operating Income+Depreciation and Amortization</w:t>
      </w:r>
    </w:p>
    <w:p w14:paraId="455F23A5" w14:textId="77777777" w:rsidR="00B31921" w:rsidRDefault="00000000">
      <w:pPr>
        <w:spacing w:before="240" w:after="240"/>
        <w:jc w:val="both"/>
        <w:rPr>
          <w:color w:val="1F1F1F"/>
          <w:sz w:val="24"/>
          <w:szCs w:val="24"/>
          <w:highlight w:val="white"/>
        </w:rPr>
      </w:pPr>
      <w:r>
        <w:rPr>
          <w:color w:val="1F1F1F"/>
          <w:sz w:val="24"/>
          <w:szCs w:val="24"/>
          <w:highlight w:val="white"/>
        </w:rPr>
        <w:t>We exclude interest expense due to its unavailability in our dataset.</w:t>
      </w:r>
    </w:p>
    <w:p w14:paraId="6DE75D49" w14:textId="77777777" w:rsidR="00B31921" w:rsidRDefault="00000000">
      <w:pPr>
        <w:spacing w:before="240" w:after="240"/>
        <w:jc w:val="both"/>
        <w:rPr>
          <w:sz w:val="24"/>
          <w:szCs w:val="24"/>
          <w:highlight w:val="white"/>
        </w:rPr>
      </w:pPr>
      <w:r>
        <w:rPr>
          <w:color w:val="1F1F1F"/>
          <w:sz w:val="24"/>
          <w:szCs w:val="24"/>
          <w:highlight w:val="white"/>
        </w:rPr>
        <w:t>Feature selection for model inputs (X) is based on domain knowledge, where we include fundamental accounting variables an</w:t>
      </w:r>
      <w:r>
        <w:rPr>
          <w:sz w:val="24"/>
          <w:szCs w:val="24"/>
          <w:highlight w:val="white"/>
        </w:rPr>
        <w:t>d construct financial ratios relevant to real estate prediction. Details on selected features are outlined in Table 2 in Appendix.</w:t>
      </w:r>
    </w:p>
    <w:p w14:paraId="5FF2AC62" w14:textId="77777777" w:rsidR="00B31921" w:rsidRDefault="00000000">
      <w:pPr>
        <w:pStyle w:val="4"/>
        <w:keepNext w:val="0"/>
        <w:keepLines w:val="0"/>
        <w:jc w:val="both"/>
      </w:pPr>
      <w:bookmarkStart w:id="4" w:name="_xao3fm29xfpj" w:colFirst="0" w:colLast="0"/>
      <w:bookmarkEnd w:id="4"/>
      <w:r>
        <w:rPr>
          <w:b/>
          <w:color w:val="000000"/>
        </w:rPr>
        <w:t>Feature Construction Considerations</w:t>
      </w:r>
    </w:p>
    <w:p w14:paraId="7BCC16F8" w14:textId="77777777" w:rsidR="00B31921" w:rsidRDefault="00000000">
      <w:pPr>
        <w:spacing w:before="240" w:after="240"/>
        <w:jc w:val="both"/>
        <w:rPr>
          <w:color w:val="1F1F1F"/>
          <w:sz w:val="24"/>
          <w:szCs w:val="24"/>
          <w:highlight w:val="white"/>
        </w:rPr>
      </w:pPr>
      <w:r>
        <w:rPr>
          <w:color w:val="1F1F1F"/>
          <w:sz w:val="24"/>
          <w:szCs w:val="24"/>
          <w:highlight w:val="white"/>
        </w:rPr>
        <w:t>For certain features, we use a structured approach to improve consistency and interpretability. Instead of applying a simple moving average, we calculate average asset value by considering all previous quarters’ total assets within the same fiscal year. This ensures that the NI_to_Asset feature accurately reflects a company’s financial standing without being influenced by a rolling window that may span across different fiscal periods.</w:t>
      </w:r>
    </w:p>
    <w:p w14:paraId="5F9A3375" w14:textId="77777777" w:rsidR="00B31921" w:rsidRDefault="00000000">
      <w:pPr>
        <w:spacing w:before="240" w:after="240"/>
        <w:jc w:val="both"/>
        <w:rPr>
          <w:color w:val="1F1F1F"/>
          <w:sz w:val="24"/>
          <w:szCs w:val="24"/>
          <w:highlight w:val="white"/>
        </w:rPr>
      </w:pPr>
      <w:r>
        <w:rPr>
          <w:color w:val="1F1F1F"/>
          <w:sz w:val="24"/>
          <w:szCs w:val="24"/>
          <w:highlight w:val="white"/>
        </w:rPr>
        <w:t>For the Relative Strength Index (RSI) calculation, we first determine quarterly gains and losses based on the closing price recorded on the last day of the quarter. We then apply the same fiscal-year-aligned averaging approach as used for total assets to compute average gains and losses. This methodology improves the consistency and comparability of financial indicators, making them more relevant for forecasting.</w:t>
      </w:r>
    </w:p>
    <w:p w14:paraId="39B50A03" w14:textId="77777777" w:rsidR="00B31921" w:rsidRDefault="00000000">
      <w:pPr>
        <w:spacing w:before="240" w:after="240"/>
        <w:jc w:val="both"/>
        <w:rPr>
          <w:color w:val="1F1F1F"/>
          <w:sz w:val="24"/>
          <w:szCs w:val="24"/>
          <w:highlight w:val="white"/>
        </w:rPr>
      </w:pPr>
      <w:r>
        <w:rPr>
          <w:color w:val="1F1F1F"/>
          <w:sz w:val="24"/>
          <w:szCs w:val="24"/>
          <w:highlight w:val="white"/>
        </w:rPr>
        <w:t>To prevent information leakage, we differentiate the feature pools for revenue and EBITDA predictions. Certain variables that directly influence one target variable are excluded when predicting the other. For example, operating income is used as a feature for revenue prediction but not for EBITDA prediction, as it is already embedded within the EBITDA calculation.</w:t>
      </w:r>
    </w:p>
    <w:p w14:paraId="714DEE40" w14:textId="77777777" w:rsidR="00B31921" w:rsidRDefault="00000000">
      <w:pPr>
        <w:pStyle w:val="4"/>
        <w:keepNext w:val="0"/>
        <w:keepLines w:val="0"/>
        <w:jc w:val="both"/>
        <w:rPr>
          <w:b/>
          <w:color w:val="000000"/>
        </w:rPr>
      </w:pPr>
      <w:bookmarkStart w:id="5" w:name="_61734i735vys" w:colFirst="0" w:colLast="0"/>
      <w:bookmarkEnd w:id="5"/>
      <w:r>
        <w:rPr>
          <w:b/>
          <w:color w:val="000000"/>
        </w:rPr>
        <w:t>Additional Data Sources</w:t>
      </w:r>
    </w:p>
    <w:p w14:paraId="55BA134C" w14:textId="77777777" w:rsidR="00B31921" w:rsidRDefault="00000000">
      <w:pPr>
        <w:spacing w:before="240" w:after="240"/>
        <w:jc w:val="both"/>
        <w:rPr>
          <w:color w:val="1F1F1F"/>
          <w:sz w:val="24"/>
          <w:szCs w:val="24"/>
          <w:highlight w:val="white"/>
        </w:rPr>
      </w:pPr>
      <w:r>
        <w:rPr>
          <w:color w:val="1F1F1F"/>
          <w:sz w:val="24"/>
          <w:szCs w:val="24"/>
          <w:highlight w:val="white"/>
        </w:rPr>
        <w:t xml:space="preserve">Beyond financial and accounting data, we incorporate information from </w:t>
      </w:r>
      <w:r>
        <w:rPr>
          <w:i/>
          <w:color w:val="1F1F1F"/>
          <w:sz w:val="24"/>
          <w:szCs w:val="24"/>
          <w:highlight w:val="white"/>
        </w:rPr>
        <w:t>Compustat Daily Updates - Industry Specific Quarterly.csv</w:t>
      </w:r>
      <w:r>
        <w:rPr>
          <w:color w:val="1F1F1F"/>
          <w:sz w:val="24"/>
          <w:szCs w:val="24"/>
          <w:highlight w:val="white"/>
        </w:rPr>
        <w:t>. The data collection methodology is implemented in the accompanying Jupyter notebook file for full transparency and reproducibility. Instead of using all available features, we selectively include variables directly related to real estate performance, such as room revenue, expenses, homebuilding, and construction activity. Some features in the dataset have ambiguous names, making their relevance unclear. To avoid introducing noise, irrelevant correlations, or overfitting, we discard such variables.</w:t>
      </w:r>
    </w:p>
    <w:p w14:paraId="5E8322CC" w14:textId="77777777" w:rsidR="00B31921" w:rsidRDefault="00000000">
      <w:pPr>
        <w:spacing w:before="240" w:after="240"/>
        <w:jc w:val="both"/>
        <w:rPr>
          <w:color w:val="1F1F1F"/>
          <w:sz w:val="24"/>
          <w:szCs w:val="24"/>
          <w:highlight w:val="white"/>
        </w:rPr>
      </w:pPr>
      <w:r>
        <w:rPr>
          <w:color w:val="1F1F1F"/>
          <w:sz w:val="24"/>
          <w:szCs w:val="24"/>
          <w:highlight w:val="white"/>
        </w:rPr>
        <w:lastRenderedPageBreak/>
        <w:t>We explore text-based data sources, including Earnings Conference Call (ECC) transcripts and public news articles, which provide qualitative insights that enhance revenue and EBITDA prediction.</w:t>
      </w:r>
    </w:p>
    <w:p w14:paraId="67DAE44B" w14:textId="61B3EE81" w:rsidR="00B31921" w:rsidRDefault="00000000" w:rsidP="005149CA">
      <w:pPr>
        <w:numPr>
          <w:ilvl w:val="0"/>
          <w:numId w:val="1"/>
        </w:numPr>
        <w:spacing w:before="240"/>
        <w:rPr>
          <w:color w:val="1F1F1F"/>
          <w:sz w:val="24"/>
          <w:szCs w:val="24"/>
          <w:highlight w:val="white"/>
        </w:rPr>
      </w:pPr>
      <w:r>
        <w:rPr>
          <w:color w:val="1F1F1F"/>
          <w:sz w:val="24"/>
          <w:szCs w:val="24"/>
          <w:highlight w:val="white"/>
        </w:rPr>
        <w:t>ECC transcripts provide management insights into financial performance, growth strategies, and market conditions beyond numerical statements. Sentiment analysis evaluates executive confidence or uncertainty, while topic modeling identifies critical themes like cost-cutting or expansion plans. Incorporating linguistic features, tone analysis, and historical market reactions from ECC transcripts enhance forecasting accuracy.</w:t>
      </w:r>
      <w:r>
        <w:rPr>
          <w:color w:val="1F1F1F"/>
          <w:sz w:val="24"/>
          <w:szCs w:val="24"/>
          <w:highlight w:val="white"/>
        </w:rPr>
        <w:br/>
      </w:r>
    </w:p>
    <w:p w14:paraId="5374F892" w14:textId="77777777" w:rsidR="00B31921" w:rsidRDefault="00000000">
      <w:pPr>
        <w:numPr>
          <w:ilvl w:val="0"/>
          <w:numId w:val="1"/>
        </w:numPr>
        <w:spacing w:after="240"/>
        <w:jc w:val="both"/>
        <w:rPr>
          <w:color w:val="1F1F1F"/>
          <w:sz w:val="24"/>
          <w:szCs w:val="24"/>
          <w:highlight w:val="white"/>
        </w:rPr>
      </w:pPr>
      <w:r>
        <w:rPr>
          <w:color w:val="1F1F1F"/>
          <w:sz w:val="24"/>
          <w:szCs w:val="24"/>
          <w:highlight w:val="white"/>
        </w:rPr>
        <w:t>Public news articles capture real-time market sentiment, industry trends, and unforeseen events such as mergers, regulatory shifts, supply chain disruptions, and competitive pressures—all directly influencing revenue and EBITDA. Sentiment analysis assesses investor perceptions, while event-driven modeling quantifies financial impacts of key announcements. Integrating news data with financial metrics strengthens model robustness and responsiveness to market dynamics.</w:t>
      </w:r>
    </w:p>
    <w:p w14:paraId="4970E563" w14:textId="77777777" w:rsidR="00B31921" w:rsidRDefault="00000000">
      <w:pPr>
        <w:spacing w:before="240" w:after="240"/>
        <w:jc w:val="both"/>
        <w:rPr>
          <w:color w:val="1F1F1F"/>
          <w:sz w:val="24"/>
          <w:szCs w:val="24"/>
          <w:highlight w:val="white"/>
        </w:rPr>
      </w:pPr>
      <w:r>
        <w:rPr>
          <w:color w:val="1F1F1F"/>
          <w:sz w:val="24"/>
          <w:szCs w:val="24"/>
          <w:highlight w:val="white"/>
        </w:rPr>
        <w:t>We also incorporated geographical data from the NYC Department of Finance, including sale price, borough, neighborhood, land and gross square footage, building class, and sale date, all essential for real estate forecasting. Recent trends indicate a notable decline in prices for single-unit, two-to-four-unit properties, and condominiums over the past five years, ending a decade-long appreciation trend. Despite this downturn, New York City's real estate market remains resilient, historically recovering and continuing to offer diverse opportunities across boroughs and property types.</w:t>
      </w:r>
    </w:p>
    <w:p w14:paraId="0B1CD378" w14:textId="77777777" w:rsidR="00B31921" w:rsidRDefault="00000000">
      <w:pPr>
        <w:pStyle w:val="4"/>
        <w:keepNext w:val="0"/>
        <w:keepLines w:val="0"/>
        <w:jc w:val="both"/>
        <w:rPr>
          <w:b/>
          <w:color w:val="000000"/>
        </w:rPr>
      </w:pPr>
      <w:bookmarkStart w:id="6" w:name="_p6tye3abi7us" w:colFirst="0" w:colLast="0"/>
      <w:bookmarkEnd w:id="6"/>
      <w:r>
        <w:rPr>
          <w:b/>
          <w:color w:val="000000"/>
        </w:rPr>
        <w:t>Data Merging and Integration</w:t>
      </w:r>
    </w:p>
    <w:p w14:paraId="6BE96787" w14:textId="77777777" w:rsidR="00B31921" w:rsidRDefault="00000000">
      <w:pPr>
        <w:spacing w:before="240" w:after="240"/>
        <w:jc w:val="both"/>
        <w:rPr>
          <w:color w:val="1F1F1F"/>
          <w:sz w:val="24"/>
          <w:szCs w:val="24"/>
          <w:highlight w:val="white"/>
        </w:rPr>
      </w:pPr>
      <w:r>
        <w:rPr>
          <w:color w:val="1F1F1F"/>
          <w:sz w:val="24"/>
          <w:szCs w:val="24"/>
          <w:highlight w:val="white"/>
        </w:rPr>
        <w:t>Companies in our dataset are uniquely identified by CIK, CUSIP, or Ticker codes. We merge all datasets using these identifiers along with the quarterly date rather than the exact release date, as financial statements are published on different dates across companies.</w:t>
      </w:r>
    </w:p>
    <w:p w14:paraId="74358413" w14:textId="77777777" w:rsidR="00B31921" w:rsidRDefault="00000000">
      <w:pPr>
        <w:spacing w:before="240" w:after="240"/>
        <w:jc w:val="both"/>
        <w:rPr>
          <w:color w:val="1F1F1F"/>
          <w:sz w:val="24"/>
          <w:szCs w:val="24"/>
          <w:highlight w:val="white"/>
        </w:rPr>
      </w:pPr>
      <w:r>
        <w:rPr>
          <w:color w:val="1F1F1F"/>
          <w:sz w:val="24"/>
          <w:szCs w:val="24"/>
          <w:highlight w:val="white"/>
        </w:rPr>
        <w:t>However, textual data integration poses challenges since companies in the ECC and news dataset are identified using a proprietary company_id without a clear reference to other identifiers. Due to this limitation, we currently use the ECC sentiment analysis as a market-wide positive/negative signal rather than linking it directly to specific companies.</w:t>
      </w:r>
    </w:p>
    <w:p w14:paraId="4418CB9B" w14:textId="77777777" w:rsidR="00B31921" w:rsidRDefault="00000000">
      <w:pPr>
        <w:spacing w:before="240" w:after="240"/>
        <w:jc w:val="both"/>
        <w:rPr>
          <w:color w:val="1F1F1F"/>
          <w:sz w:val="24"/>
          <w:szCs w:val="24"/>
          <w:highlight w:val="white"/>
        </w:rPr>
      </w:pPr>
      <w:r>
        <w:rPr>
          <w:color w:val="1F1F1F"/>
          <w:sz w:val="24"/>
          <w:szCs w:val="24"/>
          <w:highlight w:val="white"/>
        </w:rPr>
        <w:t xml:space="preserve">For geographical data, while the dataset provides detailed location information, associating individual properties with real estate firms is complex. To maintain a macro-level perspective, we incorporate only the average home sale price per quarter rather </w:t>
      </w:r>
      <w:r>
        <w:rPr>
          <w:color w:val="1F1F1F"/>
          <w:sz w:val="24"/>
          <w:szCs w:val="24"/>
          <w:highlight w:val="white"/>
        </w:rPr>
        <w:lastRenderedPageBreak/>
        <w:t>than individual-level data. This ensures a high-level market trend representation without introducing excessive granularity.</w:t>
      </w:r>
    </w:p>
    <w:p w14:paraId="0647D925" w14:textId="77777777" w:rsidR="00B31921" w:rsidRDefault="00000000">
      <w:pPr>
        <w:spacing w:before="240" w:after="240"/>
        <w:jc w:val="both"/>
        <w:rPr>
          <w:color w:val="1F1F1F"/>
          <w:sz w:val="24"/>
          <w:szCs w:val="24"/>
          <w:highlight w:val="white"/>
        </w:rPr>
      </w:pPr>
      <w:r>
        <w:rPr>
          <w:color w:val="1F1F1F"/>
          <w:sz w:val="24"/>
          <w:szCs w:val="24"/>
          <w:highlight w:val="white"/>
        </w:rPr>
        <w:t>After merging datasets, we thoroughly cleaned the data to ensure quality before modeling. Infinite values were replaced with NA to avoid computational issues. Missing data was addressed by forward-filling valid observations, dropping columns with over 50% missing values, and removing rows with more than 10 missing entries. Duplicate records were eliminated, reducing the revenue dataset from 2,688 rows and 29 columns to 2,593 rows and 20 columns, and streamlining the EBITDA dataset from 2,405 rows and 28 columns to 2,414 rows and 19 columns. Finally, all training features were normalized to ensure comparability and balanced model influence.</w:t>
      </w:r>
    </w:p>
    <w:p w14:paraId="0D622022" w14:textId="0F8486C6" w:rsidR="00B31921" w:rsidRDefault="00000000">
      <w:pPr>
        <w:spacing w:before="240" w:after="240"/>
        <w:jc w:val="both"/>
        <w:rPr>
          <w:color w:val="1F1F1F"/>
          <w:sz w:val="24"/>
          <w:szCs w:val="24"/>
          <w:highlight w:val="white"/>
        </w:rPr>
      </w:pPr>
      <w:r>
        <w:rPr>
          <w:color w:val="1F1F1F"/>
          <w:sz w:val="24"/>
          <w:szCs w:val="24"/>
          <w:highlight w:val="white"/>
        </w:rPr>
        <w:t xml:space="preserve">By applying these structured preprocessing steps, we ensure that our dataset is clean, relevant, and optimized for accurate and efficient predictive modeling. The summary statistics of processed x variables before scaling </w:t>
      </w:r>
      <w:r w:rsidR="00831AF2">
        <w:rPr>
          <w:rFonts w:hint="eastAsia"/>
          <w:color w:val="1F1F1F"/>
          <w:sz w:val="24"/>
          <w:szCs w:val="24"/>
          <w:highlight w:val="white"/>
        </w:rPr>
        <w:t>are</w:t>
      </w:r>
      <w:r>
        <w:rPr>
          <w:color w:val="1F1F1F"/>
          <w:sz w:val="24"/>
          <w:szCs w:val="24"/>
          <w:highlight w:val="white"/>
        </w:rPr>
        <w:t xml:space="preserve"> tabulated in </w:t>
      </w:r>
      <w:r w:rsidR="00831AF2">
        <w:rPr>
          <w:rFonts w:hint="eastAsia"/>
          <w:color w:val="1F1F1F"/>
          <w:sz w:val="24"/>
          <w:szCs w:val="24"/>
          <w:highlight w:val="white"/>
        </w:rPr>
        <w:t xml:space="preserve">table 3 in </w:t>
      </w:r>
      <w:r>
        <w:rPr>
          <w:color w:val="1F1F1F"/>
          <w:sz w:val="24"/>
          <w:szCs w:val="24"/>
          <w:highlight w:val="white"/>
        </w:rPr>
        <w:t>the appendix.</w:t>
      </w:r>
    </w:p>
    <w:p w14:paraId="08777AF7" w14:textId="77777777" w:rsidR="00B31921" w:rsidRDefault="00000000">
      <w:pPr>
        <w:pStyle w:val="3"/>
        <w:spacing w:before="240" w:after="240"/>
        <w:rPr>
          <w:sz w:val="24"/>
          <w:szCs w:val="24"/>
        </w:rPr>
      </w:pPr>
      <w:bookmarkStart w:id="7" w:name="_qxg8bxl7v9li" w:colFirst="0" w:colLast="0"/>
      <w:bookmarkEnd w:id="7"/>
      <w:r>
        <w:rPr>
          <w:b/>
          <w:color w:val="000000"/>
        </w:rPr>
        <w:t>Conclusion</w:t>
      </w:r>
    </w:p>
    <w:p w14:paraId="6AB51B90" w14:textId="057D4AAC" w:rsidR="00B31921" w:rsidRDefault="00000000">
      <w:pPr>
        <w:spacing w:before="240" w:after="240"/>
        <w:jc w:val="both"/>
        <w:rPr>
          <w:sz w:val="24"/>
          <w:szCs w:val="24"/>
        </w:rPr>
      </w:pPr>
      <w:r>
        <w:rPr>
          <w:sz w:val="24"/>
          <w:szCs w:val="24"/>
        </w:rPr>
        <w:t xml:space="preserve">The correlation heatmap </w:t>
      </w:r>
      <w:r w:rsidR="00831AF2">
        <w:rPr>
          <w:rFonts w:hint="eastAsia"/>
          <w:sz w:val="24"/>
          <w:szCs w:val="24"/>
        </w:rPr>
        <w:t xml:space="preserve">as shown </w:t>
      </w:r>
      <w:r>
        <w:rPr>
          <w:sz w:val="24"/>
          <w:szCs w:val="24"/>
        </w:rPr>
        <w:t xml:space="preserve">in </w:t>
      </w:r>
      <w:r w:rsidR="00831AF2">
        <w:rPr>
          <w:rFonts w:hint="eastAsia"/>
          <w:sz w:val="24"/>
          <w:szCs w:val="24"/>
        </w:rPr>
        <w:t xml:space="preserve">Figure 1 in </w:t>
      </w:r>
      <w:r>
        <w:rPr>
          <w:sz w:val="24"/>
          <w:szCs w:val="24"/>
        </w:rPr>
        <w:t xml:space="preserve">the </w:t>
      </w:r>
      <w:r w:rsidR="005149CA">
        <w:rPr>
          <w:rFonts w:hint="eastAsia"/>
          <w:sz w:val="24"/>
          <w:szCs w:val="24"/>
        </w:rPr>
        <w:t>appendix</w:t>
      </w:r>
      <w:r>
        <w:rPr>
          <w:sz w:val="24"/>
          <w:szCs w:val="24"/>
        </w:rPr>
        <w:t xml:space="preserve"> reveals that most of the independent variables (X variables) in the dataset exhibit low correlation with each other, suggesting minimal multicollinearity and ensuring that the features provide unique information for predictive modeling. However, there are notable exceptions where strong correlations exist: operating income and net income (indicative of their direct financial relationship), equity and total assets (reflecting their interconnectedness in balance sheet metrics), and revenue growth versus net income growth (highlighting their shared dependence on business performance trends). These high correlations suggest that these variable pairs are closely related and may require careful consideration during model development to avoid redundancy or overemphasis. Overall, the dataset's feature set appears diverse and well-suited for robust predictive modeling, provided these highly correlated pairs are managed appropriately.</w:t>
      </w:r>
    </w:p>
    <w:p w14:paraId="40EF483E" w14:textId="77777777" w:rsidR="00B31921" w:rsidRDefault="00B31921">
      <w:pPr>
        <w:spacing w:before="240" w:after="240"/>
        <w:rPr>
          <w:sz w:val="24"/>
          <w:szCs w:val="24"/>
        </w:rPr>
      </w:pPr>
    </w:p>
    <w:p w14:paraId="36B33FB3" w14:textId="77777777" w:rsidR="00B31921" w:rsidRDefault="00B31921">
      <w:pPr>
        <w:pStyle w:val="2"/>
        <w:spacing w:before="240" w:after="240"/>
        <w:sectPr w:rsidR="00B31921">
          <w:pgSz w:w="12240" w:h="15840"/>
          <w:pgMar w:top="1440" w:right="1440" w:bottom="1440" w:left="1440" w:header="720" w:footer="720" w:gutter="0"/>
          <w:pgNumType w:start="1"/>
          <w:cols w:space="720"/>
        </w:sectPr>
      </w:pPr>
      <w:bookmarkStart w:id="8" w:name="_go4u5b32fyfn" w:colFirst="0" w:colLast="0"/>
      <w:bookmarkEnd w:id="8"/>
    </w:p>
    <w:p w14:paraId="159F9351" w14:textId="77777777" w:rsidR="00B31921" w:rsidRDefault="00000000">
      <w:pPr>
        <w:pStyle w:val="2"/>
        <w:spacing w:before="240" w:after="240"/>
        <w:rPr>
          <w:sz w:val="24"/>
          <w:szCs w:val="24"/>
        </w:rPr>
      </w:pPr>
      <w:bookmarkStart w:id="9" w:name="_nqlmr4v61pvk" w:colFirst="0" w:colLast="0"/>
      <w:bookmarkEnd w:id="9"/>
      <w:r>
        <w:lastRenderedPageBreak/>
        <w:t>Reference</w:t>
      </w:r>
    </w:p>
    <w:p w14:paraId="25E34360" w14:textId="77777777" w:rsidR="00B31921" w:rsidRDefault="00000000">
      <w:pPr>
        <w:spacing w:before="240" w:after="240"/>
        <w:rPr>
          <w:sz w:val="24"/>
          <w:szCs w:val="24"/>
        </w:rPr>
      </w:pPr>
      <w:r>
        <w:rPr>
          <w:sz w:val="24"/>
          <w:szCs w:val="24"/>
        </w:rPr>
        <w:t xml:space="preserve">[1]  D. Geltner, A. Kumar, and A. M. Van De Minne, “Estimating Commercial Property Fundamentals from REIT data,” </w:t>
      </w:r>
      <w:r>
        <w:rPr>
          <w:i/>
          <w:sz w:val="24"/>
          <w:szCs w:val="24"/>
        </w:rPr>
        <w:t>J Real Estate Finan Econ</w:t>
      </w:r>
      <w:r>
        <w:rPr>
          <w:sz w:val="24"/>
          <w:szCs w:val="24"/>
        </w:rPr>
        <w:t>, Oct. 2023.</w:t>
      </w:r>
    </w:p>
    <w:p w14:paraId="1A9C6F27" w14:textId="77777777" w:rsidR="00B31921" w:rsidRDefault="00000000">
      <w:pPr>
        <w:spacing w:before="240" w:after="240"/>
        <w:rPr>
          <w:sz w:val="24"/>
          <w:szCs w:val="24"/>
        </w:rPr>
      </w:pPr>
      <w:r>
        <w:rPr>
          <w:sz w:val="24"/>
          <w:szCs w:val="24"/>
        </w:rPr>
        <w:t>[2]  “Empire State Realty Trust Earnings | Q4 2024 Results &amp; Analysis | ESRT Financial News,” Panabee. Accessed: Apr. 04, 2025. [Online].</w:t>
      </w:r>
    </w:p>
    <w:p w14:paraId="7E60E443" w14:textId="77777777" w:rsidR="00B31921" w:rsidRDefault="00000000">
      <w:pPr>
        <w:spacing w:before="240" w:after="240"/>
        <w:rPr>
          <w:sz w:val="24"/>
          <w:szCs w:val="24"/>
        </w:rPr>
      </w:pPr>
      <w:r>
        <w:rPr>
          <w:sz w:val="24"/>
          <w:szCs w:val="24"/>
        </w:rPr>
        <w:t xml:space="preserve">[3]  M. Haider and E. J. Miller, “Effects of Transportation Infrastructure and Location on Residential Real Estate Values: Application of Spatial Autoregressive Techniques,” </w:t>
      </w:r>
      <w:r>
        <w:rPr>
          <w:i/>
          <w:sz w:val="24"/>
          <w:szCs w:val="24"/>
        </w:rPr>
        <w:t>Transportation Research Record</w:t>
      </w:r>
      <w:r>
        <w:rPr>
          <w:sz w:val="24"/>
          <w:szCs w:val="24"/>
        </w:rPr>
        <w:t>, vol. 1722, no. 1, pp. 1–8, Jan. 2000.</w:t>
      </w:r>
    </w:p>
    <w:p w14:paraId="6621C7E9" w14:textId="77777777" w:rsidR="00B31921" w:rsidRDefault="00000000">
      <w:pPr>
        <w:spacing w:before="240" w:after="240"/>
        <w:rPr>
          <w:sz w:val="24"/>
          <w:szCs w:val="24"/>
        </w:rPr>
      </w:pPr>
      <w:r>
        <w:rPr>
          <w:sz w:val="24"/>
          <w:szCs w:val="24"/>
        </w:rPr>
        <w:t xml:space="preserve">[4]  N. Ferlan, M. Bastič, and I. Pšunder, “Influential Factors on the Market Value of Residential Properties,” </w:t>
      </w:r>
      <w:r>
        <w:rPr>
          <w:i/>
          <w:sz w:val="24"/>
          <w:szCs w:val="24"/>
        </w:rPr>
        <w:t>EE</w:t>
      </w:r>
      <w:r>
        <w:rPr>
          <w:sz w:val="24"/>
          <w:szCs w:val="24"/>
        </w:rPr>
        <w:t>, vol. 28, no. 2, pp. 135–144, Apr. 2017.</w:t>
      </w:r>
    </w:p>
    <w:p w14:paraId="38FF334D" w14:textId="77777777" w:rsidR="00B31921" w:rsidRDefault="00000000">
      <w:pPr>
        <w:spacing w:before="240" w:after="240"/>
        <w:rPr>
          <w:sz w:val="24"/>
          <w:szCs w:val="24"/>
        </w:rPr>
      </w:pPr>
      <w:r>
        <w:rPr>
          <w:sz w:val="24"/>
          <w:szCs w:val="24"/>
        </w:rPr>
        <w:t>[5]  “NYSAR_ANN_2024.pdf.” Accessed: Apr. 04, 2025. [Online].</w:t>
      </w:r>
    </w:p>
    <w:p w14:paraId="315FDBE7" w14:textId="77777777" w:rsidR="00B31921" w:rsidRDefault="00000000">
      <w:pPr>
        <w:spacing w:before="240" w:after="240"/>
        <w:rPr>
          <w:sz w:val="24"/>
          <w:szCs w:val="24"/>
        </w:rPr>
      </w:pPr>
      <w:r>
        <w:rPr>
          <w:sz w:val="24"/>
          <w:szCs w:val="24"/>
        </w:rPr>
        <w:t xml:space="preserve">[6]  J. Lee, D. Jang, and S. Park, “Deep Learning-Based Corporate Performance Prediction Model Considering Technical Capability,” </w:t>
      </w:r>
      <w:r>
        <w:rPr>
          <w:i/>
          <w:sz w:val="24"/>
          <w:szCs w:val="24"/>
        </w:rPr>
        <w:t>Sustainability</w:t>
      </w:r>
      <w:r>
        <w:rPr>
          <w:sz w:val="24"/>
          <w:szCs w:val="24"/>
        </w:rPr>
        <w:t>, vol. 9, no. 6, Art. no. 6, Jun. 2017.</w:t>
      </w:r>
    </w:p>
    <w:p w14:paraId="4583F8F8" w14:textId="77777777" w:rsidR="00B31921" w:rsidRDefault="00000000">
      <w:pPr>
        <w:spacing w:before="240" w:after="240"/>
        <w:rPr>
          <w:sz w:val="24"/>
          <w:szCs w:val="24"/>
        </w:rPr>
      </w:pPr>
      <w:r>
        <w:rPr>
          <w:sz w:val="24"/>
          <w:szCs w:val="24"/>
        </w:rPr>
        <w:t xml:space="preserve">[7]  K.-Y. Shen and G.-H. Tzeng, “DRSA-Based Neuro-Fuzzy Inference Systems for the Financial Performance Prediction of Commercial Banks,” </w:t>
      </w:r>
      <w:r>
        <w:rPr>
          <w:i/>
          <w:sz w:val="24"/>
          <w:szCs w:val="24"/>
        </w:rPr>
        <w:t>International Journal of Fuzzy Systems</w:t>
      </w:r>
      <w:r>
        <w:rPr>
          <w:sz w:val="24"/>
          <w:szCs w:val="24"/>
        </w:rPr>
        <w:t>, vol. 16, no. 2, 2014.</w:t>
      </w:r>
    </w:p>
    <w:p w14:paraId="72F329F1" w14:textId="77777777" w:rsidR="00B31921" w:rsidRDefault="00000000">
      <w:pPr>
        <w:spacing w:before="240" w:after="240"/>
        <w:rPr>
          <w:sz w:val="24"/>
          <w:szCs w:val="24"/>
        </w:rPr>
      </w:pPr>
      <w:r>
        <w:rPr>
          <w:sz w:val="24"/>
          <w:szCs w:val="24"/>
        </w:rPr>
        <w:t xml:space="preserve">[8]  L. N. T. Trang, D. T. T. Nhan, D. N. T. Phuong, and W.-K. Wong, “The Effects of Selected Financial Ratios on Profitability: an Empirical Analysis of Real Estate Firms in Vietnam.,” </w:t>
      </w:r>
      <w:r>
        <w:rPr>
          <w:i/>
          <w:sz w:val="24"/>
          <w:szCs w:val="24"/>
        </w:rPr>
        <w:t>Annals of Financial Economics</w:t>
      </w:r>
      <w:r>
        <w:rPr>
          <w:sz w:val="24"/>
          <w:szCs w:val="24"/>
        </w:rPr>
        <w:t>, vol. 17, no. 1, pp. 1–29, Mar. 2022.</w:t>
      </w:r>
    </w:p>
    <w:p w14:paraId="759CF94F" w14:textId="77777777" w:rsidR="00B31921" w:rsidRDefault="00000000">
      <w:pPr>
        <w:spacing w:before="240" w:after="240"/>
        <w:rPr>
          <w:sz w:val="24"/>
          <w:szCs w:val="24"/>
        </w:rPr>
      </w:pPr>
      <w:r>
        <w:rPr>
          <w:sz w:val="24"/>
          <w:szCs w:val="24"/>
        </w:rPr>
        <w:t xml:space="preserve">[9]  M. Lam, “Neural network techniques for financial performance prediction: integrating fundamental and technical analysis,” </w:t>
      </w:r>
      <w:r>
        <w:rPr>
          <w:i/>
          <w:sz w:val="24"/>
          <w:szCs w:val="24"/>
        </w:rPr>
        <w:t>Decision Support Systems</w:t>
      </w:r>
      <w:r>
        <w:rPr>
          <w:sz w:val="24"/>
          <w:szCs w:val="24"/>
        </w:rPr>
        <w:t>, vol. 37, no. 4, pp. 567–581, Sep. 2004.</w:t>
      </w:r>
    </w:p>
    <w:p w14:paraId="22154828" w14:textId="77777777" w:rsidR="00B31921" w:rsidRDefault="00000000">
      <w:pPr>
        <w:spacing w:before="240" w:after="240"/>
        <w:rPr>
          <w:sz w:val="24"/>
          <w:szCs w:val="24"/>
        </w:rPr>
      </w:pPr>
      <w:r>
        <w:rPr>
          <w:sz w:val="24"/>
          <w:szCs w:val="24"/>
        </w:rPr>
        <w:t>[10] C. Zhang, H. Zhang, and D. Liu, “A Contrastive Study of Machine Learning on Energy Firm Value Prediction,” vol. 8, 2020.</w:t>
      </w:r>
    </w:p>
    <w:p w14:paraId="257DF522" w14:textId="77777777" w:rsidR="00B31921" w:rsidRDefault="00000000">
      <w:pPr>
        <w:spacing w:before="240" w:after="240"/>
        <w:rPr>
          <w:sz w:val="24"/>
          <w:szCs w:val="24"/>
        </w:rPr>
      </w:pPr>
      <w:r>
        <w:rPr>
          <w:sz w:val="24"/>
          <w:szCs w:val="24"/>
        </w:rPr>
        <w:t xml:space="preserve">[11] D. C. S. Popa, D. N. Popa, V. Bogdan, and R. Simut, “Composite financial performance index prediction – a neural networks approach,” </w:t>
      </w:r>
      <w:r>
        <w:rPr>
          <w:i/>
          <w:sz w:val="24"/>
          <w:szCs w:val="24"/>
        </w:rPr>
        <w:t>Journal of Business Economics and Management</w:t>
      </w:r>
      <w:r>
        <w:rPr>
          <w:sz w:val="24"/>
          <w:szCs w:val="24"/>
        </w:rPr>
        <w:t>, vol. 22, no. 2, pp. 277–296, Feb. 2021.</w:t>
      </w:r>
    </w:p>
    <w:p w14:paraId="6C31E194" w14:textId="77777777" w:rsidR="00B31921" w:rsidRDefault="00B31921">
      <w:pPr>
        <w:rPr>
          <w:sz w:val="24"/>
          <w:szCs w:val="24"/>
        </w:rPr>
      </w:pPr>
    </w:p>
    <w:p w14:paraId="50A7EEDD" w14:textId="77777777" w:rsidR="00B31921" w:rsidRDefault="00000000">
      <w:pPr>
        <w:pStyle w:val="2"/>
        <w:rPr>
          <w:sz w:val="24"/>
          <w:szCs w:val="24"/>
        </w:rPr>
      </w:pPr>
      <w:bookmarkStart w:id="10" w:name="_m5dy7j5rgzqq" w:colFirst="0" w:colLast="0"/>
      <w:bookmarkEnd w:id="10"/>
      <w:r>
        <w:lastRenderedPageBreak/>
        <w:t>Appendix</w:t>
      </w:r>
    </w:p>
    <w:p w14:paraId="5583771D" w14:textId="468659AA" w:rsidR="00B31921" w:rsidRDefault="00000000">
      <w:pPr>
        <w:widowControl w:val="0"/>
        <w:spacing w:after="200"/>
        <w:jc w:val="center"/>
      </w:pPr>
      <w:r>
        <w:rPr>
          <w:b/>
          <w:color w:val="1F1F1F"/>
          <w:sz w:val="24"/>
          <w:szCs w:val="24"/>
          <w:highlight w:val="white"/>
        </w:rPr>
        <w:t>Table 2</w:t>
      </w:r>
      <w:r w:rsidR="005149CA">
        <w:rPr>
          <w:rFonts w:hint="eastAsia"/>
          <w:b/>
          <w:color w:val="1F1F1F"/>
          <w:sz w:val="24"/>
          <w:szCs w:val="24"/>
          <w:highlight w:val="white"/>
        </w:rPr>
        <w:t>．</w:t>
      </w:r>
      <w:r>
        <w:rPr>
          <w:color w:val="1F1F1F"/>
          <w:sz w:val="24"/>
          <w:szCs w:val="24"/>
          <w:highlight w:val="white"/>
        </w:rPr>
        <w:t>X Variables Construction</w:t>
      </w:r>
    </w:p>
    <w:tbl>
      <w:tblPr>
        <w:tblStyle w:val="a7"/>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3165"/>
        <w:gridCol w:w="3960"/>
      </w:tblGrid>
      <w:tr w:rsidR="00B31921" w14:paraId="41550B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shd w:val="clear" w:color="auto" w:fill="CAEDFB"/>
          </w:tcPr>
          <w:p w14:paraId="2F7D83C7" w14:textId="77777777" w:rsidR="00B31921" w:rsidRDefault="00000000">
            <w:pPr>
              <w:widowControl w:val="0"/>
              <w:spacing w:line="240" w:lineRule="auto"/>
              <w:rPr>
                <w:sz w:val="20"/>
                <w:szCs w:val="20"/>
              </w:rPr>
            </w:pPr>
            <w:r>
              <w:rPr>
                <w:sz w:val="20"/>
                <w:szCs w:val="20"/>
              </w:rPr>
              <w:t>Target variables</w:t>
            </w:r>
          </w:p>
        </w:tc>
        <w:tc>
          <w:tcPr>
            <w:tcW w:w="3165" w:type="dxa"/>
            <w:shd w:val="clear" w:color="auto" w:fill="CAEDFB"/>
          </w:tcPr>
          <w:p w14:paraId="7D3546E0" w14:textId="77777777" w:rsidR="00B31921" w:rsidRDefault="00000000">
            <w:pPr>
              <w:widowControl w:val="0"/>
              <w:spacing w:line="240" w:lineRule="auto"/>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Column Name/ Calculation</w:t>
            </w:r>
          </w:p>
        </w:tc>
        <w:tc>
          <w:tcPr>
            <w:tcW w:w="3960" w:type="dxa"/>
            <w:shd w:val="clear" w:color="auto" w:fill="CAEDFB"/>
          </w:tcPr>
          <w:p w14:paraId="7FECFA8E" w14:textId="77777777" w:rsidR="00B31921" w:rsidRDefault="00B31921">
            <w:pPr>
              <w:widowControl w:val="0"/>
              <w:spacing w:line="240" w:lineRule="auto"/>
              <w:cnfStyle w:val="100000000000" w:firstRow="1" w:lastRow="0" w:firstColumn="0" w:lastColumn="0" w:oddVBand="0" w:evenVBand="0" w:oddHBand="0" w:evenHBand="0" w:firstRowFirstColumn="0" w:firstRowLastColumn="0" w:lastRowFirstColumn="0" w:lastRowLastColumn="0"/>
              <w:rPr>
                <w:sz w:val="20"/>
                <w:szCs w:val="20"/>
              </w:rPr>
            </w:pPr>
          </w:p>
        </w:tc>
      </w:tr>
      <w:tr w:rsidR="00B31921" w14:paraId="329BCE3C" w14:textId="77777777">
        <w:tc>
          <w:tcPr>
            <w:cnfStyle w:val="001000000000" w:firstRow="0" w:lastRow="0" w:firstColumn="1" w:lastColumn="0" w:oddVBand="0" w:evenVBand="0" w:oddHBand="0" w:evenHBand="0" w:firstRowFirstColumn="0" w:firstRowLastColumn="0" w:lastRowFirstColumn="0" w:lastRowLastColumn="0"/>
            <w:tcW w:w="2070" w:type="dxa"/>
          </w:tcPr>
          <w:p w14:paraId="7697C579" w14:textId="77777777" w:rsidR="00B31921" w:rsidRDefault="00000000">
            <w:pPr>
              <w:widowControl w:val="0"/>
              <w:spacing w:line="240" w:lineRule="auto"/>
              <w:rPr>
                <w:sz w:val="20"/>
                <w:szCs w:val="20"/>
              </w:rPr>
            </w:pPr>
            <w:r>
              <w:rPr>
                <w:b w:val="0"/>
                <w:sz w:val="20"/>
                <w:szCs w:val="20"/>
              </w:rPr>
              <w:t>Revenue</w:t>
            </w:r>
          </w:p>
        </w:tc>
        <w:tc>
          <w:tcPr>
            <w:tcW w:w="3165" w:type="dxa"/>
          </w:tcPr>
          <w:p w14:paraId="377FBBC7"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revtq (quarterly) </w:t>
            </w:r>
          </w:p>
        </w:tc>
        <w:tc>
          <w:tcPr>
            <w:tcW w:w="3960" w:type="dxa"/>
          </w:tcPr>
          <w:p w14:paraId="3A538ED8"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Our target1</w:t>
            </w:r>
          </w:p>
        </w:tc>
      </w:tr>
      <w:tr w:rsidR="00B31921" w14:paraId="7448AED2" w14:textId="77777777">
        <w:tc>
          <w:tcPr>
            <w:cnfStyle w:val="001000000000" w:firstRow="0" w:lastRow="0" w:firstColumn="1" w:lastColumn="0" w:oddVBand="0" w:evenVBand="0" w:oddHBand="0" w:evenHBand="0" w:firstRowFirstColumn="0" w:firstRowLastColumn="0" w:lastRowFirstColumn="0" w:lastRowLastColumn="0"/>
            <w:tcW w:w="2070" w:type="dxa"/>
          </w:tcPr>
          <w:p w14:paraId="1E439E81" w14:textId="77777777" w:rsidR="00B31921" w:rsidRDefault="00000000">
            <w:pPr>
              <w:spacing w:line="240" w:lineRule="auto"/>
              <w:rPr>
                <w:color w:val="1F1F1F"/>
                <w:sz w:val="20"/>
                <w:szCs w:val="20"/>
              </w:rPr>
            </w:pPr>
            <w:r>
              <w:rPr>
                <w:b w:val="0"/>
                <w:color w:val="1F1F1F"/>
                <w:sz w:val="20"/>
                <w:szCs w:val="20"/>
              </w:rPr>
              <w:t>EBITDA</w:t>
            </w:r>
          </w:p>
        </w:tc>
        <w:tc>
          <w:tcPr>
            <w:tcW w:w="3165" w:type="dxa"/>
          </w:tcPr>
          <w:p w14:paraId="23247203"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rPr>
            </w:pPr>
            <w:r>
              <w:rPr>
                <w:color w:val="1F1F1F"/>
                <w:sz w:val="20"/>
                <w:szCs w:val="20"/>
              </w:rPr>
              <w:t>Operating Income + Depreciation and Amortization</w:t>
            </w:r>
          </w:p>
        </w:tc>
        <w:tc>
          <w:tcPr>
            <w:tcW w:w="3960" w:type="dxa"/>
          </w:tcPr>
          <w:p w14:paraId="4836AAF1"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rPr>
            </w:pPr>
            <w:r>
              <w:rPr>
                <w:color w:val="1F1F1F"/>
                <w:sz w:val="20"/>
                <w:szCs w:val="20"/>
              </w:rPr>
              <w:t>Our target2</w:t>
            </w:r>
          </w:p>
        </w:tc>
      </w:tr>
      <w:tr w:rsidR="00B31921" w14:paraId="587AB033" w14:textId="77777777">
        <w:tc>
          <w:tcPr>
            <w:cnfStyle w:val="001000000000" w:firstRow="0" w:lastRow="0" w:firstColumn="1" w:lastColumn="0" w:oddVBand="0" w:evenVBand="0" w:oddHBand="0" w:evenHBand="0" w:firstRowFirstColumn="0" w:firstRowLastColumn="0" w:lastRowFirstColumn="0" w:lastRowLastColumn="0"/>
            <w:tcW w:w="2070" w:type="dxa"/>
            <w:shd w:val="clear" w:color="auto" w:fill="CAEDFB"/>
          </w:tcPr>
          <w:p w14:paraId="2367B53D" w14:textId="77777777" w:rsidR="00B31921" w:rsidRDefault="00000000">
            <w:pPr>
              <w:widowControl w:val="0"/>
              <w:spacing w:line="240" w:lineRule="auto"/>
              <w:rPr>
                <w:sz w:val="20"/>
                <w:szCs w:val="20"/>
              </w:rPr>
            </w:pPr>
            <w:r>
              <w:rPr>
                <w:sz w:val="20"/>
                <w:szCs w:val="20"/>
              </w:rPr>
              <w:t>Basic X variables</w:t>
            </w:r>
          </w:p>
        </w:tc>
        <w:tc>
          <w:tcPr>
            <w:tcW w:w="3165" w:type="dxa"/>
            <w:shd w:val="clear" w:color="auto" w:fill="CAEDFB"/>
          </w:tcPr>
          <w:p w14:paraId="5CA09DE1"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Column Name in dataset (Compstate)</w:t>
            </w:r>
          </w:p>
        </w:tc>
        <w:tc>
          <w:tcPr>
            <w:tcW w:w="3960" w:type="dxa"/>
            <w:shd w:val="clear" w:color="auto" w:fill="CAEDFB"/>
          </w:tcPr>
          <w:p w14:paraId="18D5ADD6"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Definition</w:t>
            </w:r>
          </w:p>
        </w:tc>
      </w:tr>
      <w:tr w:rsidR="00B31921" w14:paraId="0BE4CADA" w14:textId="77777777">
        <w:tc>
          <w:tcPr>
            <w:cnfStyle w:val="001000000000" w:firstRow="0" w:lastRow="0" w:firstColumn="1" w:lastColumn="0" w:oddVBand="0" w:evenVBand="0" w:oddHBand="0" w:evenHBand="0" w:firstRowFirstColumn="0" w:firstRowLastColumn="0" w:lastRowFirstColumn="0" w:lastRowLastColumn="0"/>
            <w:tcW w:w="2070" w:type="dxa"/>
          </w:tcPr>
          <w:p w14:paraId="75C67CF9" w14:textId="77777777" w:rsidR="00B31921" w:rsidRDefault="00000000">
            <w:pPr>
              <w:widowControl w:val="0"/>
              <w:spacing w:line="240" w:lineRule="auto"/>
              <w:rPr>
                <w:sz w:val="20"/>
                <w:szCs w:val="20"/>
              </w:rPr>
            </w:pPr>
            <w:r>
              <w:rPr>
                <w:b w:val="0"/>
                <w:sz w:val="20"/>
                <w:szCs w:val="20"/>
              </w:rPr>
              <w:t>Number of common shares   outstanding</w:t>
            </w:r>
          </w:p>
        </w:tc>
        <w:tc>
          <w:tcPr>
            <w:tcW w:w="3165" w:type="dxa"/>
          </w:tcPr>
          <w:p w14:paraId="5AB5649A"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cshoq</w:t>
            </w:r>
          </w:p>
        </w:tc>
        <w:tc>
          <w:tcPr>
            <w:tcW w:w="3960" w:type="dxa"/>
          </w:tcPr>
          <w:p w14:paraId="7BE1436E" w14:textId="77777777" w:rsidR="00B31921" w:rsidRDefault="00B31921">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B31921" w14:paraId="719D3807" w14:textId="77777777">
        <w:tc>
          <w:tcPr>
            <w:cnfStyle w:val="001000000000" w:firstRow="0" w:lastRow="0" w:firstColumn="1" w:lastColumn="0" w:oddVBand="0" w:evenVBand="0" w:oddHBand="0" w:evenHBand="0" w:firstRowFirstColumn="0" w:firstRowLastColumn="0" w:lastRowFirstColumn="0" w:lastRowLastColumn="0"/>
            <w:tcW w:w="2070" w:type="dxa"/>
          </w:tcPr>
          <w:p w14:paraId="6346B248" w14:textId="77777777" w:rsidR="00B31921" w:rsidRDefault="00000000">
            <w:pPr>
              <w:widowControl w:val="0"/>
              <w:spacing w:line="240" w:lineRule="auto"/>
              <w:rPr>
                <w:sz w:val="20"/>
                <w:szCs w:val="20"/>
              </w:rPr>
            </w:pPr>
            <w:r>
              <w:rPr>
                <w:b w:val="0"/>
                <w:sz w:val="20"/>
                <w:szCs w:val="20"/>
              </w:rPr>
              <w:t>Common Shares Traded</w:t>
            </w:r>
          </w:p>
        </w:tc>
        <w:tc>
          <w:tcPr>
            <w:tcW w:w="3165" w:type="dxa"/>
          </w:tcPr>
          <w:p w14:paraId="2A3270FD"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cshtrq</w:t>
            </w:r>
          </w:p>
        </w:tc>
        <w:tc>
          <w:tcPr>
            <w:tcW w:w="3960" w:type="dxa"/>
          </w:tcPr>
          <w:p w14:paraId="6C2564E9" w14:textId="77777777" w:rsidR="00B31921" w:rsidRDefault="00B31921">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B31921" w14:paraId="58B7C82B" w14:textId="77777777">
        <w:tc>
          <w:tcPr>
            <w:cnfStyle w:val="001000000000" w:firstRow="0" w:lastRow="0" w:firstColumn="1" w:lastColumn="0" w:oddVBand="0" w:evenVBand="0" w:oddHBand="0" w:evenHBand="0" w:firstRowFirstColumn="0" w:firstRowLastColumn="0" w:lastRowFirstColumn="0" w:lastRowLastColumn="0"/>
            <w:tcW w:w="2070" w:type="dxa"/>
          </w:tcPr>
          <w:p w14:paraId="377B4846" w14:textId="77777777" w:rsidR="00B31921" w:rsidRDefault="00000000">
            <w:pPr>
              <w:widowControl w:val="0"/>
              <w:spacing w:line="240" w:lineRule="auto"/>
              <w:rPr>
                <w:sz w:val="20"/>
                <w:szCs w:val="20"/>
              </w:rPr>
            </w:pPr>
            <w:r>
              <w:rPr>
                <w:b w:val="0"/>
                <w:sz w:val="20"/>
                <w:szCs w:val="20"/>
              </w:rPr>
              <w:t>Capital Expenditure</w:t>
            </w:r>
          </w:p>
        </w:tc>
        <w:tc>
          <w:tcPr>
            <w:tcW w:w="3165" w:type="dxa"/>
          </w:tcPr>
          <w:p w14:paraId="0F907648"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capxy</w:t>
            </w:r>
          </w:p>
        </w:tc>
        <w:tc>
          <w:tcPr>
            <w:tcW w:w="3960" w:type="dxa"/>
          </w:tcPr>
          <w:p w14:paraId="34165B42"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Funds used by a company to acquire, upgrade, and maintain physical assets</w:t>
            </w:r>
          </w:p>
        </w:tc>
      </w:tr>
      <w:tr w:rsidR="00B31921" w14:paraId="01767374" w14:textId="77777777">
        <w:tc>
          <w:tcPr>
            <w:cnfStyle w:val="001000000000" w:firstRow="0" w:lastRow="0" w:firstColumn="1" w:lastColumn="0" w:oddVBand="0" w:evenVBand="0" w:oddHBand="0" w:evenHBand="0" w:firstRowFirstColumn="0" w:firstRowLastColumn="0" w:lastRowFirstColumn="0" w:lastRowLastColumn="0"/>
            <w:tcW w:w="2070" w:type="dxa"/>
          </w:tcPr>
          <w:p w14:paraId="1D87079E" w14:textId="77777777" w:rsidR="00B31921" w:rsidRDefault="00000000">
            <w:pPr>
              <w:widowControl w:val="0"/>
              <w:spacing w:line="240" w:lineRule="auto"/>
              <w:rPr>
                <w:sz w:val="20"/>
                <w:szCs w:val="20"/>
              </w:rPr>
            </w:pPr>
            <w:r>
              <w:rPr>
                <w:b w:val="0"/>
                <w:sz w:val="20"/>
                <w:szCs w:val="20"/>
              </w:rPr>
              <w:t>Operating Income (After Depreciation)</w:t>
            </w:r>
          </w:p>
        </w:tc>
        <w:tc>
          <w:tcPr>
            <w:tcW w:w="3165" w:type="dxa"/>
          </w:tcPr>
          <w:p w14:paraId="603C04C0"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oiadpq</w:t>
            </w:r>
          </w:p>
        </w:tc>
        <w:tc>
          <w:tcPr>
            <w:tcW w:w="3960" w:type="dxa"/>
          </w:tcPr>
          <w:p w14:paraId="798F171C"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color w:val="FF0000"/>
                <w:sz w:val="20"/>
                <w:szCs w:val="20"/>
              </w:rPr>
            </w:pPr>
            <w:r>
              <w:rPr>
                <w:sz w:val="20"/>
                <w:szCs w:val="20"/>
              </w:rPr>
              <w:t>Total earnings from its core business functions (Not use it in EBITDA prediction due to target leakage)</w:t>
            </w:r>
          </w:p>
        </w:tc>
      </w:tr>
      <w:tr w:rsidR="00B31921" w14:paraId="70A060D0" w14:textId="77777777">
        <w:tc>
          <w:tcPr>
            <w:cnfStyle w:val="001000000000" w:firstRow="0" w:lastRow="0" w:firstColumn="1" w:lastColumn="0" w:oddVBand="0" w:evenVBand="0" w:oddHBand="0" w:evenHBand="0" w:firstRowFirstColumn="0" w:firstRowLastColumn="0" w:lastRowFirstColumn="0" w:lastRowLastColumn="0"/>
            <w:tcW w:w="2070" w:type="dxa"/>
          </w:tcPr>
          <w:p w14:paraId="3837DA5F" w14:textId="77777777" w:rsidR="00B31921" w:rsidRDefault="00000000">
            <w:pPr>
              <w:widowControl w:val="0"/>
              <w:spacing w:line="240" w:lineRule="auto"/>
              <w:rPr>
                <w:sz w:val="20"/>
                <w:szCs w:val="20"/>
              </w:rPr>
            </w:pPr>
            <w:r>
              <w:rPr>
                <w:b w:val="0"/>
                <w:sz w:val="20"/>
                <w:szCs w:val="20"/>
              </w:rPr>
              <w:t>Net Income</w:t>
            </w:r>
          </w:p>
        </w:tc>
        <w:tc>
          <w:tcPr>
            <w:tcW w:w="3165" w:type="dxa"/>
          </w:tcPr>
          <w:p w14:paraId="51C12EF3"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niq</w:t>
            </w:r>
          </w:p>
        </w:tc>
        <w:tc>
          <w:tcPr>
            <w:tcW w:w="3960" w:type="dxa"/>
          </w:tcPr>
          <w:p w14:paraId="7B330DAB" w14:textId="77777777" w:rsidR="00B31921" w:rsidRDefault="00B31921">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B31921" w14:paraId="3B747B9A" w14:textId="77777777">
        <w:tc>
          <w:tcPr>
            <w:cnfStyle w:val="001000000000" w:firstRow="0" w:lastRow="0" w:firstColumn="1" w:lastColumn="0" w:oddVBand="0" w:evenVBand="0" w:oddHBand="0" w:evenHBand="0" w:firstRowFirstColumn="0" w:firstRowLastColumn="0" w:lastRowFirstColumn="0" w:lastRowLastColumn="0"/>
            <w:tcW w:w="2070" w:type="dxa"/>
          </w:tcPr>
          <w:p w14:paraId="53AF09F7" w14:textId="77777777" w:rsidR="00B31921" w:rsidRDefault="00000000">
            <w:pPr>
              <w:widowControl w:val="0"/>
              <w:spacing w:line="240" w:lineRule="auto"/>
              <w:rPr>
                <w:sz w:val="20"/>
                <w:szCs w:val="20"/>
              </w:rPr>
            </w:pPr>
            <w:r>
              <w:rPr>
                <w:b w:val="0"/>
                <w:sz w:val="20"/>
                <w:szCs w:val="20"/>
              </w:rPr>
              <w:t>Operating Expense</w:t>
            </w:r>
          </w:p>
        </w:tc>
        <w:tc>
          <w:tcPr>
            <w:tcW w:w="3165" w:type="dxa"/>
          </w:tcPr>
          <w:p w14:paraId="7D1E330D"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xoprq</w:t>
            </w:r>
          </w:p>
        </w:tc>
        <w:tc>
          <w:tcPr>
            <w:tcW w:w="3960" w:type="dxa"/>
          </w:tcPr>
          <w:p w14:paraId="0A997043" w14:textId="77777777" w:rsidR="00B31921" w:rsidRDefault="00B31921">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B31921" w14:paraId="00CEB919" w14:textId="77777777">
        <w:tc>
          <w:tcPr>
            <w:cnfStyle w:val="001000000000" w:firstRow="0" w:lastRow="0" w:firstColumn="1" w:lastColumn="0" w:oddVBand="0" w:evenVBand="0" w:oddHBand="0" w:evenHBand="0" w:firstRowFirstColumn="0" w:firstRowLastColumn="0" w:lastRowFirstColumn="0" w:lastRowLastColumn="0"/>
            <w:tcW w:w="2070" w:type="dxa"/>
          </w:tcPr>
          <w:p w14:paraId="7EB6A4CC" w14:textId="77777777" w:rsidR="00B31921" w:rsidRDefault="00000000">
            <w:pPr>
              <w:widowControl w:val="0"/>
              <w:spacing w:line="240" w:lineRule="auto"/>
              <w:rPr>
                <w:sz w:val="20"/>
                <w:szCs w:val="20"/>
              </w:rPr>
            </w:pPr>
            <w:r>
              <w:rPr>
                <w:b w:val="0"/>
                <w:sz w:val="20"/>
                <w:szCs w:val="20"/>
              </w:rPr>
              <w:t>Shareholder’s Equity</w:t>
            </w:r>
          </w:p>
        </w:tc>
        <w:tc>
          <w:tcPr>
            <w:tcW w:w="3165" w:type="dxa"/>
          </w:tcPr>
          <w:p w14:paraId="3FDD2EDB"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teqq</w:t>
            </w:r>
          </w:p>
        </w:tc>
        <w:tc>
          <w:tcPr>
            <w:tcW w:w="3960" w:type="dxa"/>
          </w:tcPr>
          <w:p w14:paraId="235B4E11" w14:textId="77777777" w:rsidR="00B31921" w:rsidRDefault="00B31921">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B31921" w14:paraId="5879D6B8" w14:textId="77777777">
        <w:tc>
          <w:tcPr>
            <w:cnfStyle w:val="001000000000" w:firstRow="0" w:lastRow="0" w:firstColumn="1" w:lastColumn="0" w:oddVBand="0" w:evenVBand="0" w:oddHBand="0" w:evenHBand="0" w:firstRowFirstColumn="0" w:firstRowLastColumn="0" w:lastRowFirstColumn="0" w:lastRowLastColumn="0"/>
            <w:tcW w:w="2070" w:type="dxa"/>
          </w:tcPr>
          <w:p w14:paraId="159F9C2C" w14:textId="77777777" w:rsidR="00B31921" w:rsidRDefault="00000000">
            <w:pPr>
              <w:widowControl w:val="0"/>
              <w:spacing w:line="240" w:lineRule="auto"/>
              <w:rPr>
                <w:sz w:val="20"/>
                <w:szCs w:val="20"/>
              </w:rPr>
            </w:pPr>
            <w:r>
              <w:rPr>
                <w:b w:val="0"/>
                <w:sz w:val="20"/>
                <w:szCs w:val="20"/>
              </w:rPr>
              <w:t>Total Assets</w:t>
            </w:r>
          </w:p>
        </w:tc>
        <w:tc>
          <w:tcPr>
            <w:tcW w:w="3165" w:type="dxa"/>
          </w:tcPr>
          <w:p w14:paraId="2736FE48"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atq</w:t>
            </w:r>
          </w:p>
        </w:tc>
        <w:tc>
          <w:tcPr>
            <w:tcW w:w="3960" w:type="dxa"/>
          </w:tcPr>
          <w:p w14:paraId="03C5DB47" w14:textId="77777777" w:rsidR="00B31921" w:rsidRDefault="00B31921">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B31921" w14:paraId="2263B3E9" w14:textId="77777777">
        <w:tc>
          <w:tcPr>
            <w:cnfStyle w:val="001000000000" w:firstRow="0" w:lastRow="0" w:firstColumn="1" w:lastColumn="0" w:oddVBand="0" w:evenVBand="0" w:oddHBand="0" w:evenHBand="0" w:firstRowFirstColumn="0" w:firstRowLastColumn="0" w:lastRowFirstColumn="0" w:lastRowLastColumn="0"/>
            <w:tcW w:w="2070" w:type="dxa"/>
          </w:tcPr>
          <w:p w14:paraId="552F4193" w14:textId="77777777" w:rsidR="00B31921" w:rsidRDefault="00000000">
            <w:pPr>
              <w:widowControl w:val="0"/>
              <w:spacing w:line="240" w:lineRule="auto"/>
              <w:rPr>
                <w:sz w:val="20"/>
                <w:szCs w:val="20"/>
              </w:rPr>
            </w:pPr>
            <w:r>
              <w:rPr>
                <w:b w:val="0"/>
                <w:sz w:val="20"/>
                <w:szCs w:val="20"/>
              </w:rPr>
              <w:t>EPS</w:t>
            </w:r>
          </w:p>
        </w:tc>
        <w:tc>
          <w:tcPr>
            <w:tcW w:w="3165" w:type="dxa"/>
          </w:tcPr>
          <w:p w14:paraId="10F375C7"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epsfiq</w:t>
            </w:r>
          </w:p>
        </w:tc>
        <w:tc>
          <w:tcPr>
            <w:tcW w:w="3960" w:type="dxa"/>
          </w:tcPr>
          <w:p w14:paraId="66FA10CF"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much profit each outstanding share of common stock has earned</w:t>
            </w:r>
          </w:p>
        </w:tc>
      </w:tr>
      <w:tr w:rsidR="00B31921" w14:paraId="5439EAD8" w14:textId="77777777">
        <w:tc>
          <w:tcPr>
            <w:cnfStyle w:val="001000000000" w:firstRow="0" w:lastRow="0" w:firstColumn="1" w:lastColumn="0" w:oddVBand="0" w:evenVBand="0" w:oddHBand="0" w:evenHBand="0" w:firstRowFirstColumn="0" w:firstRowLastColumn="0" w:lastRowFirstColumn="0" w:lastRowLastColumn="0"/>
            <w:tcW w:w="2070" w:type="dxa"/>
            <w:shd w:val="clear" w:color="auto" w:fill="CAEDFB"/>
          </w:tcPr>
          <w:p w14:paraId="65F9BBE5" w14:textId="77777777" w:rsidR="00B31921" w:rsidRDefault="00000000">
            <w:pPr>
              <w:widowControl w:val="0"/>
              <w:spacing w:line="240" w:lineRule="auto"/>
              <w:rPr>
                <w:sz w:val="20"/>
                <w:szCs w:val="20"/>
              </w:rPr>
            </w:pPr>
            <w:r>
              <w:rPr>
                <w:sz w:val="20"/>
                <w:szCs w:val="20"/>
              </w:rPr>
              <w:t>Features Engineering</w:t>
            </w:r>
          </w:p>
        </w:tc>
        <w:tc>
          <w:tcPr>
            <w:tcW w:w="3165" w:type="dxa"/>
            <w:shd w:val="clear" w:color="auto" w:fill="CAEDFB"/>
          </w:tcPr>
          <w:p w14:paraId="38AA409F"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Calculation</w:t>
            </w:r>
          </w:p>
        </w:tc>
        <w:tc>
          <w:tcPr>
            <w:tcW w:w="3960" w:type="dxa"/>
            <w:shd w:val="clear" w:color="auto" w:fill="CAEDFB"/>
          </w:tcPr>
          <w:p w14:paraId="767DD3F9"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Definition</w:t>
            </w:r>
          </w:p>
        </w:tc>
      </w:tr>
      <w:tr w:rsidR="00B31921" w14:paraId="4A75A776" w14:textId="77777777">
        <w:tc>
          <w:tcPr>
            <w:cnfStyle w:val="001000000000" w:firstRow="0" w:lastRow="0" w:firstColumn="1" w:lastColumn="0" w:oddVBand="0" w:evenVBand="0" w:oddHBand="0" w:evenHBand="0" w:firstRowFirstColumn="0" w:firstRowLastColumn="0" w:lastRowFirstColumn="0" w:lastRowLastColumn="0"/>
            <w:tcW w:w="2070" w:type="dxa"/>
          </w:tcPr>
          <w:p w14:paraId="4CF3562E" w14:textId="77777777" w:rsidR="00B31921" w:rsidRDefault="00000000">
            <w:pPr>
              <w:spacing w:line="240" w:lineRule="auto"/>
              <w:rPr>
                <w:color w:val="1F1F1F"/>
                <w:sz w:val="20"/>
                <w:szCs w:val="20"/>
                <w:highlight w:val="white"/>
              </w:rPr>
            </w:pPr>
            <w:r>
              <w:rPr>
                <w:b w:val="0"/>
                <w:color w:val="1F1F1F"/>
                <w:sz w:val="20"/>
                <w:szCs w:val="20"/>
                <w:highlight w:val="white"/>
              </w:rPr>
              <w:t>Debt to Total Asset</w:t>
            </w:r>
          </w:p>
        </w:tc>
        <w:tc>
          <w:tcPr>
            <w:tcW w:w="3165" w:type="dxa"/>
          </w:tcPr>
          <w:p w14:paraId="2E3E0A43"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 xml:space="preserve">Total Debt / Total Assets </w:t>
            </w:r>
          </w:p>
          <w:p w14:paraId="1D1C873B"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 1 - Shareholder’s Equity / Total assets</w:t>
            </w:r>
          </w:p>
        </w:tc>
        <w:tc>
          <w:tcPr>
            <w:tcW w:w="3960" w:type="dxa"/>
          </w:tcPr>
          <w:p w14:paraId="6A7CA292"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Grasping financial health and stability (Solvency)</w:t>
            </w:r>
          </w:p>
        </w:tc>
      </w:tr>
      <w:tr w:rsidR="00B31921" w14:paraId="49AA04E6" w14:textId="77777777">
        <w:tc>
          <w:tcPr>
            <w:cnfStyle w:val="001000000000" w:firstRow="0" w:lastRow="0" w:firstColumn="1" w:lastColumn="0" w:oddVBand="0" w:evenVBand="0" w:oddHBand="0" w:evenHBand="0" w:firstRowFirstColumn="0" w:firstRowLastColumn="0" w:lastRowFirstColumn="0" w:lastRowLastColumn="0"/>
            <w:tcW w:w="2070" w:type="dxa"/>
          </w:tcPr>
          <w:p w14:paraId="1EA62D57" w14:textId="77777777" w:rsidR="00B31921" w:rsidRDefault="00000000">
            <w:pPr>
              <w:spacing w:line="240" w:lineRule="auto"/>
              <w:rPr>
                <w:color w:val="1F1F1F"/>
                <w:sz w:val="20"/>
                <w:szCs w:val="20"/>
                <w:highlight w:val="white"/>
              </w:rPr>
            </w:pPr>
            <w:r>
              <w:rPr>
                <w:b w:val="0"/>
                <w:color w:val="1F1F1F"/>
                <w:sz w:val="20"/>
                <w:szCs w:val="20"/>
                <w:highlight w:val="white"/>
              </w:rPr>
              <w:t>NI to Asset</w:t>
            </w:r>
          </w:p>
        </w:tc>
        <w:tc>
          <w:tcPr>
            <w:tcW w:w="3165" w:type="dxa"/>
          </w:tcPr>
          <w:p w14:paraId="6826236B"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NI/Average asset</w:t>
            </w:r>
          </w:p>
        </w:tc>
        <w:tc>
          <w:tcPr>
            <w:tcW w:w="3960" w:type="dxa"/>
          </w:tcPr>
          <w:p w14:paraId="1A299E49" w14:textId="77777777" w:rsidR="00B31921" w:rsidRDefault="00B31921">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12D2DBCB" w14:textId="77777777">
        <w:tc>
          <w:tcPr>
            <w:cnfStyle w:val="001000000000" w:firstRow="0" w:lastRow="0" w:firstColumn="1" w:lastColumn="0" w:oddVBand="0" w:evenVBand="0" w:oddHBand="0" w:evenHBand="0" w:firstRowFirstColumn="0" w:firstRowLastColumn="0" w:lastRowFirstColumn="0" w:lastRowLastColumn="0"/>
            <w:tcW w:w="2070" w:type="dxa"/>
          </w:tcPr>
          <w:p w14:paraId="1A8AD61B" w14:textId="77777777" w:rsidR="00B31921" w:rsidRDefault="00000000">
            <w:pPr>
              <w:spacing w:line="240" w:lineRule="auto"/>
              <w:rPr>
                <w:color w:val="1F1F1F"/>
                <w:sz w:val="20"/>
                <w:szCs w:val="20"/>
                <w:highlight w:val="white"/>
              </w:rPr>
            </w:pPr>
            <w:r>
              <w:rPr>
                <w:b w:val="0"/>
                <w:color w:val="1F1F1F"/>
                <w:sz w:val="20"/>
                <w:szCs w:val="20"/>
                <w:highlight w:val="white"/>
              </w:rPr>
              <w:t>ROA</w:t>
            </w:r>
          </w:p>
        </w:tc>
        <w:tc>
          <w:tcPr>
            <w:tcW w:w="3165" w:type="dxa"/>
          </w:tcPr>
          <w:p w14:paraId="5B448886"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net income / total assets</w:t>
            </w:r>
          </w:p>
        </w:tc>
        <w:tc>
          <w:tcPr>
            <w:tcW w:w="3960" w:type="dxa"/>
          </w:tcPr>
          <w:p w14:paraId="6F3657CA"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How profitable a company is relative to its total assets</w:t>
            </w:r>
          </w:p>
        </w:tc>
      </w:tr>
      <w:tr w:rsidR="00B31921" w14:paraId="1FB07BC0" w14:textId="77777777">
        <w:tc>
          <w:tcPr>
            <w:cnfStyle w:val="001000000000" w:firstRow="0" w:lastRow="0" w:firstColumn="1" w:lastColumn="0" w:oddVBand="0" w:evenVBand="0" w:oddHBand="0" w:evenHBand="0" w:firstRowFirstColumn="0" w:firstRowLastColumn="0" w:lastRowFirstColumn="0" w:lastRowLastColumn="0"/>
            <w:tcW w:w="2070" w:type="dxa"/>
          </w:tcPr>
          <w:p w14:paraId="3E46B484" w14:textId="77777777" w:rsidR="00B31921" w:rsidRDefault="00000000">
            <w:pPr>
              <w:spacing w:line="240" w:lineRule="auto"/>
              <w:rPr>
                <w:color w:val="1F1F1F"/>
                <w:sz w:val="20"/>
                <w:szCs w:val="20"/>
                <w:highlight w:val="white"/>
              </w:rPr>
            </w:pPr>
            <w:r>
              <w:rPr>
                <w:b w:val="0"/>
                <w:color w:val="1F1F1F"/>
                <w:sz w:val="20"/>
                <w:szCs w:val="20"/>
                <w:highlight w:val="white"/>
              </w:rPr>
              <w:t>ROE</w:t>
            </w:r>
          </w:p>
        </w:tc>
        <w:tc>
          <w:tcPr>
            <w:tcW w:w="3165" w:type="dxa"/>
          </w:tcPr>
          <w:p w14:paraId="39880784"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net income / shareholder’s equity</w:t>
            </w:r>
          </w:p>
        </w:tc>
        <w:tc>
          <w:tcPr>
            <w:tcW w:w="3960" w:type="dxa"/>
          </w:tcPr>
          <w:p w14:paraId="32952B72"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How profitable a company is relative to its net assets</w:t>
            </w:r>
          </w:p>
        </w:tc>
      </w:tr>
      <w:tr w:rsidR="00B31921" w14:paraId="2424CCA0" w14:textId="77777777">
        <w:tc>
          <w:tcPr>
            <w:cnfStyle w:val="001000000000" w:firstRow="0" w:lastRow="0" w:firstColumn="1" w:lastColumn="0" w:oddVBand="0" w:evenVBand="0" w:oddHBand="0" w:evenHBand="0" w:firstRowFirstColumn="0" w:firstRowLastColumn="0" w:lastRowFirstColumn="0" w:lastRowLastColumn="0"/>
            <w:tcW w:w="2070" w:type="dxa"/>
          </w:tcPr>
          <w:p w14:paraId="5088253A" w14:textId="77777777" w:rsidR="00B31921" w:rsidRDefault="00000000">
            <w:pPr>
              <w:spacing w:line="240" w:lineRule="auto"/>
              <w:rPr>
                <w:color w:val="1F1F1F"/>
                <w:sz w:val="20"/>
                <w:szCs w:val="20"/>
                <w:highlight w:val="white"/>
              </w:rPr>
            </w:pPr>
            <w:r>
              <w:rPr>
                <w:b w:val="0"/>
                <w:color w:val="1F1F1F"/>
                <w:sz w:val="20"/>
                <w:szCs w:val="20"/>
                <w:highlight w:val="white"/>
              </w:rPr>
              <w:t>Revenue Growth</w:t>
            </w:r>
          </w:p>
        </w:tc>
        <w:tc>
          <w:tcPr>
            <w:tcW w:w="3165" w:type="dxa"/>
          </w:tcPr>
          <w:p w14:paraId="12090FEB"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(current period revenue – previous period revenue) / previous period revenue</w:t>
            </w:r>
          </w:p>
        </w:tc>
        <w:tc>
          <w:tcPr>
            <w:tcW w:w="3960" w:type="dxa"/>
          </w:tcPr>
          <w:p w14:paraId="00B468CA" w14:textId="77777777" w:rsidR="00B31921" w:rsidRDefault="00B31921">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454AD975" w14:textId="77777777">
        <w:tc>
          <w:tcPr>
            <w:cnfStyle w:val="001000000000" w:firstRow="0" w:lastRow="0" w:firstColumn="1" w:lastColumn="0" w:oddVBand="0" w:evenVBand="0" w:oddHBand="0" w:evenHBand="0" w:firstRowFirstColumn="0" w:firstRowLastColumn="0" w:lastRowFirstColumn="0" w:lastRowLastColumn="0"/>
            <w:tcW w:w="2070" w:type="dxa"/>
          </w:tcPr>
          <w:p w14:paraId="32CAD54B" w14:textId="77777777" w:rsidR="00B31921" w:rsidRDefault="00000000">
            <w:pPr>
              <w:spacing w:line="240" w:lineRule="auto"/>
              <w:rPr>
                <w:color w:val="1F1F1F"/>
                <w:sz w:val="20"/>
                <w:szCs w:val="20"/>
                <w:highlight w:val="white"/>
              </w:rPr>
            </w:pPr>
            <w:r>
              <w:rPr>
                <w:b w:val="0"/>
                <w:color w:val="1F1F1F"/>
                <w:sz w:val="20"/>
                <w:szCs w:val="20"/>
                <w:highlight w:val="white"/>
              </w:rPr>
              <w:t>Operating Income Growth</w:t>
            </w:r>
          </w:p>
        </w:tc>
        <w:tc>
          <w:tcPr>
            <w:tcW w:w="3165" w:type="dxa"/>
          </w:tcPr>
          <w:p w14:paraId="2A6561F2"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(current period Operating Profit – previous period Operating Profit) / previous period Operating Profit</w:t>
            </w:r>
          </w:p>
        </w:tc>
        <w:tc>
          <w:tcPr>
            <w:tcW w:w="3960" w:type="dxa"/>
          </w:tcPr>
          <w:p w14:paraId="0E6B4BE2" w14:textId="77777777" w:rsidR="00B31921" w:rsidRDefault="00B31921">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516B09B2" w14:textId="77777777">
        <w:tc>
          <w:tcPr>
            <w:cnfStyle w:val="001000000000" w:firstRow="0" w:lastRow="0" w:firstColumn="1" w:lastColumn="0" w:oddVBand="0" w:evenVBand="0" w:oddHBand="0" w:evenHBand="0" w:firstRowFirstColumn="0" w:firstRowLastColumn="0" w:lastRowFirstColumn="0" w:lastRowLastColumn="0"/>
            <w:tcW w:w="2070" w:type="dxa"/>
          </w:tcPr>
          <w:p w14:paraId="6385301C" w14:textId="77777777" w:rsidR="00B31921" w:rsidRDefault="00000000">
            <w:pPr>
              <w:spacing w:line="240" w:lineRule="auto"/>
              <w:rPr>
                <w:color w:val="1F1F1F"/>
                <w:sz w:val="20"/>
                <w:szCs w:val="20"/>
                <w:highlight w:val="white"/>
              </w:rPr>
            </w:pPr>
            <w:r>
              <w:rPr>
                <w:b w:val="0"/>
                <w:color w:val="1F1F1F"/>
                <w:sz w:val="20"/>
                <w:szCs w:val="20"/>
                <w:highlight w:val="white"/>
              </w:rPr>
              <w:t>Net Income Growth</w:t>
            </w:r>
          </w:p>
        </w:tc>
        <w:tc>
          <w:tcPr>
            <w:tcW w:w="3165" w:type="dxa"/>
          </w:tcPr>
          <w:p w14:paraId="07939929"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(current period Net Income – previous period Net Income) / previous period Net Income</w:t>
            </w:r>
          </w:p>
        </w:tc>
        <w:tc>
          <w:tcPr>
            <w:tcW w:w="3960" w:type="dxa"/>
          </w:tcPr>
          <w:p w14:paraId="44677E74" w14:textId="77777777" w:rsidR="00B31921" w:rsidRDefault="00B31921">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161390A1" w14:textId="77777777">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25FDE8A" w14:textId="77777777" w:rsidR="00B31921" w:rsidRDefault="00000000">
            <w:pPr>
              <w:spacing w:line="240" w:lineRule="auto"/>
              <w:rPr>
                <w:color w:val="1F1F1F"/>
                <w:sz w:val="20"/>
                <w:szCs w:val="20"/>
                <w:highlight w:val="white"/>
              </w:rPr>
            </w:pPr>
            <w:r>
              <w:rPr>
                <w:b w:val="0"/>
                <w:color w:val="1F1F1F"/>
                <w:sz w:val="20"/>
                <w:szCs w:val="20"/>
                <w:highlight w:val="white"/>
              </w:rPr>
              <w:t>Quick Ratio</w:t>
            </w:r>
          </w:p>
        </w:tc>
        <w:tc>
          <w:tcPr>
            <w:tcW w:w="3165" w:type="dxa"/>
            <w:shd w:val="clear" w:color="auto" w:fill="auto"/>
          </w:tcPr>
          <w:p w14:paraId="02E904B1"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​current assets - inventories ​​/ current liabilities</w:t>
            </w:r>
          </w:p>
        </w:tc>
        <w:tc>
          <w:tcPr>
            <w:tcW w:w="3960" w:type="dxa"/>
            <w:shd w:val="clear" w:color="auto" w:fill="auto"/>
          </w:tcPr>
          <w:p w14:paraId="4065A263"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Indicate liquidity</w:t>
            </w:r>
          </w:p>
        </w:tc>
      </w:tr>
      <w:tr w:rsidR="00B31921" w14:paraId="4DE5DF7C" w14:textId="77777777">
        <w:tc>
          <w:tcPr>
            <w:cnfStyle w:val="001000000000" w:firstRow="0" w:lastRow="0" w:firstColumn="1" w:lastColumn="0" w:oddVBand="0" w:evenVBand="0" w:oddHBand="0" w:evenHBand="0" w:firstRowFirstColumn="0" w:firstRowLastColumn="0" w:lastRowFirstColumn="0" w:lastRowLastColumn="0"/>
            <w:tcW w:w="2070" w:type="dxa"/>
          </w:tcPr>
          <w:p w14:paraId="07A020BF" w14:textId="77777777" w:rsidR="00B31921" w:rsidRDefault="00000000">
            <w:pPr>
              <w:spacing w:line="240" w:lineRule="auto"/>
              <w:rPr>
                <w:color w:val="1F1F1F"/>
                <w:sz w:val="20"/>
                <w:szCs w:val="20"/>
                <w:highlight w:val="white"/>
              </w:rPr>
            </w:pPr>
            <w:r>
              <w:rPr>
                <w:b w:val="0"/>
                <w:color w:val="1F1F1F"/>
                <w:sz w:val="20"/>
                <w:szCs w:val="20"/>
                <w:highlight w:val="white"/>
              </w:rPr>
              <w:t>RSI (Relative Strength Index)</w:t>
            </w:r>
          </w:p>
        </w:tc>
        <w:tc>
          <w:tcPr>
            <w:tcW w:w="3165" w:type="dxa"/>
          </w:tcPr>
          <w:p w14:paraId="2514F1F7"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 xml:space="preserve">100 – 100 / (1 + RS) </w:t>
            </w:r>
          </w:p>
          <w:p w14:paraId="2F935B83"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RS = Average gain/Average loss</w:t>
            </w:r>
          </w:p>
        </w:tc>
        <w:tc>
          <w:tcPr>
            <w:tcW w:w="3960" w:type="dxa"/>
          </w:tcPr>
          <w:p w14:paraId="432A6EB5"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A momentum oscillator that is widely used in technical analysis of stocks and commodities to identify changes in momentum and price direction</w:t>
            </w:r>
          </w:p>
        </w:tc>
      </w:tr>
      <w:tr w:rsidR="00B31921" w14:paraId="2A5E3176" w14:textId="77777777">
        <w:tc>
          <w:tcPr>
            <w:cnfStyle w:val="001000000000" w:firstRow="0" w:lastRow="0" w:firstColumn="1" w:lastColumn="0" w:oddVBand="0" w:evenVBand="0" w:oddHBand="0" w:evenHBand="0" w:firstRowFirstColumn="0" w:firstRowLastColumn="0" w:lastRowFirstColumn="0" w:lastRowLastColumn="0"/>
            <w:tcW w:w="2070" w:type="dxa"/>
          </w:tcPr>
          <w:p w14:paraId="06BB67B3" w14:textId="77777777" w:rsidR="00B31921" w:rsidRDefault="00000000">
            <w:pPr>
              <w:spacing w:line="240" w:lineRule="auto"/>
              <w:rPr>
                <w:color w:val="1F1F1F"/>
                <w:sz w:val="20"/>
                <w:szCs w:val="20"/>
                <w:highlight w:val="white"/>
              </w:rPr>
            </w:pPr>
            <w:r>
              <w:rPr>
                <w:b w:val="0"/>
                <w:color w:val="1F1F1F"/>
                <w:sz w:val="20"/>
                <w:szCs w:val="20"/>
                <w:highlight w:val="white"/>
              </w:rPr>
              <w:t>MVA (Market value-added)</w:t>
            </w:r>
          </w:p>
        </w:tc>
        <w:tc>
          <w:tcPr>
            <w:tcW w:w="3165" w:type="dxa"/>
          </w:tcPr>
          <w:p w14:paraId="5E85F4B9"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Market Value of Shares – Book Value of Shareholders’ Equity</w:t>
            </w:r>
          </w:p>
        </w:tc>
        <w:tc>
          <w:tcPr>
            <w:tcW w:w="3960" w:type="dxa"/>
          </w:tcPr>
          <w:p w14:paraId="540A4DF9"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The amount of wealth that a company is able to create for its stakeholders since its foundation</w:t>
            </w:r>
          </w:p>
        </w:tc>
      </w:tr>
      <w:tr w:rsidR="00B31921" w14:paraId="5222AB76" w14:textId="77777777">
        <w:tc>
          <w:tcPr>
            <w:cnfStyle w:val="001000000000" w:firstRow="0" w:lastRow="0" w:firstColumn="1" w:lastColumn="0" w:oddVBand="0" w:evenVBand="0" w:oddHBand="0" w:evenHBand="0" w:firstRowFirstColumn="0" w:firstRowLastColumn="0" w:lastRowFirstColumn="0" w:lastRowLastColumn="0"/>
            <w:tcW w:w="2070" w:type="dxa"/>
          </w:tcPr>
          <w:p w14:paraId="7A9C33D6" w14:textId="77777777" w:rsidR="00B31921" w:rsidRDefault="00000000">
            <w:pPr>
              <w:spacing w:line="240" w:lineRule="auto"/>
              <w:rPr>
                <w:color w:val="1F1F1F"/>
                <w:sz w:val="20"/>
                <w:szCs w:val="20"/>
                <w:highlight w:val="white"/>
              </w:rPr>
            </w:pPr>
            <w:r>
              <w:rPr>
                <w:b w:val="0"/>
                <w:color w:val="1F1F1F"/>
                <w:sz w:val="20"/>
                <w:szCs w:val="20"/>
                <w:highlight w:val="white"/>
              </w:rPr>
              <w:lastRenderedPageBreak/>
              <w:t>CFROI (Cash flow return on investment)</w:t>
            </w:r>
          </w:p>
        </w:tc>
        <w:tc>
          <w:tcPr>
            <w:tcW w:w="3165" w:type="dxa"/>
          </w:tcPr>
          <w:p w14:paraId="557D8CE1"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Operating Cash Flow (OCF) / Capital Employed</w:t>
            </w:r>
          </w:p>
          <w:p w14:paraId="4C92828F"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CE = Total Assets – Current Liabilities</w:t>
            </w:r>
          </w:p>
        </w:tc>
        <w:tc>
          <w:tcPr>
            <w:tcW w:w="3960" w:type="dxa"/>
          </w:tcPr>
          <w:p w14:paraId="2BA7743A" w14:textId="1107A028" w:rsidR="00B31921" w:rsidRDefault="005149CA">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rFonts w:hint="eastAsia"/>
                <w:color w:val="1F1F1F"/>
                <w:sz w:val="20"/>
                <w:szCs w:val="20"/>
                <w:highlight w:val="white"/>
              </w:rPr>
              <w:t>A</w:t>
            </w:r>
            <w:r w:rsidR="00000000">
              <w:rPr>
                <w:color w:val="1F1F1F"/>
                <w:sz w:val="20"/>
                <w:szCs w:val="20"/>
                <w:highlight w:val="white"/>
              </w:rPr>
              <w:t xml:space="preserve"> proxy for a company's economic return</w:t>
            </w:r>
          </w:p>
        </w:tc>
      </w:tr>
      <w:tr w:rsidR="00B31921" w14:paraId="1BBE26F3" w14:textId="77777777">
        <w:tc>
          <w:tcPr>
            <w:cnfStyle w:val="001000000000" w:firstRow="0" w:lastRow="0" w:firstColumn="1" w:lastColumn="0" w:oddVBand="0" w:evenVBand="0" w:oddHBand="0" w:evenHBand="0" w:firstRowFirstColumn="0" w:firstRowLastColumn="0" w:lastRowFirstColumn="0" w:lastRowLastColumn="0"/>
            <w:tcW w:w="2070" w:type="dxa"/>
            <w:shd w:val="clear" w:color="auto" w:fill="CAEDFB"/>
          </w:tcPr>
          <w:p w14:paraId="1718B845" w14:textId="77777777" w:rsidR="00B31921" w:rsidRDefault="00000000">
            <w:pPr>
              <w:pBdr>
                <w:top w:val="nil"/>
                <w:left w:val="nil"/>
                <w:bottom w:val="nil"/>
                <w:right w:val="nil"/>
                <w:between w:val="nil"/>
              </w:pBdr>
              <w:spacing w:line="240" w:lineRule="auto"/>
              <w:rPr>
                <w:color w:val="1F1F1F"/>
                <w:sz w:val="20"/>
                <w:szCs w:val="20"/>
                <w:highlight w:val="white"/>
              </w:rPr>
            </w:pPr>
            <w:r>
              <w:rPr>
                <w:sz w:val="20"/>
                <w:szCs w:val="20"/>
              </w:rPr>
              <w:t>Additional X variables</w:t>
            </w:r>
          </w:p>
        </w:tc>
        <w:tc>
          <w:tcPr>
            <w:tcW w:w="3165" w:type="dxa"/>
            <w:shd w:val="clear" w:color="auto" w:fill="CAEDFB"/>
          </w:tcPr>
          <w:p w14:paraId="2A61DFD9" w14:textId="77777777" w:rsidR="00B31921" w:rsidRDefault="00000000">
            <w:pPr>
              <w:widowControl w:val="0"/>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b/>
                <w:sz w:val="20"/>
                <w:szCs w:val="20"/>
              </w:rPr>
              <w:t>Column Name/ Calculation (Compstate Specific)</w:t>
            </w:r>
          </w:p>
        </w:tc>
        <w:tc>
          <w:tcPr>
            <w:tcW w:w="3960" w:type="dxa"/>
            <w:shd w:val="clear" w:color="auto" w:fill="CAEDFB"/>
          </w:tcPr>
          <w:p w14:paraId="07D544D4"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b/>
                <w:sz w:val="20"/>
                <w:szCs w:val="20"/>
              </w:rPr>
              <w:t>Definition</w:t>
            </w:r>
          </w:p>
        </w:tc>
      </w:tr>
      <w:tr w:rsidR="00B31921" w14:paraId="7EBF1241" w14:textId="77777777">
        <w:tc>
          <w:tcPr>
            <w:cnfStyle w:val="001000000000" w:firstRow="0" w:lastRow="0" w:firstColumn="1" w:lastColumn="0" w:oddVBand="0" w:evenVBand="0" w:oddHBand="0" w:evenHBand="0" w:firstRowFirstColumn="0" w:firstRowLastColumn="0" w:lastRowFirstColumn="0" w:lastRowLastColumn="0"/>
            <w:tcW w:w="2070" w:type="dxa"/>
          </w:tcPr>
          <w:p w14:paraId="68E8F903" w14:textId="77777777" w:rsidR="00B31921" w:rsidRDefault="00000000">
            <w:pPr>
              <w:pBdr>
                <w:top w:val="nil"/>
                <w:left w:val="nil"/>
                <w:bottom w:val="nil"/>
                <w:right w:val="nil"/>
                <w:between w:val="nil"/>
              </w:pBdr>
              <w:spacing w:line="240" w:lineRule="auto"/>
              <w:rPr>
                <w:color w:val="1F1F1F"/>
                <w:sz w:val="20"/>
                <w:szCs w:val="20"/>
                <w:highlight w:val="white"/>
              </w:rPr>
            </w:pPr>
            <w:r>
              <w:rPr>
                <w:b w:val="0"/>
                <w:color w:val="1F1F1F"/>
                <w:sz w:val="20"/>
                <w:szCs w:val="20"/>
                <w:highlight w:val="white"/>
              </w:rPr>
              <w:t xml:space="preserve">Rooms Expenses Quarterly </w:t>
            </w:r>
            <w:r>
              <w:rPr>
                <w:b w:val="0"/>
                <w:color w:val="1F1F1F"/>
                <w:sz w:val="20"/>
                <w:szCs w:val="20"/>
                <w:highlight w:val="white"/>
              </w:rPr>
              <w:tab/>
            </w:r>
          </w:p>
        </w:tc>
        <w:tc>
          <w:tcPr>
            <w:tcW w:w="3165" w:type="dxa"/>
          </w:tcPr>
          <w:p w14:paraId="4CA5E5E5"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gmrmexpq</w:t>
            </w:r>
            <w:r>
              <w:rPr>
                <w:color w:val="1F1F1F"/>
                <w:sz w:val="20"/>
                <w:szCs w:val="20"/>
                <w:highlight w:val="white"/>
              </w:rPr>
              <w:tab/>
            </w:r>
            <w:r>
              <w:rPr>
                <w:color w:val="1F1F1F"/>
                <w:sz w:val="20"/>
                <w:szCs w:val="20"/>
                <w:highlight w:val="white"/>
              </w:rPr>
              <w:tab/>
              <w:t xml:space="preserve"> </w:t>
            </w:r>
            <w:r>
              <w:rPr>
                <w:color w:val="1F1F1F"/>
                <w:sz w:val="20"/>
                <w:szCs w:val="20"/>
                <w:highlight w:val="white"/>
              </w:rPr>
              <w:tab/>
            </w:r>
          </w:p>
        </w:tc>
        <w:tc>
          <w:tcPr>
            <w:tcW w:w="3960" w:type="dxa"/>
          </w:tcPr>
          <w:p w14:paraId="13715B0F" w14:textId="77777777" w:rsidR="00B31921" w:rsidRDefault="00B31921">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20383B51" w14:textId="77777777">
        <w:tc>
          <w:tcPr>
            <w:cnfStyle w:val="001000000000" w:firstRow="0" w:lastRow="0" w:firstColumn="1" w:lastColumn="0" w:oddVBand="0" w:evenVBand="0" w:oddHBand="0" w:evenHBand="0" w:firstRowFirstColumn="0" w:firstRowLastColumn="0" w:lastRowFirstColumn="0" w:lastRowLastColumn="0"/>
            <w:tcW w:w="2070" w:type="dxa"/>
          </w:tcPr>
          <w:p w14:paraId="032C5695" w14:textId="77777777" w:rsidR="00B31921" w:rsidRDefault="00000000">
            <w:pPr>
              <w:pBdr>
                <w:top w:val="nil"/>
                <w:left w:val="nil"/>
                <w:bottom w:val="nil"/>
                <w:right w:val="nil"/>
                <w:between w:val="nil"/>
              </w:pBdr>
              <w:spacing w:line="240" w:lineRule="auto"/>
              <w:rPr>
                <w:color w:val="1F1F1F"/>
                <w:sz w:val="20"/>
                <w:szCs w:val="20"/>
                <w:highlight w:val="white"/>
              </w:rPr>
            </w:pPr>
            <w:r>
              <w:rPr>
                <w:b w:val="0"/>
                <w:color w:val="1F1F1F"/>
                <w:sz w:val="20"/>
                <w:szCs w:val="20"/>
                <w:highlight w:val="white"/>
              </w:rPr>
              <w:t>Room Revenue Quarterly</w:t>
            </w:r>
          </w:p>
        </w:tc>
        <w:tc>
          <w:tcPr>
            <w:tcW w:w="3165" w:type="dxa"/>
          </w:tcPr>
          <w:p w14:paraId="5702351F" w14:textId="77777777" w:rsidR="00B31921" w:rsidRDefault="00000000">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gmrmrevq</w:t>
            </w:r>
          </w:p>
          <w:p w14:paraId="0ABCB970" w14:textId="77777777" w:rsidR="00B31921" w:rsidRDefault="00B31921">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c>
          <w:tcPr>
            <w:tcW w:w="3960" w:type="dxa"/>
          </w:tcPr>
          <w:p w14:paraId="0522B9A2" w14:textId="77777777" w:rsidR="00B31921" w:rsidRDefault="00B31921">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332346CD" w14:textId="77777777">
        <w:tc>
          <w:tcPr>
            <w:cnfStyle w:val="001000000000" w:firstRow="0" w:lastRow="0" w:firstColumn="1" w:lastColumn="0" w:oddVBand="0" w:evenVBand="0" w:oddHBand="0" w:evenHBand="0" w:firstRowFirstColumn="0" w:firstRowLastColumn="0" w:lastRowFirstColumn="0" w:lastRowLastColumn="0"/>
            <w:tcW w:w="2070" w:type="dxa"/>
          </w:tcPr>
          <w:p w14:paraId="2848667F" w14:textId="77777777" w:rsidR="00B31921" w:rsidRDefault="00000000">
            <w:pPr>
              <w:pBdr>
                <w:top w:val="nil"/>
                <w:left w:val="nil"/>
                <w:bottom w:val="nil"/>
                <w:right w:val="nil"/>
                <w:between w:val="nil"/>
              </w:pBdr>
              <w:spacing w:line="240" w:lineRule="auto"/>
              <w:rPr>
                <w:color w:val="1F1F1F"/>
                <w:sz w:val="20"/>
                <w:szCs w:val="20"/>
                <w:highlight w:val="white"/>
              </w:rPr>
            </w:pPr>
            <w:r>
              <w:rPr>
                <w:b w:val="0"/>
                <w:color w:val="1F1F1F"/>
                <w:sz w:val="20"/>
                <w:szCs w:val="20"/>
                <w:highlight w:val="white"/>
              </w:rPr>
              <w:t xml:space="preserve">Finished Homes/Constr in Progress  </w:t>
            </w:r>
          </w:p>
        </w:tc>
        <w:tc>
          <w:tcPr>
            <w:tcW w:w="3165" w:type="dxa"/>
          </w:tcPr>
          <w:p w14:paraId="7C90E854" w14:textId="77777777" w:rsidR="00B31921" w:rsidRDefault="00000000">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hbinvfhq</w:t>
            </w:r>
          </w:p>
          <w:p w14:paraId="5E2DE8AF" w14:textId="77777777" w:rsidR="00B31921" w:rsidRDefault="00B31921">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c>
          <w:tcPr>
            <w:tcW w:w="3960" w:type="dxa"/>
          </w:tcPr>
          <w:p w14:paraId="22445951" w14:textId="77777777" w:rsidR="00B31921" w:rsidRDefault="00B31921">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0E93116D" w14:textId="77777777">
        <w:tc>
          <w:tcPr>
            <w:cnfStyle w:val="001000000000" w:firstRow="0" w:lastRow="0" w:firstColumn="1" w:lastColumn="0" w:oddVBand="0" w:evenVBand="0" w:oddHBand="0" w:evenHBand="0" w:firstRowFirstColumn="0" w:firstRowLastColumn="0" w:lastRowFirstColumn="0" w:lastRowLastColumn="0"/>
            <w:tcW w:w="2070" w:type="dxa"/>
          </w:tcPr>
          <w:p w14:paraId="6B600029" w14:textId="77777777" w:rsidR="00B31921" w:rsidRDefault="00000000">
            <w:pPr>
              <w:pBdr>
                <w:top w:val="nil"/>
                <w:left w:val="nil"/>
                <w:bottom w:val="nil"/>
                <w:right w:val="nil"/>
                <w:between w:val="nil"/>
              </w:pBdr>
              <w:spacing w:line="240" w:lineRule="auto"/>
              <w:rPr>
                <w:color w:val="1F1F1F"/>
                <w:sz w:val="20"/>
                <w:szCs w:val="20"/>
                <w:highlight w:val="white"/>
              </w:rPr>
            </w:pPr>
            <w:r>
              <w:rPr>
                <w:b w:val="0"/>
                <w:color w:val="1F1F1F"/>
                <w:sz w:val="20"/>
                <w:szCs w:val="20"/>
                <w:highlight w:val="white"/>
              </w:rPr>
              <w:t xml:space="preserve">Land Under Development </w:t>
            </w:r>
          </w:p>
        </w:tc>
        <w:tc>
          <w:tcPr>
            <w:tcW w:w="3165" w:type="dxa"/>
          </w:tcPr>
          <w:p w14:paraId="5CF30EFE" w14:textId="77777777" w:rsidR="00B31921" w:rsidRDefault="00000000">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hbinvludq</w:t>
            </w:r>
          </w:p>
          <w:p w14:paraId="739307E7" w14:textId="77777777" w:rsidR="00B31921" w:rsidRDefault="00B31921">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c>
          <w:tcPr>
            <w:tcW w:w="3960" w:type="dxa"/>
          </w:tcPr>
          <w:p w14:paraId="6AA31CC1" w14:textId="77777777" w:rsidR="00B31921" w:rsidRDefault="00B31921">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74B2E899" w14:textId="77777777">
        <w:tc>
          <w:tcPr>
            <w:cnfStyle w:val="001000000000" w:firstRow="0" w:lastRow="0" w:firstColumn="1" w:lastColumn="0" w:oddVBand="0" w:evenVBand="0" w:oddHBand="0" w:evenHBand="0" w:firstRowFirstColumn="0" w:firstRowLastColumn="0" w:lastRowFirstColumn="0" w:lastRowLastColumn="0"/>
            <w:tcW w:w="2070" w:type="dxa"/>
          </w:tcPr>
          <w:p w14:paraId="3B1038FF" w14:textId="77777777" w:rsidR="00B31921" w:rsidRDefault="00000000">
            <w:pPr>
              <w:pBdr>
                <w:top w:val="nil"/>
                <w:left w:val="nil"/>
                <w:bottom w:val="nil"/>
                <w:right w:val="nil"/>
                <w:between w:val="nil"/>
              </w:pBdr>
              <w:spacing w:line="240" w:lineRule="auto"/>
              <w:rPr>
                <w:color w:val="1F1F1F"/>
                <w:sz w:val="20"/>
                <w:szCs w:val="20"/>
                <w:highlight w:val="white"/>
              </w:rPr>
            </w:pPr>
            <w:r>
              <w:rPr>
                <w:b w:val="0"/>
                <w:color w:val="1F1F1F"/>
                <w:sz w:val="20"/>
                <w:szCs w:val="20"/>
                <w:highlight w:val="white"/>
              </w:rPr>
              <w:t xml:space="preserve">Total Homebuilding Inventories  </w:t>
            </w:r>
          </w:p>
        </w:tc>
        <w:tc>
          <w:tcPr>
            <w:tcW w:w="3165" w:type="dxa"/>
          </w:tcPr>
          <w:p w14:paraId="78676387" w14:textId="77777777" w:rsidR="00B31921" w:rsidRDefault="00000000">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hbinvtq</w:t>
            </w:r>
          </w:p>
          <w:p w14:paraId="31622A87" w14:textId="77777777" w:rsidR="00B31921" w:rsidRDefault="00B31921">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c>
          <w:tcPr>
            <w:tcW w:w="3960" w:type="dxa"/>
          </w:tcPr>
          <w:p w14:paraId="1E0659E2" w14:textId="77777777" w:rsidR="00B31921" w:rsidRDefault="00B31921">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7EE53A60" w14:textId="77777777">
        <w:tc>
          <w:tcPr>
            <w:cnfStyle w:val="001000000000" w:firstRow="0" w:lastRow="0" w:firstColumn="1" w:lastColumn="0" w:oddVBand="0" w:evenVBand="0" w:oddHBand="0" w:evenHBand="0" w:firstRowFirstColumn="0" w:firstRowLastColumn="0" w:lastRowFirstColumn="0" w:lastRowLastColumn="0"/>
            <w:tcW w:w="2070" w:type="dxa"/>
          </w:tcPr>
          <w:p w14:paraId="0E9229F3" w14:textId="77777777" w:rsidR="00B31921" w:rsidRDefault="00000000">
            <w:pPr>
              <w:pBdr>
                <w:top w:val="nil"/>
                <w:left w:val="nil"/>
                <w:bottom w:val="nil"/>
                <w:right w:val="nil"/>
                <w:between w:val="nil"/>
              </w:pBdr>
              <w:spacing w:line="240" w:lineRule="auto"/>
              <w:rPr>
                <w:color w:val="1F1F1F"/>
                <w:sz w:val="20"/>
                <w:szCs w:val="20"/>
                <w:highlight w:val="white"/>
              </w:rPr>
            </w:pPr>
            <w:r>
              <w:rPr>
                <w:b w:val="0"/>
                <w:color w:val="1F1F1F"/>
                <w:sz w:val="20"/>
                <w:szCs w:val="20"/>
                <w:highlight w:val="white"/>
              </w:rPr>
              <w:t>Homesites/Lots Owned</w:t>
            </w:r>
          </w:p>
        </w:tc>
        <w:tc>
          <w:tcPr>
            <w:tcW w:w="3165" w:type="dxa"/>
          </w:tcPr>
          <w:p w14:paraId="18600634" w14:textId="77777777" w:rsidR="00B31921" w:rsidRDefault="00000000">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hbloq</w:t>
            </w:r>
          </w:p>
        </w:tc>
        <w:tc>
          <w:tcPr>
            <w:tcW w:w="3960" w:type="dxa"/>
          </w:tcPr>
          <w:p w14:paraId="36DAB1D6" w14:textId="77777777" w:rsidR="00B31921" w:rsidRDefault="00B31921">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p>
        </w:tc>
      </w:tr>
      <w:tr w:rsidR="00B31921" w14:paraId="43FC77FB" w14:textId="77777777">
        <w:tc>
          <w:tcPr>
            <w:cnfStyle w:val="001000000000" w:firstRow="0" w:lastRow="0" w:firstColumn="1" w:lastColumn="0" w:oddVBand="0" w:evenVBand="0" w:oddHBand="0" w:evenHBand="0" w:firstRowFirstColumn="0" w:firstRowLastColumn="0" w:lastRowFirstColumn="0" w:lastRowLastColumn="0"/>
            <w:tcW w:w="2070" w:type="dxa"/>
          </w:tcPr>
          <w:p w14:paraId="3AFD7AB3" w14:textId="77777777" w:rsidR="00B31921" w:rsidRDefault="00000000">
            <w:pPr>
              <w:pBdr>
                <w:top w:val="nil"/>
                <w:left w:val="nil"/>
                <w:bottom w:val="nil"/>
                <w:right w:val="nil"/>
                <w:between w:val="nil"/>
              </w:pBdr>
              <w:spacing w:line="240" w:lineRule="auto"/>
              <w:rPr>
                <w:color w:val="1F1F1F"/>
                <w:sz w:val="20"/>
                <w:szCs w:val="20"/>
                <w:highlight w:val="white"/>
              </w:rPr>
            </w:pPr>
            <w:r>
              <w:rPr>
                <w:b w:val="0"/>
                <w:color w:val="1F1F1F"/>
                <w:sz w:val="20"/>
                <w:szCs w:val="20"/>
                <w:highlight w:val="white"/>
              </w:rPr>
              <w:t>Sale Price</w:t>
            </w:r>
          </w:p>
        </w:tc>
        <w:tc>
          <w:tcPr>
            <w:tcW w:w="3165" w:type="dxa"/>
          </w:tcPr>
          <w:p w14:paraId="2958E864" w14:textId="77777777" w:rsidR="00B31921" w:rsidRDefault="00000000">
            <w:pPr>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Mean sale price per quarter =sum(Sale Price)/|Q|</w:t>
            </w:r>
          </w:p>
        </w:tc>
        <w:tc>
          <w:tcPr>
            <w:tcW w:w="3960" w:type="dxa"/>
          </w:tcPr>
          <w:p w14:paraId="52D8031E" w14:textId="77777777" w:rsidR="00B31921" w:rsidRDefault="00000000">
            <w:pPr>
              <w:spacing w:line="240" w:lineRule="auto"/>
              <w:cnfStyle w:val="000000000000" w:firstRow="0" w:lastRow="0" w:firstColumn="0" w:lastColumn="0" w:oddVBand="0" w:evenVBand="0" w:oddHBand="0" w:evenHBand="0" w:firstRowFirstColumn="0" w:firstRowLastColumn="0" w:lastRowFirstColumn="0" w:lastRowLastColumn="0"/>
              <w:rPr>
                <w:color w:val="1F1F1F"/>
                <w:sz w:val="20"/>
                <w:szCs w:val="20"/>
                <w:highlight w:val="white"/>
              </w:rPr>
            </w:pPr>
            <w:r>
              <w:rPr>
                <w:color w:val="1F1F1F"/>
                <w:sz w:val="20"/>
                <w:szCs w:val="20"/>
                <w:highlight w:val="white"/>
              </w:rPr>
              <w:t>Quarterly aggregated sale price in ‘nyc-property-sales.csv’</w:t>
            </w:r>
          </w:p>
        </w:tc>
      </w:tr>
    </w:tbl>
    <w:p w14:paraId="4793A91B" w14:textId="77777777" w:rsidR="00B31921" w:rsidRDefault="00B31921">
      <w:pPr>
        <w:rPr>
          <w:sz w:val="24"/>
          <w:szCs w:val="24"/>
        </w:rPr>
      </w:pPr>
    </w:p>
    <w:p w14:paraId="06CB513F" w14:textId="317D3E14" w:rsidR="00B31921" w:rsidRDefault="00000000">
      <w:pPr>
        <w:spacing w:line="360" w:lineRule="auto"/>
        <w:jc w:val="center"/>
        <w:rPr>
          <w:color w:val="1F1F1F"/>
          <w:sz w:val="24"/>
          <w:szCs w:val="24"/>
          <w:highlight w:val="white"/>
        </w:rPr>
      </w:pPr>
      <w:r>
        <w:rPr>
          <w:b/>
          <w:color w:val="1F1F1F"/>
          <w:sz w:val="24"/>
          <w:szCs w:val="24"/>
          <w:highlight w:val="white"/>
        </w:rPr>
        <w:t>Table 3</w:t>
      </w:r>
      <w:r w:rsidR="005149CA">
        <w:rPr>
          <w:rFonts w:hint="eastAsia"/>
          <w:b/>
          <w:color w:val="1F1F1F"/>
          <w:sz w:val="24"/>
          <w:szCs w:val="24"/>
          <w:highlight w:val="white"/>
        </w:rPr>
        <w:t>．</w:t>
      </w:r>
      <w:r>
        <w:rPr>
          <w:color w:val="1F1F1F"/>
          <w:sz w:val="24"/>
          <w:szCs w:val="24"/>
          <w:highlight w:val="white"/>
        </w:rPr>
        <w:t>Summary Statistics of the Processed Variables Before Scaling</w:t>
      </w:r>
    </w:p>
    <w:tbl>
      <w:tblPr>
        <w:tblStyle w:val="a8"/>
        <w:tblW w:w="9615"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035"/>
        <w:gridCol w:w="1035"/>
        <w:gridCol w:w="1035"/>
        <w:gridCol w:w="1035"/>
        <w:gridCol w:w="1035"/>
        <w:gridCol w:w="1035"/>
        <w:gridCol w:w="1035"/>
        <w:gridCol w:w="1035"/>
      </w:tblGrid>
      <w:tr w:rsidR="00B31921" w14:paraId="2158C234"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88899"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Metric</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D1D97"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Count</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4F2B0"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Mean</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F12B1"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Std Dev</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CF874"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Min</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44032"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25%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FB7FF"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50%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298D1"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75%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D41F9" w14:textId="77777777" w:rsidR="00B31921" w:rsidRDefault="00000000">
            <w:pPr>
              <w:widowControl w:val="0"/>
              <w:spacing w:line="240" w:lineRule="auto"/>
              <w:jc w:val="center"/>
              <w:rPr>
                <w:color w:val="1F1F1F"/>
                <w:sz w:val="20"/>
                <w:szCs w:val="20"/>
                <w:highlight w:val="white"/>
              </w:rPr>
            </w:pPr>
            <w:r>
              <w:rPr>
                <w:b/>
                <w:color w:val="1F1F1F"/>
                <w:sz w:val="20"/>
                <w:szCs w:val="20"/>
                <w:highlight w:val="white"/>
              </w:rPr>
              <w:t>Max</w:t>
            </w:r>
          </w:p>
        </w:tc>
      </w:tr>
      <w:tr w:rsidR="00B31921" w14:paraId="0D8AF16D"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0913" w14:textId="77777777" w:rsidR="00B31921" w:rsidRDefault="00000000">
            <w:pPr>
              <w:widowControl w:val="0"/>
              <w:spacing w:line="240" w:lineRule="auto"/>
              <w:rPr>
                <w:color w:val="1F1F1F"/>
                <w:sz w:val="20"/>
                <w:szCs w:val="20"/>
                <w:highlight w:val="white"/>
              </w:rPr>
            </w:pPr>
            <w:r>
              <w:rPr>
                <w:b/>
                <w:color w:val="1F1F1F"/>
                <w:sz w:val="20"/>
                <w:szCs w:val="20"/>
                <w:highlight w:val="white"/>
              </w:rPr>
              <w:t>cshoq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C02FA" w14:textId="77777777" w:rsidR="00B31921" w:rsidRDefault="00000000">
            <w:pPr>
              <w:widowControl w:val="0"/>
              <w:spacing w:line="240" w:lineRule="auto"/>
              <w:rPr>
                <w:color w:val="1F1F1F"/>
                <w:sz w:val="20"/>
                <w:szCs w:val="20"/>
                <w:highlight w:val="white"/>
              </w:rPr>
            </w:pPr>
            <w:r>
              <w:rPr>
                <w:color w:val="1F1F1F"/>
                <w:sz w:val="20"/>
                <w:szCs w:val="20"/>
                <w:highlight w:val="white"/>
              </w:rPr>
              <w:t>1871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B324C" w14:textId="77777777" w:rsidR="00B31921" w:rsidRDefault="00000000">
            <w:pPr>
              <w:widowControl w:val="0"/>
              <w:spacing w:line="240" w:lineRule="auto"/>
              <w:rPr>
                <w:color w:val="1F1F1F"/>
                <w:sz w:val="20"/>
                <w:szCs w:val="20"/>
                <w:highlight w:val="white"/>
              </w:rPr>
            </w:pPr>
            <w:r>
              <w:rPr>
                <w:color w:val="1F1F1F"/>
                <w:sz w:val="20"/>
                <w:szCs w:val="20"/>
                <w:highlight w:val="white"/>
              </w:rPr>
              <w:t>56.91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2A6" w14:textId="77777777" w:rsidR="00B31921" w:rsidRDefault="00000000">
            <w:pPr>
              <w:widowControl w:val="0"/>
              <w:spacing w:line="240" w:lineRule="auto"/>
              <w:rPr>
                <w:color w:val="1F1F1F"/>
                <w:sz w:val="20"/>
                <w:szCs w:val="20"/>
                <w:highlight w:val="white"/>
              </w:rPr>
            </w:pPr>
            <w:r>
              <w:rPr>
                <w:color w:val="1F1F1F"/>
                <w:sz w:val="20"/>
                <w:szCs w:val="20"/>
                <w:highlight w:val="white"/>
              </w:rPr>
              <w:t>98.56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680B9"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53450" w14:textId="77777777" w:rsidR="00B31921" w:rsidRDefault="00000000">
            <w:pPr>
              <w:widowControl w:val="0"/>
              <w:spacing w:line="240" w:lineRule="auto"/>
              <w:rPr>
                <w:color w:val="1F1F1F"/>
                <w:sz w:val="20"/>
                <w:szCs w:val="20"/>
                <w:highlight w:val="white"/>
              </w:rPr>
            </w:pPr>
            <w:r>
              <w:rPr>
                <w:color w:val="1F1F1F"/>
                <w:sz w:val="20"/>
                <w:szCs w:val="20"/>
                <w:highlight w:val="white"/>
              </w:rPr>
              <w:t>10.09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4CBAF" w14:textId="77777777" w:rsidR="00B31921" w:rsidRDefault="00000000">
            <w:pPr>
              <w:widowControl w:val="0"/>
              <w:spacing w:line="240" w:lineRule="auto"/>
              <w:rPr>
                <w:color w:val="1F1F1F"/>
                <w:sz w:val="20"/>
                <w:szCs w:val="20"/>
                <w:highlight w:val="white"/>
              </w:rPr>
            </w:pPr>
            <w:r>
              <w:rPr>
                <w:color w:val="1F1F1F"/>
                <w:sz w:val="20"/>
                <w:szCs w:val="20"/>
                <w:highlight w:val="white"/>
              </w:rPr>
              <w:t>26.29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6E4B2" w14:textId="77777777" w:rsidR="00B31921" w:rsidRDefault="00000000">
            <w:pPr>
              <w:widowControl w:val="0"/>
              <w:spacing w:line="240" w:lineRule="auto"/>
              <w:rPr>
                <w:color w:val="1F1F1F"/>
                <w:sz w:val="20"/>
                <w:szCs w:val="20"/>
                <w:highlight w:val="white"/>
              </w:rPr>
            </w:pPr>
            <w:r>
              <w:rPr>
                <w:color w:val="1F1F1F"/>
                <w:sz w:val="20"/>
                <w:szCs w:val="20"/>
                <w:highlight w:val="white"/>
              </w:rPr>
              <w:t>55.81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05EA1" w14:textId="77777777" w:rsidR="00B31921" w:rsidRDefault="00000000">
            <w:pPr>
              <w:widowControl w:val="0"/>
              <w:spacing w:line="240" w:lineRule="auto"/>
              <w:rPr>
                <w:color w:val="1F1F1F"/>
                <w:sz w:val="20"/>
                <w:szCs w:val="20"/>
                <w:highlight w:val="white"/>
              </w:rPr>
            </w:pPr>
            <w:r>
              <w:rPr>
                <w:color w:val="1F1F1F"/>
                <w:sz w:val="20"/>
                <w:szCs w:val="20"/>
                <w:highlight w:val="white"/>
              </w:rPr>
              <w:t>1184.09</w:t>
            </w:r>
          </w:p>
        </w:tc>
      </w:tr>
      <w:tr w:rsidR="00B31921" w14:paraId="5CB68350"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C9926" w14:textId="77777777" w:rsidR="00B31921" w:rsidRDefault="00000000">
            <w:pPr>
              <w:widowControl w:val="0"/>
              <w:spacing w:line="240" w:lineRule="auto"/>
              <w:rPr>
                <w:color w:val="1F1F1F"/>
                <w:sz w:val="20"/>
                <w:szCs w:val="20"/>
                <w:highlight w:val="white"/>
              </w:rPr>
            </w:pPr>
            <w:r>
              <w:rPr>
                <w:b/>
                <w:color w:val="1F1F1F"/>
                <w:sz w:val="20"/>
                <w:szCs w:val="20"/>
                <w:highlight w:val="white"/>
              </w:rPr>
              <w:t>cshtrq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C0346" w14:textId="77777777" w:rsidR="00B31921" w:rsidRDefault="00000000">
            <w:pPr>
              <w:widowControl w:val="0"/>
              <w:spacing w:line="240" w:lineRule="auto"/>
              <w:rPr>
                <w:color w:val="1F1F1F"/>
                <w:sz w:val="20"/>
                <w:szCs w:val="20"/>
                <w:highlight w:val="white"/>
              </w:rPr>
            </w:pPr>
            <w:r>
              <w:rPr>
                <w:color w:val="1F1F1F"/>
                <w:sz w:val="20"/>
                <w:szCs w:val="20"/>
                <w:highlight w:val="white"/>
              </w:rPr>
              <w:t>1792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65E4F" w14:textId="77777777" w:rsidR="00B31921" w:rsidRDefault="00000000">
            <w:pPr>
              <w:widowControl w:val="0"/>
              <w:spacing w:line="240" w:lineRule="auto"/>
              <w:rPr>
                <w:color w:val="1F1F1F"/>
                <w:sz w:val="20"/>
                <w:szCs w:val="20"/>
                <w:highlight w:val="white"/>
              </w:rPr>
            </w:pPr>
            <w:r>
              <w:rPr>
                <w:color w:val="1F1F1F"/>
                <w:sz w:val="20"/>
                <w:szCs w:val="20"/>
                <w:highlight w:val="white"/>
              </w:rPr>
              <w:t>1.2e+07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CDA4A" w14:textId="77777777" w:rsidR="00B31921" w:rsidRDefault="00000000">
            <w:pPr>
              <w:widowControl w:val="0"/>
              <w:spacing w:line="240" w:lineRule="auto"/>
              <w:rPr>
                <w:color w:val="1F1F1F"/>
                <w:sz w:val="20"/>
                <w:szCs w:val="20"/>
                <w:highlight w:val="white"/>
              </w:rPr>
            </w:pPr>
            <w:r>
              <w:rPr>
                <w:color w:val="1F1F1F"/>
                <w:sz w:val="20"/>
                <w:szCs w:val="20"/>
                <w:highlight w:val="white"/>
              </w:rPr>
              <w:t>3.4e+07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EF756"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38FC2" w14:textId="77777777" w:rsidR="00B31921" w:rsidRDefault="00000000">
            <w:pPr>
              <w:widowControl w:val="0"/>
              <w:spacing w:line="240" w:lineRule="auto"/>
              <w:rPr>
                <w:color w:val="1F1F1F"/>
                <w:sz w:val="20"/>
                <w:szCs w:val="20"/>
                <w:highlight w:val="white"/>
              </w:rPr>
            </w:pPr>
            <w:r>
              <w:rPr>
                <w:color w:val="1F1F1F"/>
                <w:sz w:val="20"/>
                <w:szCs w:val="20"/>
                <w:highlight w:val="white"/>
              </w:rPr>
              <w:t>6.11e+04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EE66E" w14:textId="77777777" w:rsidR="00B31921" w:rsidRDefault="00000000">
            <w:pPr>
              <w:widowControl w:val="0"/>
              <w:spacing w:line="240" w:lineRule="auto"/>
              <w:rPr>
                <w:color w:val="1F1F1F"/>
                <w:sz w:val="20"/>
                <w:szCs w:val="20"/>
                <w:highlight w:val="white"/>
              </w:rPr>
            </w:pPr>
            <w:r>
              <w:rPr>
                <w:color w:val="1F1F1F"/>
                <w:sz w:val="20"/>
                <w:szCs w:val="20"/>
                <w:highlight w:val="white"/>
              </w:rPr>
              <w:t>5.6e+05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B0BD0" w14:textId="77777777" w:rsidR="00B31921" w:rsidRDefault="00000000">
            <w:pPr>
              <w:widowControl w:val="0"/>
              <w:spacing w:line="240" w:lineRule="auto"/>
              <w:rPr>
                <w:color w:val="1F1F1F"/>
                <w:sz w:val="20"/>
                <w:szCs w:val="20"/>
                <w:highlight w:val="white"/>
              </w:rPr>
            </w:pPr>
            <w:r>
              <w:rPr>
                <w:color w:val="1F1F1F"/>
                <w:sz w:val="20"/>
                <w:szCs w:val="20"/>
                <w:highlight w:val="white"/>
              </w:rPr>
              <w:t>5.7e+06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0FC2A" w14:textId="77777777" w:rsidR="00B31921" w:rsidRDefault="00000000">
            <w:pPr>
              <w:widowControl w:val="0"/>
              <w:spacing w:line="240" w:lineRule="auto"/>
              <w:rPr>
                <w:color w:val="1F1F1F"/>
                <w:sz w:val="20"/>
                <w:szCs w:val="20"/>
                <w:highlight w:val="white"/>
              </w:rPr>
            </w:pPr>
            <w:r>
              <w:rPr>
                <w:color w:val="1F1F1F"/>
                <w:sz w:val="20"/>
                <w:szCs w:val="20"/>
                <w:highlight w:val="white"/>
              </w:rPr>
              <w:t>4.0e+08</w:t>
            </w:r>
          </w:p>
        </w:tc>
      </w:tr>
      <w:tr w:rsidR="00B31921" w14:paraId="3F0BFA7E"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88CC5" w14:textId="77777777" w:rsidR="00B31921" w:rsidRDefault="00000000">
            <w:pPr>
              <w:widowControl w:val="0"/>
              <w:spacing w:line="240" w:lineRule="auto"/>
              <w:rPr>
                <w:color w:val="1F1F1F"/>
                <w:sz w:val="20"/>
                <w:szCs w:val="20"/>
                <w:highlight w:val="white"/>
              </w:rPr>
            </w:pPr>
            <w:r>
              <w:rPr>
                <w:b/>
                <w:color w:val="1F1F1F"/>
                <w:sz w:val="20"/>
                <w:szCs w:val="20"/>
                <w:highlight w:val="white"/>
              </w:rPr>
              <w:t>capxy</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D534E" w14:textId="77777777" w:rsidR="00B31921" w:rsidRDefault="00000000">
            <w:pPr>
              <w:widowControl w:val="0"/>
              <w:spacing w:line="240" w:lineRule="auto"/>
              <w:rPr>
                <w:color w:val="1F1F1F"/>
                <w:sz w:val="20"/>
                <w:szCs w:val="20"/>
                <w:highlight w:val="white"/>
              </w:rPr>
            </w:pPr>
            <w:r>
              <w:rPr>
                <w:color w:val="1F1F1F"/>
                <w:sz w:val="20"/>
                <w:szCs w:val="20"/>
                <w:highlight w:val="white"/>
              </w:rPr>
              <w:t>1920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1CD33" w14:textId="77777777" w:rsidR="00B31921" w:rsidRDefault="00000000">
            <w:pPr>
              <w:widowControl w:val="0"/>
              <w:spacing w:line="240" w:lineRule="auto"/>
              <w:rPr>
                <w:color w:val="1F1F1F"/>
                <w:sz w:val="20"/>
                <w:szCs w:val="20"/>
                <w:highlight w:val="white"/>
              </w:rPr>
            </w:pPr>
            <w:r>
              <w:rPr>
                <w:color w:val="1F1F1F"/>
                <w:sz w:val="20"/>
                <w:szCs w:val="20"/>
                <w:highlight w:val="white"/>
              </w:rPr>
              <w:t>60.87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9ECBB" w14:textId="77777777" w:rsidR="00B31921" w:rsidRDefault="00000000">
            <w:pPr>
              <w:widowControl w:val="0"/>
              <w:spacing w:line="240" w:lineRule="auto"/>
              <w:rPr>
                <w:color w:val="1F1F1F"/>
                <w:sz w:val="20"/>
                <w:szCs w:val="20"/>
                <w:highlight w:val="white"/>
              </w:rPr>
            </w:pPr>
            <w:r>
              <w:rPr>
                <w:color w:val="1F1F1F"/>
                <w:sz w:val="20"/>
                <w:szCs w:val="20"/>
                <w:highlight w:val="white"/>
              </w:rPr>
              <w:t>523.16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B752F" w14:textId="77777777" w:rsidR="00B31921" w:rsidRDefault="00000000">
            <w:pPr>
              <w:widowControl w:val="0"/>
              <w:spacing w:line="240" w:lineRule="auto"/>
              <w:rPr>
                <w:color w:val="1F1F1F"/>
                <w:sz w:val="20"/>
                <w:szCs w:val="20"/>
                <w:highlight w:val="white"/>
              </w:rPr>
            </w:pPr>
            <w:r>
              <w:rPr>
                <w:color w:val="1F1F1F"/>
                <w:sz w:val="20"/>
                <w:szCs w:val="20"/>
                <w:highlight w:val="white"/>
              </w:rPr>
              <w:t>-0.45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B6F34"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603A5" w14:textId="77777777" w:rsidR="00B31921" w:rsidRDefault="00000000">
            <w:pPr>
              <w:widowControl w:val="0"/>
              <w:spacing w:line="240" w:lineRule="auto"/>
              <w:rPr>
                <w:color w:val="1F1F1F"/>
                <w:sz w:val="20"/>
                <w:szCs w:val="20"/>
                <w:highlight w:val="white"/>
              </w:rPr>
            </w:pPr>
            <w:r>
              <w:rPr>
                <w:color w:val="1F1F1F"/>
                <w:sz w:val="20"/>
                <w:szCs w:val="20"/>
                <w:highlight w:val="white"/>
              </w:rPr>
              <w:t>0.72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69E0B" w14:textId="77777777" w:rsidR="00B31921" w:rsidRDefault="00000000">
            <w:pPr>
              <w:widowControl w:val="0"/>
              <w:spacing w:line="240" w:lineRule="auto"/>
              <w:rPr>
                <w:color w:val="1F1F1F"/>
                <w:sz w:val="20"/>
                <w:szCs w:val="20"/>
                <w:highlight w:val="white"/>
              </w:rPr>
            </w:pPr>
            <w:r>
              <w:rPr>
                <w:color w:val="1F1F1F"/>
                <w:sz w:val="20"/>
                <w:szCs w:val="20"/>
                <w:highlight w:val="white"/>
              </w:rPr>
              <w:t>10.79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9E251" w14:textId="77777777" w:rsidR="00B31921" w:rsidRDefault="00000000">
            <w:pPr>
              <w:widowControl w:val="0"/>
              <w:spacing w:line="240" w:lineRule="auto"/>
              <w:rPr>
                <w:color w:val="1F1F1F"/>
                <w:sz w:val="20"/>
                <w:szCs w:val="20"/>
                <w:highlight w:val="white"/>
              </w:rPr>
            </w:pPr>
            <w:r>
              <w:rPr>
                <w:color w:val="1F1F1F"/>
                <w:sz w:val="20"/>
                <w:szCs w:val="20"/>
                <w:highlight w:val="white"/>
              </w:rPr>
              <w:t>15885.0</w:t>
            </w:r>
          </w:p>
        </w:tc>
      </w:tr>
      <w:tr w:rsidR="00B31921" w14:paraId="210FF9A6"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58F09" w14:textId="77777777" w:rsidR="00B31921" w:rsidRDefault="00000000">
            <w:pPr>
              <w:widowControl w:val="0"/>
              <w:spacing w:line="240" w:lineRule="auto"/>
              <w:rPr>
                <w:color w:val="1F1F1F"/>
                <w:sz w:val="20"/>
                <w:szCs w:val="20"/>
                <w:highlight w:val="white"/>
              </w:rPr>
            </w:pPr>
            <w:r>
              <w:rPr>
                <w:b/>
                <w:color w:val="1F1F1F"/>
                <w:sz w:val="20"/>
                <w:szCs w:val="20"/>
                <w:highlight w:val="white"/>
              </w:rPr>
              <w:t>oiadpq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D2F41" w14:textId="77777777" w:rsidR="00B31921" w:rsidRDefault="00000000">
            <w:pPr>
              <w:widowControl w:val="0"/>
              <w:spacing w:line="240" w:lineRule="auto"/>
              <w:rPr>
                <w:color w:val="1F1F1F"/>
                <w:sz w:val="20"/>
                <w:szCs w:val="20"/>
                <w:highlight w:val="white"/>
              </w:rPr>
            </w:pPr>
            <w:r>
              <w:rPr>
                <w:color w:val="1F1F1F"/>
                <w:sz w:val="20"/>
                <w:szCs w:val="20"/>
                <w:highlight w:val="white"/>
              </w:rPr>
              <w:t>1922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A8210" w14:textId="77777777" w:rsidR="00B31921" w:rsidRDefault="00000000">
            <w:pPr>
              <w:widowControl w:val="0"/>
              <w:spacing w:line="240" w:lineRule="auto"/>
              <w:rPr>
                <w:color w:val="1F1F1F"/>
                <w:sz w:val="20"/>
                <w:szCs w:val="20"/>
                <w:highlight w:val="white"/>
              </w:rPr>
            </w:pPr>
            <w:r>
              <w:rPr>
                <w:color w:val="1F1F1F"/>
                <w:sz w:val="20"/>
                <w:szCs w:val="20"/>
                <w:highlight w:val="white"/>
              </w:rPr>
              <w:t>14.47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C9B84" w14:textId="77777777" w:rsidR="00B31921" w:rsidRDefault="00000000">
            <w:pPr>
              <w:widowControl w:val="0"/>
              <w:spacing w:line="240" w:lineRule="auto"/>
              <w:rPr>
                <w:color w:val="1F1F1F"/>
                <w:sz w:val="20"/>
                <w:szCs w:val="20"/>
                <w:highlight w:val="white"/>
              </w:rPr>
            </w:pPr>
            <w:r>
              <w:rPr>
                <w:color w:val="1F1F1F"/>
                <w:sz w:val="20"/>
                <w:szCs w:val="20"/>
                <w:highlight w:val="white"/>
              </w:rPr>
              <w:t>150.86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712F6" w14:textId="77777777" w:rsidR="00B31921" w:rsidRDefault="00000000">
            <w:pPr>
              <w:widowControl w:val="0"/>
              <w:spacing w:line="240" w:lineRule="auto"/>
              <w:rPr>
                <w:color w:val="1F1F1F"/>
                <w:sz w:val="20"/>
                <w:szCs w:val="20"/>
                <w:highlight w:val="white"/>
              </w:rPr>
            </w:pPr>
            <w:r>
              <w:rPr>
                <w:color w:val="1F1F1F"/>
                <w:sz w:val="20"/>
                <w:szCs w:val="20"/>
                <w:highlight w:val="white"/>
              </w:rPr>
              <w:t>-3673.05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F3285" w14:textId="77777777" w:rsidR="00B31921" w:rsidRDefault="00000000">
            <w:pPr>
              <w:widowControl w:val="0"/>
              <w:spacing w:line="240" w:lineRule="auto"/>
              <w:rPr>
                <w:color w:val="1F1F1F"/>
                <w:sz w:val="20"/>
                <w:szCs w:val="20"/>
                <w:highlight w:val="white"/>
              </w:rPr>
            </w:pPr>
            <w:r>
              <w:rPr>
                <w:color w:val="1F1F1F"/>
                <w:sz w:val="20"/>
                <w:szCs w:val="20"/>
                <w:highlight w:val="white"/>
              </w:rPr>
              <w:t>-0.29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1F947" w14:textId="77777777" w:rsidR="00B31921" w:rsidRDefault="00000000">
            <w:pPr>
              <w:widowControl w:val="0"/>
              <w:spacing w:line="240" w:lineRule="auto"/>
              <w:rPr>
                <w:color w:val="1F1F1F"/>
                <w:sz w:val="20"/>
                <w:szCs w:val="20"/>
                <w:highlight w:val="white"/>
              </w:rPr>
            </w:pPr>
            <w:r>
              <w:rPr>
                <w:color w:val="1F1F1F"/>
                <w:sz w:val="20"/>
                <w:szCs w:val="20"/>
                <w:highlight w:val="white"/>
              </w:rPr>
              <w:t>0.27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4CDEC" w14:textId="77777777" w:rsidR="00B31921" w:rsidRDefault="00000000">
            <w:pPr>
              <w:widowControl w:val="0"/>
              <w:spacing w:line="240" w:lineRule="auto"/>
              <w:rPr>
                <w:color w:val="1F1F1F"/>
                <w:sz w:val="20"/>
                <w:szCs w:val="20"/>
                <w:highlight w:val="white"/>
              </w:rPr>
            </w:pPr>
            <w:r>
              <w:rPr>
                <w:color w:val="1F1F1F"/>
                <w:sz w:val="20"/>
                <w:szCs w:val="20"/>
                <w:highlight w:val="white"/>
              </w:rPr>
              <w:t>8.84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C81E4" w14:textId="77777777" w:rsidR="00B31921" w:rsidRDefault="00000000">
            <w:pPr>
              <w:widowControl w:val="0"/>
              <w:spacing w:line="240" w:lineRule="auto"/>
              <w:rPr>
                <w:color w:val="1F1F1F"/>
                <w:sz w:val="20"/>
                <w:szCs w:val="20"/>
                <w:highlight w:val="white"/>
              </w:rPr>
            </w:pPr>
            <w:r>
              <w:rPr>
                <w:color w:val="1F1F1F"/>
                <w:sz w:val="20"/>
                <w:szCs w:val="20"/>
                <w:highlight w:val="white"/>
              </w:rPr>
              <w:t>941.0</w:t>
            </w:r>
          </w:p>
        </w:tc>
      </w:tr>
      <w:tr w:rsidR="00B31921" w14:paraId="5E6EA484"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91105" w14:textId="77777777" w:rsidR="00B31921" w:rsidRDefault="00000000">
            <w:pPr>
              <w:widowControl w:val="0"/>
              <w:spacing w:line="240" w:lineRule="auto"/>
              <w:rPr>
                <w:color w:val="1F1F1F"/>
                <w:sz w:val="20"/>
                <w:szCs w:val="20"/>
                <w:highlight w:val="white"/>
              </w:rPr>
            </w:pPr>
            <w:r>
              <w:rPr>
                <w:b/>
                <w:color w:val="1F1F1F"/>
                <w:sz w:val="20"/>
                <w:szCs w:val="20"/>
                <w:highlight w:val="white"/>
              </w:rPr>
              <w:t>niq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EE41B" w14:textId="77777777" w:rsidR="00B31921" w:rsidRDefault="00000000">
            <w:pPr>
              <w:widowControl w:val="0"/>
              <w:spacing w:line="240" w:lineRule="auto"/>
              <w:rPr>
                <w:color w:val="1F1F1F"/>
                <w:sz w:val="20"/>
                <w:szCs w:val="20"/>
                <w:highlight w:val="white"/>
              </w:rPr>
            </w:pPr>
            <w:r>
              <w:rPr>
                <w:color w:val="1F1F1F"/>
                <w:sz w:val="20"/>
                <w:szCs w:val="20"/>
                <w:highlight w:val="white"/>
              </w:rPr>
              <w:t>1922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199E1" w14:textId="77777777" w:rsidR="00B31921" w:rsidRDefault="00000000">
            <w:pPr>
              <w:widowControl w:val="0"/>
              <w:spacing w:line="240" w:lineRule="auto"/>
              <w:rPr>
                <w:color w:val="1F1F1F"/>
                <w:sz w:val="20"/>
                <w:szCs w:val="20"/>
                <w:highlight w:val="white"/>
              </w:rPr>
            </w:pPr>
            <w:r>
              <w:rPr>
                <w:color w:val="1F1F1F"/>
                <w:sz w:val="20"/>
                <w:szCs w:val="20"/>
                <w:highlight w:val="white"/>
              </w:rPr>
              <w:t>1.56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91DCF" w14:textId="77777777" w:rsidR="00B31921" w:rsidRDefault="00000000">
            <w:pPr>
              <w:widowControl w:val="0"/>
              <w:spacing w:line="240" w:lineRule="auto"/>
              <w:rPr>
                <w:color w:val="1F1F1F"/>
                <w:sz w:val="20"/>
                <w:szCs w:val="20"/>
                <w:highlight w:val="white"/>
              </w:rPr>
            </w:pPr>
            <w:r>
              <w:rPr>
                <w:color w:val="1F1F1F"/>
                <w:sz w:val="20"/>
                <w:szCs w:val="20"/>
                <w:highlight w:val="white"/>
              </w:rPr>
              <w:t>113.38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97C91" w14:textId="77777777" w:rsidR="00B31921" w:rsidRDefault="00000000">
            <w:pPr>
              <w:widowControl w:val="0"/>
              <w:spacing w:line="240" w:lineRule="auto"/>
              <w:rPr>
                <w:color w:val="1F1F1F"/>
                <w:sz w:val="20"/>
                <w:szCs w:val="20"/>
                <w:highlight w:val="white"/>
              </w:rPr>
            </w:pPr>
            <w:r>
              <w:rPr>
                <w:color w:val="1F1F1F"/>
                <w:sz w:val="20"/>
                <w:szCs w:val="20"/>
                <w:highlight w:val="white"/>
              </w:rPr>
              <w:t>-2828.92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B5DE" w14:textId="77777777" w:rsidR="00B31921" w:rsidRDefault="00000000">
            <w:pPr>
              <w:widowControl w:val="0"/>
              <w:spacing w:line="240" w:lineRule="auto"/>
              <w:rPr>
                <w:color w:val="1F1F1F"/>
                <w:sz w:val="20"/>
                <w:szCs w:val="20"/>
                <w:highlight w:val="white"/>
              </w:rPr>
            </w:pPr>
            <w:r>
              <w:rPr>
                <w:color w:val="1F1F1F"/>
                <w:sz w:val="20"/>
                <w:szCs w:val="20"/>
                <w:highlight w:val="white"/>
              </w:rPr>
              <w:t>-0.88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9F4C5"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FEB6E" w14:textId="77777777" w:rsidR="00B31921" w:rsidRDefault="00000000">
            <w:pPr>
              <w:widowControl w:val="0"/>
              <w:spacing w:line="240" w:lineRule="auto"/>
              <w:rPr>
                <w:color w:val="1F1F1F"/>
                <w:sz w:val="20"/>
                <w:szCs w:val="20"/>
                <w:highlight w:val="white"/>
              </w:rPr>
            </w:pPr>
            <w:r>
              <w:rPr>
                <w:color w:val="1F1F1F"/>
                <w:sz w:val="20"/>
                <w:szCs w:val="20"/>
                <w:highlight w:val="white"/>
              </w:rPr>
              <w:t>4.50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7A7D6" w14:textId="77777777" w:rsidR="00B31921" w:rsidRDefault="00000000">
            <w:pPr>
              <w:widowControl w:val="0"/>
              <w:spacing w:line="240" w:lineRule="auto"/>
              <w:rPr>
                <w:color w:val="1F1F1F"/>
                <w:sz w:val="20"/>
                <w:szCs w:val="20"/>
                <w:highlight w:val="white"/>
              </w:rPr>
            </w:pPr>
            <w:r>
              <w:rPr>
                <w:color w:val="1F1F1F"/>
                <w:sz w:val="20"/>
                <w:szCs w:val="20"/>
                <w:highlight w:val="white"/>
              </w:rPr>
              <w:t>727.66</w:t>
            </w:r>
          </w:p>
        </w:tc>
      </w:tr>
      <w:tr w:rsidR="00B31921" w14:paraId="22AC6E7C"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A4BBF" w14:textId="77777777" w:rsidR="00B31921" w:rsidRDefault="00000000">
            <w:pPr>
              <w:widowControl w:val="0"/>
              <w:spacing w:line="240" w:lineRule="auto"/>
              <w:rPr>
                <w:color w:val="1F1F1F"/>
                <w:sz w:val="20"/>
                <w:szCs w:val="20"/>
                <w:highlight w:val="white"/>
              </w:rPr>
            </w:pPr>
            <w:r>
              <w:rPr>
                <w:b/>
                <w:color w:val="1F1F1F"/>
                <w:sz w:val="20"/>
                <w:szCs w:val="20"/>
                <w:highlight w:val="white"/>
              </w:rPr>
              <w:t>xoprq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8B888" w14:textId="77777777" w:rsidR="00B31921" w:rsidRDefault="00000000">
            <w:pPr>
              <w:widowControl w:val="0"/>
              <w:spacing w:line="240" w:lineRule="auto"/>
              <w:rPr>
                <w:color w:val="1F1F1F"/>
                <w:sz w:val="20"/>
                <w:szCs w:val="20"/>
                <w:highlight w:val="white"/>
              </w:rPr>
            </w:pPr>
            <w:r>
              <w:rPr>
                <w:color w:val="1F1F1F"/>
                <w:sz w:val="20"/>
                <w:szCs w:val="20"/>
                <w:highlight w:val="white"/>
              </w:rPr>
              <w:t>1922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BDA3A" w14:textId="77777777" w:rsidR="00B31921" w:rsidRDefault="00000000">
            <w:pPr>
              <w:widowControl w:val="0"/>
              <w:spacing w:line="240" w:lineRule="auto"/>
              <w:rPr>
                <w:color w:val="1F1F1F"/>
                <w:sz w:val="20"/>
                <w:szCs w:val="20"/>
                <w:highlight w:val="white"/>
              </w:rPr>
            </w:pPr>
            <w:r>
              <w:rPr>
                <w:color w:val="1F1F1F"/>
                <w:sz w:val="20"/>
                <w:szCs w:val="20"/>
                <w:highlight w:val="white"/>
              </w:rPr>
              <w:t>163.84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FABFB" w14:textId="77777777" w:rsidR="00B31921" w:rsidRDefault="00000000">
            <w:pPr>
              <w:widowControl w:val="0"/>
              <w:spacing w:line="240" w:lineRule="auto"/>
              <w:rPr>
                <w:color w:val="1F1F1F"/>
                <w:sz w:val="20"/>
                <w:szCs w:val="20"/>
                <w:highlight w:val="white"/>
              </w:rPr>
            </w:pPr>
            <w:r>
              <w:rPr>
                <w:color w:val="1F1F1F"/>
                <w:sz w:val="20"/>
                <w:szCs w:val="20"/>
                <w:highlight w:val="white"/>
              </w:rPr>
              <w:t>542.53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5710C" w14:textId="77777777" w:rsidR="00B31921" w:rsidRDefault="00000000">
            <w:pPr>
              <w:widowControl w:val="0"/>
              <w:spacing w:line="240" w:lineRule="auto"/>
              <w:rPr>
                <w:color w:val="1F1F1F"/>
                <w:sz w:val="20"/>
                <w:szCs w:val="20"/>
                <w:highlight w:val="white"/>
              </w:rPr>
            </w:pPr>
            <w:r>
              <w:rPr>
                <w:color w:val="1F1F1F"/>
                <w:sz w:val="20"/>
                <w:szCs w:val="20"/>
                <w:highlight w:val="white"/>
              </w:rPr>
              <w:t>-0.62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EA5AD" w14:textId="77777777" w:rsidR="00B31921" w:rsidRDefault="00000000">
            <w:pPr>
              <w:widowControl w:val="0"/>
              <w:spacing w:line="240" w:lineRule="auto"/>
              <w:rPr>
                <w:color w:val="1F1F1F"/>
                <w:sz w:val="20"/>
                <w:szCs w:val="20"/>
                <w:highlight w:val="white"/>
              </w:rPr>
            </w:pPr>
            <w:r>
              <w:rPr>
                <w:color w:val="1F1F1F"/>
                <w:sz w:val="20"/>
                <w:szCs w:val="20"/>
                <w:highlight w:val="white"/>
              </w:rPr>
              <w:t>0.65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6A495" w14:textId="77777777" w:rsidR="00B31921" w:rsidRDefault="00000000">
            <w:pPr>
              <w:widowControl w:val="0"/>
              <w:spacing w:line="240" w:lineRule="auto"/>
              <w:rPr>
                <w:color w:val="1F1F1F"/>
                <w:sz w:val="20"/>
                <w:szCs w:val="20"/>
                <w:highlight w:val="white"/>
              </w:rPr>
            </w:pPr>
            <w:r>
              <w:rPr>
                <w:color w:val="1F1F1F"/>
                <w:sz w:val="20"/>
                <w:szCs w:val="20"/>
                <w:highlight w:val="white"/>
              </w:rPr>
              <w:t>5.80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4AD96" w14:textId="77777777" w:rsidR="00B31921" w:rsidRDefault="00000000">
            <w:pPr>
              <w:widowControl w:val="0"/>
              <w:spacing w:line="240" w:lineRule="auto"/>
              <w:rPr>
                <w:color w:val="1F1F1F"/>
                <w:sz w:val="20"/>
                <w:szCs w:val="20"/>
                <w:highlight w:val="white"/>
              </w:rPr>
            </w:pPr>
            <w:r>
              <w:rPr>
                <w:color w:val="1F1F1F"/>
                <w:sz w:val="20"/>
                <w:szCs w:val="20"/>
                <w:highlight w:val="white"/>
              </w:rPr>
              <w:t>66.46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43BF1" w14:textId="77777777" w:rsidR="00B31921" w:rsidRDefault="00000000">
            <w:pPr>
              <w:widowControl w:val="0"/>
              <w:spacing w:line="240" w:lineRule="auto"/>
              <w:rPr>
                <w:color w:val="1F1F1F"/>
                <w:sz w:val="20"/>
                <w:szCs w:val="20"/>
                <w:highlight w:val="white"/>
              </w:rPr>
            </w:pPr>
            <w:r>
              <w:rPr>
                <w:color w:val="1F1F1F"/>
                <w:sz w:val="20"/>
                <w:szCs w:val="20"/>
                <w:highlight w:val="white"/>
              </w:rPr>
              <w:t>6481.37</w:t>
            </w:r>
          </w:p>
        </w:tc>
      </w:tr>
      <w:tr w:rsidR="00B31921" w14:paraId="75624508"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74E08" w14:textId="77777777" w:rsidR="00B31921" w:rsidRDefault="00000000">
            <w:pPr>
              <w:widowControl w:val="0"/>
              <w:spacing w:line="240" w:lineRule="auto"/>
              <w:rPr>
                <w:color w:val="1F1F1F"/>
                <w:sz w:val="20"/>
                <w:szCs w:val="20"/>
                <w:highlight w:val="white"/>
              </w:rPr>
            </w:pPr>
            <w:r>
              <w:rPr>
                <w:b/>
                <w:color w:val="1F1F1F"/>
                <w:sz w:val="20"/>
                <w:szCs w:val="20"/>
                <w:highlight w:val="white"/>
              </w:rPr>
              <w:t>teqq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97195" w14:textId="77777777" w:rsidR="00B31921" w:rsidRDefault="00000000">
            <w:pPr>
              <w:widowControl w:val="0"/>
              <w:spacing w:line="240" w:lineRule="auto"/>
              <w:rPr>
                <w:color w:val="1F1F1F"/>
                <w:sz w:val="20"/>
                <w:szCs w:val="20"/>
                <w:highlight w:val="white"/>
              </w:rPr>
            </w:pPr>
            <w:r>
              <w:rPr>
                <w:color w:val="1F1F1F"/>
                <w:sz w:val="20"/>
                <w:szCs w:val="20"/>
                <w:highlight w:val="white"/>
              </w:rPr>
              <w:t>1926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73174" w14:textId="77777777" w:rsidR="00B31921" w:rsidRDefault="00000000">
            <w:pPr>
              <w:widowControl w:val="0"/>
              <w:spacing w:line="240" w:lineRule="auto"/>
              <w:rPr>
                <w:color w:val="1F1F1F"/>
                <w:sz w:val="20"/>
                <w:szCs w:val="20"/>
                <w:highlight w:val="white"/>
              </w:rPr>
            </w:pPr>
            <w:r>
              <w:rPr>
                <w:color w:val="1F1F1F"/>
                <w:sz w:val="20"/>
                <w:szCs w:val="20"/>
                <w:highlight w:val="white"/>
              </w:rPr>
              <w:t>662.55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0FE30" w14:textId="77777777" w:rsidR="00B31921" w:rsidRDefault="00000000">
            <w:pPr>
              <w:widowControl w:val="0"/>
              <w:spacing w:line="240" w:lineRule="auto"/>
              <w:rPr>
                <w:color w:val="1F1F1F"/>
                <w:sz w:val="20"/>
                <w:szCs w:val="20"/>
                <w:highlight w:val="white"/>
              </w:rPr>
            </w:pPr>
            <w:r>
              <w:rPr>
                <w:color w:val="1F1F1F"/>
                <w:sz w:val="20"/>
                <w:szCs w:val="20"/>
                <w:highlight w:val="white"/>
              </w:rPr>
              <w:t>3731.33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4697B" w14:textId="77777777" w:rsidR="00B31921" w:rsidRDefault="00000000">
            <w:pPr>
              <w:widowControl w:val="0"/>
              <w:spacing w:line="240" w:lineRule="auto"/>
              <w:rPr>
                <w:color w:val="1F1F1F"/>
                <w:sz w:val="20"/>
                <w:szCs w:val="20"/>
                <w:highlight w:val="white"/>
              </w:rPr>
            </w:pPr>
            <w:r>
              <w:rPr>
                <w:color w:val="1F1F1F"/>
                <w:sz w:val="20"/>
                <w:szCs w:val="20"/>
                <w:highlight w:val="white"/>
              </w:rPr>
              <w:t>-1774.91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F58D7" w14:textId="77777777" w:rsidR="00B31921" w:rsidRDefault="00000000">
            <w:pPr>
              <w:widowControl w:val="0"/>
              <w:spacing w:line="240" w:lineRule="auto"/>
              <w:rPr>
                <w:color w:val="1F1F1F"/>
                <w:sz w:val="20"/>
                <w:szCs w:val="20"/>
                <w:highlight w:val="white"/>
              </w:rPr>
            </w:pPr>
            <w:r>
              <w:rPr>
                <w:color w:val="1F1F1F"/>
                <w:sz w:val="20"/>
                <w:szCs w:val="20"/>
                <w:highlight w:val="white"/>
              </w:rPr>
              <w:t>2.99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0230C" w14:textId="77777777" w:rsidR="00B31921" w:rsidRDefault="00000000">
            <w:pPr>
              <w:widowControl w:val="0"/>
              <w:spacing w:line="240" w:lineRule="auto"/>
              <w:rPr>
                <w:color w:val="1F1F1F"/>
                <w:sz w:val="20"/>
                <w:szCs w:val="20"/>
                <w:highlight w:val="white"/>
              </w:rPr>
            </w:pPr>
            <w:r>
              <w:rPr>
                <w:color w:val="1F1F1F"/>
                <w:sz w:val="20"/>
                <w:szCs w:val="20"/>
                <w:highlight w:val="white"/>
              </w:rPr>
              <w:t>46.00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D4F6A" w14:textId="77777777" w:rsidR="00B31921" w:rsidRDefault="00000000">
            <w:pPr>
              <w:widowControl w:val="0"/>
              <w:spacing w:line="240" w:lineRule="auto"/>
              <w:rPr>
                <w:color w:val="1F1F1F"/>
                <w:sz w:val="20"/>
                <w:szCs w:val="20"/>
                <w:highlight w:val="white"/>
              </w:rPr>
            </w:pPr>
            <w:r>
              <w:rPr>
                <w:color w:val="1F1F1F"/>
                <w:sz w:val="20"/>
                <w:szCs w:val="20"/>
                <w:highlight w:val="white"/>
              </w:rPr>
              <w:t>263.96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C5700" w14:textId="77777777" w:rsidR="00B31921" w:rsidRDefault="00000000">
            <w:pPr>
              <w:widowControl w:val="0"/>
              <w:spacing w:line="240" w:lineRule="auto"/>
              <w:rPr>
                <w:color w:val="1F1F1F"/>
                <w:sz w:val="20"/>
                <w:szCs w:val="20"/>
                <w:highlight w:val="white"/>
              </w:rPr>
            </w:pPr>
            <w:r>
              <w:rPr>
                <w:color w:val="1F1F1F"/>
                <w:sz w:val="20"/>
                <w:szCs w:val="20"/>
                <w:highlight w:val="white"/>
              </w:rPr>
              <w:t>46740.0</w:t>
            </w:r>
          </w:p>
        </w:tc>
      </w:tr>
      <w:tr w:rsidR="00B31921" w14:paraId="322A4DE2"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F4049" w14:textId="77777777" w:rsidR="00B31921" w:rsidRDefault="00000000">
            <w:pPr>
              <w:widowControl w:val="0"/>
              <w:spacing w:line="240" w:lineRule="auto"/>
              <w:rPr>
                <w:color w:val="1F1F1F"/>
                <w:sz w:val="20"/>
                <w:szCs w:val="20"/>
                <w:highlight w:val="white"/>
              </w:rPr>
            </w:pPr>
            <w:r>
              <w:rPr>
                <w:b/>
                <w:color w:val="1F1F1F"/>
                <w:sz w:val="20"/>
                <w:szCs w:val="20"/>
                <w:highlight w:val="white"/>
              </w:rPr>
              <w:t>atq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21E71" w14:textId="77777777" w:rsidR="00B31921" w:rsidRDefault="00000000">
            <w:pPr>
              <w:widowControl w:val="0"/>
              <w:spacing w:line="240" w:lineRule="auto"/>
              <w:rPr>
                <w:color w:val="1F1F1F"/>
                <w:sz w:val="20"/>
                <w:szCs w:val="20"/>
                <w:highlight w:val="white"/>
              </w:rPr>
            </w:pPr>
            <w:r>
              <w:rPr>
                <w:color w:val="1F1F1F"/>
                <w:sz w:val="20"/>
                <w:szCs w:val="20"/>
                <w:highlight w:val="white"/>
              </w:rPr>
              <w:t>1926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69A6F" w14:textId="77777777" w:rsidR="00B31921" w:rsidRDefault="00000000">
            <w:pPr>
              <w:widowControl w:val="0"/>
              <w:spacing w:line="240" w:lineRule="auto"/>
              <w:rPr>
                <w:color w:val="1F1F1F"/>
                <w:sz w:val="20"/>
                <w:szCs w:val="20"/>
                <w:highlight w:val="white"/>
              </w:rPr>
            </w:pPr>
            <w:r>
              <w:rPr>
                <w:color w:val="1F1F1F"/>
                <w:sz w:val="20"/>
                <w:szCs w:val="20"/>
                <w:highlight w:val="white"/>
              </w:rPr>
              <w:t>2042.76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F75CE" w14:textId="77777777" w:rsidR="00B31921" w:rsidRDefault="00000000">
            <w:pPr>
              <w:widowControl w:val="0"/>
              <w:spacing w:line="240" w:lineRule="auto"/>
              <w:rPr>
                <w:color w:val="1F1F1F"/>
                <w:sz w:val="20"/>
                <w:szCs w:val="20"/>
                <w:highlight w:val="white"/>
              </w:rPr>
            </w:pPr>
            <w:r>
              <w:rPr>
                <w:color w:val="1F1F1F"/>
                <w:sz w:val="20"/>
                <w:szCs w:val="20"/>
                <w:highlight w:val="white"/>
              </w:rPr>
              <w:t>9316.12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745BC"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B3EB2" w14:textId="77777777" w:rsidR="00B31921" w:rsidRDefault="00000000">
            <w:pPr>
              <w:widowControl w:val="0"/>
              <w:spacing w:line="240" w:lineRule="auto"/>
              <w:rPr>
                <w:color w:val="1F1F1F"/>
                <w:sz w:val="20"/>
                <w:szCs w:val="20"/>
                <w:highlight w:val="white"/>
              </w:rPr>
            </w:pPr>
            <w:r>
              <w:rPr>
                <w:color w:val="1F1F1F"/>
                <w:sz w:val="20"/>
                <w:szCs w:val="20"/>
                <w:highlight w:val="white"/>
              </w:rPr>
              <w:t>23.79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1271B" w14:textId="77777777" w:rsidR="00B31921" w:rsidRDefault="00000000">
            <w:pPr>
              <w:widowControl w:val="0"/>
              <w:spacing w:line="240" w:lineRule="auto"/>
              <w:rPr>
                <w:color w:val="1F1F1F"/>
                <w:sz w:val="20"/>
                <w:szCs w:val="20"/>
                <w:highlight w:val="white"/>
              </w:rPr>
            </w:pPr>
            <w:r>
              <w:rPr>
                <w:color w:val="1F1F1F"/>
                <w:sz w:val="20"/>
                <w:szCs w:val="20"/>
                <w:highlight w:val="white"/>
              </w:rPr>
              <w:t>150.83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5F4C6" w14:textId="77777777" w:rsidR="00B31921" w:rsidRDefault="00000000">
            <w:pPr>
              <w:widowControl w:val="0"/>
              <w:spacing w:line="240" w:lineRule="auto"/>
              <w:rPr>
                <w:color w:val="1F1F1F"/>
                <w:sz w:val="20"/>
                <w:szCs w:val="20"/>
                <w:highlight w:val="white"/>
              </w:rPr>
            </w:pPr>
            <w:r>
              <w:rPr>
                <w:color w:val="1F1F1F"/>
                <w:sz w:val="20"/>
                <w:szCs w:val="20"/>
                <w:highlight w:val="white"/>
              </w:rPr>
              <w:t>1116.79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C3217" w14:textId="77777777" w:rsidR="00B31921" w:rsidRDefault="00000000">
            <w:pPr>
              <w:widowControl w:val="0"/>
              <w:spacing w:line="240" w:lineRule="auto"/>
              <w:rPr>
                <w:color w:val="1F1F1F"/>
                <w:sz w:val="20"/>
                <w:szCs w:val="20"/>
                <w:highlight w:val="white"/>
              </w:rPr>
            </w:pPr>
            <w:r>
              <w:rPr>
                <w:color w:val="1F1F1F"/>
                <w:sz w:val="20"/>
                <w:szCs w:val="20"/>
                <w:highlight w:val="white"/>
              </w:rPr>
              <w:t>122520</w:t>
            </w:r>
          </w:p>
        </w:tc>
      </w:tr>
      <w:tr w:rsidR="00B31921" w14:paraId="3E328E38"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B36A" w14:textId="77777777" w:rsidR="00B31921" w:rsidRDefault="00000000">
            <w:pPr>
              <w:widowControl w:val="0"/>
              <w:spacing w:line="240" w:lineRule="auto"/>
              <w:rPr>
                <w:color w:val="1F1F1F"/>
                <w:sz w:val="20"/>
                <w:szCs w:val="20"/>
                <w:highlight w:val="white"/>
              </w:rPr>
            </w:pPr>
            <w:r>
              <w:rPr>
                <w:b/>
                <w:color w:val="1F1F1F"/>
                <w:sz w:val="20"/>
                <w:szCs w:val="20"/>
                <w:highlight w:val="white"/>
              </w:rPr>
              <w:t>epsfiq</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1BAF4" w14:textId="77777777" w:rsidR="00B31921" w:rsidRDefault="00000000">
            <w:pPr>
              <w:widowControl w:val="0"/>
              <w:spacing w:line="240" w:lineRule="auto"/>
              <w:rPr>
                <w:color w:val="1F1F1F"/>
                <w:sz w:val="20"/>
                <w:szCs w:val="20"/>
                <w:highlight w:val="white"/>
              </w:rPr>
            </w:pPr>
            <w:r>
              <w:rPr>
                <w:color w:val="1F1F1F"/>
                <w:sz w:val="20"/>
                <w:szCs w:val="20"/>
                <w:highlight w:val="white"/>
              </w:rPr>
              <w:t>1904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E0D7D" w14:textId="77777777" w:rsidR="00B31921" w:rsidRDefault="00000000">
            <w:pPr>
              <w:widowControl w:val="0"/>
              <w:spacing w:line="240" w:lineRule="auto"/>
              <w:rPr>
                <w:color w:val="1F1F1F"/>
                <w:sz w:val="20"/>
                <w:szCs w:val="20"/>
                <w:highlight w:val="white"/>
              </w:rPr>
            </w:pPr>
            <w:r>
              <w:rPr>
                <w:color w:val="1F1F1F"/>
                <w:sz w:val="20"/>
                <w:szCs w:val="20"/>
                <w:highlight w:val="white"/>
              </w:rPr>
              <w:t>0.41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84F26" w14:textId="77777777" w:rsidR="00B31921" w:rsidRDefault="00000000">
            <w:pPr>
              <w:widowControl w:val="0"/>
              <w:spacing w:line="240" w:lineRule="auto"/>
              <w:rPr>
                <w:color w:val="1F1F1F"/>
                <w:sz w:val="20"/>
                <w:szCs w:val="20"/>
                <w:highlight w:val="white"/>
              </w:rPr>
            </w:pPr>
            <w:r>
              <w:rPr>
                <w:color w:val="1F1F1F"/>
                <w:sz w:val="20"/>
                <w:szCs w:val="20"/>
                <w:highlight w:val="white"/>
              </w:rPr>
              <w:t>7.08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13D5E" w14:textId="77777777" w:rsidR="00B31921" w:rsidRDefault="00000000">
            <w:pPr>
              <w:widowControl w:val="0"/>
              <w:spacing w:line="240" w:lineRule="auto"/>
              <w:rPr>
                <w:color w:val="1F1F1F"/>
                <w:sz w:val="20"/>
                <w:szCs w:val="20"/>
                <w:highlight w:val="white"/>
              </w:rPr>
            </w:pPr>
            <w:r>
              <w:rPr>
                <w:color w:val="1F1F1F"/>
                <w:sz w:val="20"/>
                <w:szCs w:val="20"/>
                <w:highlight w:val="white"/>
              </w:rPr>
              <w:t>-56.45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C33D1" w14:textId="77777777" w:rsidR="00B31921" w:rsidRDefault="00000000">
            <w:pPr>
              <w:widowControl w:val="0"/>
              <w:spacing w:line="240" w:lineRule="auto"/>
              <w:rPr>
                <w:color w:val="1F1F1F"/>
                <w:sz w:val="20"/>
                <w:szCs w:val="20"/>
                <w:highlight w:val="white"/>
              </w:rPr>
            </w:pPr>
            <w:r>
              <w:rPr>
                <w:color w:val="1F1F1F"/>
                <w:sz w:val="20"/>
                <w:szCs w:val="20"/>
                <w:highlight w:val="white"/>
              </w:rPr>
              <w:t>-0.06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C8548"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20960" w14:textId="77777777" w:rsidR="00B31921" w:rsidRDefault="00000000">
            <w:pPr>
              <w:widowControl w:val="0"/>
              <w:spacing w:line="240" w:lineRule="auto"/>
              <w:rPr>
                <w:color w:val="1F1F1F"/>
                <w:sz w:val="20"/>
                <w:szCs w:val="20"/>
                <w:highlight w:val="white"/>
              </w:rPr>
            </w:pPr>
            <w:r>
              <w:rPr>
                <w:color w:val="1F1F1F"/>
                <w:sz w:val="20"/>
                <w:szCs w:val="20"/>
                <w:highlight w:val="white"/>
              </w:rPr>
              <w:t>0.17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E8934" w14:textId="77777777" w:rsidR="00B31921" w:rsidRDefault="00000000">
            <w:pPr>
              <w:widowControl w:val="0"/>
              <w:spacing w:line="240" w:lineRule="auto"/>
              <w:rPr>
                <w:color w:val="1F1F1F"/>
                <w:sz w:val="20"/>
                <w:szCs w:val="20"/>
                <w:highlight w:val="white"/>
              </w:rPr>
            </w:pPr>
            <w:r>
              <w:rPr>
                <w:color w:val="1F1F1F"/>
                <w:sz w:val="20"/>
                <w:szCs w:val="20"/>
                <w:highlight w:val="white"/>
              </w:rPr>
              <w:t>245.10</w:t>
            </w:r>
          </w:p>
        </w:tc>
      </w:tr>
      <w:tr w:rsidR="00B31921" w14:paraId="0EBBEBDA"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6DDC6" w14:textId="77777777" w:rsidR="00B31921" w:rsidRDefault="00000000">
            <w:pPr>
              <w:widowControl w:val="0"/>
              <w:spacing w:line="240" w:lineRule="auto"/>
              <w:rPr>
                <w:color w:val="1F1F1F"/>
                <w:sz w:val="20"/>
                <w:szCs w:val="20"/>
                <w:highlight w:val="white"/>
              </w:rPr>
            </w:pPr>
            <w:r>
              <w:rPr>
                <w:b/>
                <w:color w:val="1F1F1F"/>
                <w:sz w:val="20"/>
                <w:szCs w:val="20"/>
                <w:highlight w:val="white"/>
              </w:rPr>
              <w:t>Debt/TA</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6D031" w14:textId="77777777" w:rsidR="00B31921" w:rsidRDefault="00000000">
            <w:pPr>
              <w:widowControl w:val="0"/>
              <w:spacing w:line="240" w:lineRule="auto"/>
              <w:rPr>
                <w:color w:val="1F1F1F"/>
                <w:sz w:val="20"/>
                <w:szCs w:val="20"/>
                <w:highlight w:val="white"/>
              </w:rPr>
            </w:pPr>
            <w:r>
              <w:rPr>
                <w:color w:val="1F1F1F"/>
                <w:sz w:val="20"/>
                <w:szCs w:val="20"/>
                <w:highlight w:val="white"/>
              </w:rPr>
              <w:t>1902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DCAC7" w14:textId="77777777" w:rsidR="00B31921" w:rsidRDefault="00000000">
            <w:pPr>
              <w:widowControl w:val="0"/>
              <w:spacing w:line="240" w:lineRule="auto"/>
              <w:rPr>
                <w:color w:val="1F1F1F"/>
                <w:sz w:val="20"/>
                <w:szCs w:val="20"/>
                <w:highlight w:val="white"/>
              </w:rPr>
            </w:pPr>
            <w:r>
              <w:rPr>
                <w:color w:val="1F1F1F"/>
                <w:sz w:val="20"/>
                <w:szCs w:val="20"/>
                <w:highlight w:val="white"/>
              </w:rPr>
              <w:t>7.51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93278" w14:textId="77777777" w:rsidR="00B31921" w:rsidRDefault="00000000">
            <w:pPr>
              <w:widowControl w:val="0"/>
              <w:spacing w:line="240" w:lineRule="auto"/>
              <w:rPr>
                <w:color w:val="1F1F1F"/>
                <w:sz w:val="20"/>
                <w:szCs w:val="20"/>
                <w:highlight w:val="white"/>
              </w:rPr>
            </w:pPr>
            <w:r>
              <w:rPr>
                <w:color w:val="1F1F1F"/>
                <w:sz w:val="20"/>
                <w:szCs w:val="20"/>
                <w:highlight w:val="white"/>
              </w:rPr>
              <w:t>91.65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2214E" w14:textId="77777777" w:rsidR="00B31921" w:rsidRDefault="00000000">
            <w:pPr>
              <w:widowControl w:val="0"/>
              <w:spacing w:line="240" w:lineRule="auto"/>
              <w:rPr>
                <w:color w:val="1F1F1F"/>
                <w:sz w:val="20"/>
                <w:szCs w:val="20"/>
                <w:highlight w:val="white"/>
              </w:rPr>
            </w:pPr>
            <w:r>
              <w:rPr>
                <w:color w:val="1F1F1F"/>
                <w:sz w:val="20"/>
                <w:szCs w:val="20"/>
                <w:highlight w:val="white"/>
              </w:rPr>
              <w:t>-0.99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45C9D" w14:textId="77777777" w:rsidR="00B31921" w:rsidRDefault="00000000">
            <w:pPr>
              <w:widowControl w:val="0"/>
              <w:spacing w:line="240" w:lineRule="auto"/>
              <w:rPr>
                <w:color w:val="1F1F1F"/>
                <w:sz w:val="20"/>
                <w:szCs w:val="20"/>
                <w:highlight w:val="white"/>
              </w:rPr>
            </w:pPr>
            <w:r>
              <w:rPr>
                <w:color w:val="1F1F1F"/>
                <w:sz w:val="20"/>
                <w:szCs w:val="20"/>
                <w:highlight w:val="white"/>
              </w:rPr>
              <w:t>-0.64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1E47B" w14:textId="77777777" w:rsidR="00B31921" w:rsidRDefault="00000000">
            <w:pPr>
              <w:widowControl w:val="0"/>
              <w:spacing w:line="240" w:lineRule="auto"/>
              <w:rPr>
                <w:color w:val="1F1F1F"/>
                <w:sz w:val="20"/>
                <w:szCs w:val="20"/>
                <w:highlight w:val="white"/>
              </w:rPr>
            </w:pPr>
            <w:r>
              <w:rPr>
                <w:color w:val="1F1F1F"/>
                <w:sz w:val="20"/>
                <w:szCs w:val="20"/>
                <w:highlight w:val="white"/>
              </w:rPr>
              <w:t>-0.37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6F64F" w14:textId="77777777" w:rsidR="00B31921" w:rsidRDefault="00000000">
            <w:pPr>
              <w:widowControl w:val="0"/>
              <w:spacing w:line="240" w:lineRule="auto"/>
              <w:rPr>
                <w:color w:val="1F1F1F"/>
                <w:sz w:val="20"/>
                <w:szCs w:val="20"/>
                <w:highlight w:val="white"/>
              </w:rPr>
            </w:pPr>
            <w:r>
              <w:rPr>
                <w:color w:val="1F1F1F"/>
                <w:sz w:val="20"/>
                <w:szCs w:val="20"/>
                <w:highlight w:val="white"/>
              </w:rPr>
              <w:t>-0.09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4144E" w14:textId="77777777" w:rsidR="00B31921" w:rsidRDefault="00000000">
            <w:pPr>
              <w:widowControl w:val="0"/>
              <w:spacing w:line="240" w:lineRule="auto"/>
              <w:rPr>
                <w:color w:val="1F1F1F"/>
                <w:sz w:val="20"/>
                <w:szCs w:val="20"/>
                <w:highlight w:val="white"/>
              </w:rPr>
            </w:pPr>
            <w:r>
              <w:rPr>
                <w:color w:val="1F1F1F"/>
                <w:sz w:val="20"/>
                <w:szCs w:val="20"/>
                <w:highlight w:val="white"/>
              </w:rPr>
              <w:t>1853.00</w:t>
            </w:r>
          </w:p>
        </w:tc>
      </w:tr>
      <w:tr w:rsidR="00B31921" w14:paraId="3484241D"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3B2CE" w14:textId="77777777" w:rsidR="00B31921" w:rsidRDefault="00000000">
            <w:pPr>
              <w:widowControl w:val="0"/>
              <w:spacing w:line="240" w:lineRule="auto"/>
              <w:rPr>
                <w:color w:val="1F1F1F"/>
                <w:sz w:val="20"/>
                <w:szCs w:val="20"/>
                <w:highlight w:val="white"/>
              </w:rPr>
            </w:pPr>
            <w:r>
              <w:rPr>
                <w:b/>
                <w:color w:val="1F1F1F"/>
                <w:sz w:val="20"/>
                <w:szCs w:val="20"/>
                <w:highlight w:val="white"/>
              </w:rPr>
              <w:t>NI/Asset</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F73E8" w14:textId="77777777" w:rsidR="00B31921" w:rsidRDefault="00000000">
            <w:pPr>
              <w:widowControl w:val="0"/>
              <w:spacing w:line="240" w:lineRule="auto"/>
              <w:rPr>
                <w:color w:val="1F1F1F"/>
                <w:sz w:val="20"/>
                <w:szCs w:val="20"/>
                <w:highlight w:val="white"/>
              </w:rPr>
            </w:pPr>
            <w:r>
              <w:rPr>
                <w:color w:val="1F1F1F"/>
                <w:sz w:val="20"/>
                <w:szCs w:val="20"/>
                <w:highlight w:val="white"/>
              </w:rPr>
              <w:t>1873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E7AC5" w14:textId="77777777" w:rsidR="00B31921" w:rsidRDefault="00000000">
            <w:pPr>
              <w:widowControl w:val="0"/>
              <w:spacing w:line="240" w:lineRule="auto"/>
              <w:rPr>
                <w:color w:val="1F1F1F"/>
                <w:sz w:val="20"/>
                <w:szCs w:val="20"/>
                <w:highlight w:val="white"/>
              </w:rPr>
            </w:pPr>
            <w:r>
              <w:rPr>
                <w:color w:val="1F1F1F"/>
                <w:sz w:val="20"/>
                <w:szCs w:val="20"/>
                <w:highlight w:val="white"/>
              </w:rPr>
              <w:t>-0.22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8E290" w14:textId="77777777" w:rsidR="00B31921" w:rsidRDefault="00000000">
            <w:pPr>
              <w:widowControl w:val="0"/>
              <w:spacing w:line="240" w:lineRule="auto"/>
              <w:rPr>
                <w:color w:val="1F1F1F"/>
                <w:sz w:val="20"/>
                <w:szCs w:val="20"/>
                <w:highlight w:val="white"/>
              </w:rPr>
            </w:pPr>
            <w:r>
              <w:rPr>
                <w:color w:val="1F1F1F"/>
                <w:sz w:val="20"/>
                <w:szCs w:val="20"/>
                <w:highlight w:val="white"/>
              </w:rPr>
              <w:t>3.43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85FB0" w14:textId="77777777" w:rsidR="00B31921" w:rsidRDefault="00000000">
            <w:pPr>
              <w:widowControl w:val="0"/>
              <w:spacing w:line="240" w:lineRule="auto"/>
              <w:rPr>
                <w:color w:val="1F1F1F"/>
                <w:sz w:val="20"/>
                <w:szCs w:val="20"/>
                <w:highlight w:val="white"/>
              </w:rPr>
            </w:pPr>
            <w:r>
              <w:rPr>
                <w:color w:val="1F1F1F"/>
                <w:sz w:val="20"/>
                <w:szCs w:val="20"/>
                <w:highlight w:val="white"/>
              </w:rPr>
              <w:t>-113.60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BD7AE" w14:textId="77777777" w:rsidR="00B31921" w:rsidRDefault="00000000">
            <w:pPr>
              <w:widowControl w:val="0"/>
              <w:spacing w:line="240" w:lineRule="auto"/>
              <w:rPr>
                <w:color w:val="1F1F1F"/>
                <w:sz w:val="20"/>
                <w:szCs w:val="20"/>
                <w:highlight w:val="white"/>
              </w:rPr>
            </w:pPr>
            <w:r>
              <w:rPr>
                <w:color w:val="1F1F1F"/>
                <w:sz w:val="20"/>
                <w:szCs w:val="20"/>
                <w:highlight w:val="white"/>
              </w:rPr>
              <w:t>-0.02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DE1AF"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EE9B" w14:textId="77777777" w:rsidR="00B31921" w:rsidRDefault="00000000">
            <w:pPr>
              <w:widowControl w:val="0"/>
              <w:spacing w:line="240" w:lineRule="auto"/>
              <w:rPr>
                <w:color w:val="1F1F1F"/>
                <w:sz w:val="20"/>
                <w:szCs w:val="20"/>
                <w:highlight w:val="white"/>
              </w:rPr>
            </w:pPr>
            <w:r>
              <w:rPr>
                <w:color w:val="1F1F1F"/>
                <w:sz w:val="20"/>
                <w:szCs w:val="20"/>
                <w:highlight w:val="white"/>
              </w:rPr>
              <w:t>0.01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9B010" w14:textId="77777777" w:rsidR="00B31921" w:rsidRDefault="00000000">
            <w:pPr>
              <w:widowControl w:val="0"/>
              <w:spacing w:line="240" w:lineRule="auto"/>
              <w:rPr>
                <w:color w:val="1F1F1F"/>
                <w:sz w:val="20"/>
                <w:szCs w:val="20"/>
                <w:highlight w:val="white"/>
              </w:rPr>
            </w:pPr>
            <w:r>
              <w:rPr>
                <w:color w:val="1F1F1F"/>
                <w:sz w:val="20"/>
                <w:szCs w:val="20"/>
                <w:highlight w:val="white"/>
              </w:rPr>
              <w:t>8.11</w:t>
            </w:r>
          </w:p>
        </w:tc>
      </w:tr>
      <w:tr w:rsidR="00B31921" w14:paraId="53E7A42B"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A3F41" w14:textId="77777777" w:rsidR="00B31921" w:rsidRDefault="00000000">
            <w:pPr>
              <w:widowControl w:val="0"/>
              <w:spacing w:line="240" w:lineRule="auto"/>
              <w:rPr>
                <w:color w:val="1F1F1F"/>
                <w:sz w:val="20"/>
                <w:szCs w:val="20"/>
                <w:highlight w:val="white"/>
              </w:rPr>
            </w:pPr>
            <w:r>
              <w:rPr>
                <w:b/>
                <w:color w:val="1F1F1F"/>
                <w:sz w:val="20"/>
                <w:szCs w:val="20"/>
                <w:highlight w:val="white"/>
              </w:rPr>
              <w:t>ROA</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98ED6" w14:textId="77777777" w:rsidR="00B31921" w:rsidRDefault="00000000">
            <w:pPr>
              <w:widowControl w:val="0"/>
              <w:spacing w:line="240" w:lineRule="auto"/>
              <w:rPr>
                <w:color w:val="1F1F1F"/>
                <w:sz w:val="20"/>
                <w:szCs w:val="20"/>
                <w:highlight w:val="white"/>
              </w:rPr>
            </w:pPr>
            <w:r>
              <w:rPr>
                <w:color w:val="1F1F1F"/>
                <w:sz w:val="20"/>
                <w:szCs w:val="20"/>
                <w:highlight w:val="white"/>
              </w:rPr>
              <w:t>1898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962A3" w14:textId="77777777" w:rsidR="00B31921" w:rsidRDefault="00000000">
            <w:pPr>
              <w:widowControl w:val="0"/>
              <w:spacing w:line="240" w:lineRule="auto"/>
              <w:rPr>
                <w:color w:val="1F1F1F"/>
                <w:sz w:val="20"/>
                <w:szCs w:val="20"/>
                <w:highlight w:val="white"/>
              </w:rPr>
            </w:pPr>
            <w:r>
              <w:rPr>
                <w:color w:val="1F1F1F"/>
                <w:sz w:val="20"/>
                <w:szCs w:val="20"/>
                <w:highlight w:val="white"/>
              </w:rPr>
              <w:t>-0.69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9D837" w14:textId="77777777" w:rsidR="00B31921" w:rsidRDefault="00000000">
            <w:pPr>
              <w:widowControl w:val="0"/>
              <w:spacing w:line="240" w:lineRule="auto"/>
              <w:rPr>
                <w:color w:val="1F1F1F"/>
                <w:sz w:val="20"/>
                <w:szCs w:val="20"/>
                <w:highlight w:val="white"/>
              </w:rPr>
            </w:pPr>
            <w:r>
              <w:rPr>
                <w:color w:val="1F1F1F"/>
                <w:sz w:val="20"/>
                <w:szCs w:val="20"/>
                <w:highlight w:val="white"/>
              </w:rPr>
              <w:t>8.06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87705" w14:textId="77777777" w:rsidR="00B31921" w:rsidRDefault="00000000">
            <w:pPr>
              <w:widowControl w:val="0"/>
              <w:spacing w:line="240" w:lineRule="auto"/>
              <w:rPr>
                <w:color w:val="1F1F1F"/>
                <w:sz w:val="20"/>
                <w:szCs w:val="20"/>
                <w:highlight w:val="white"/>
              </w:rPr>
            </w:pPr>
            <w:r>
              <w:rPr>
                <w:color w:val="1F1F1F"/>
                <w:sz w:val="20"/>
                <w:szCs w:val="20"/>
                <w:highlight w:val="white"/>
              </w:rPr>
              <w:t>-142.00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AC7C4" w14:textId="77777777" w:rsidR="00B31921" w:rsidRDefault="00000000">
            <w:pPr>
              <w:widowControl w:val="0"/>
              <w:spacing w:line="240" w:lineRule="auto"/>
              <w:rPr>
                <w:color w:val="1F1F1F"/>
                <w:sz w:val="20"/>
                <w:szCs w:val="20"/>
                <w:highlight w:val="white"/>
              </w:rPr>
            </w:pPr>
            <w:r>
              <w:rPr>
                <w:color w:val="1F1F1F"/>
                <w:sz w:val="20"/>
                <w:szCs w:val="20"/>
                <w:highlight w:val="white"/>
              </w:rPr>
              <w:t>-0.02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E98F2"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E67BD" w14:textId="77777777" w:rsidR="00B31921" w:rsidRDefault="00000000">
            <w:pPr>
              <w:widowControl w:val="0"/>
              <w:spacing w:line="240" w:lineRule="auto"/>
              <w:rPr>
                <w:color w:val="1F1F1F"/>
                <w:sz w:val="20"/>
                <w:szCs w:val="20"/>
                <w:highlight w:val="white"/>
              </w:rPr>
            </w:pPr>
            <w:r>
              <w:rPr>
                <w:color w:val="1F1F1F"/>
                <w:sz w:val="20"/>
                <w:szCs w:val="20"/>
                <w:highlight w:val="white"/>
              </w:rPr>
              <w:t>0.01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E7FBF" w14:textId="77777777" w:rsidR="00B31921" w:rsidRDefault="00000000">
            <w:pPr>
              <w:widowControl w:val="0"/>
              <w:spacing w:line="240" w:lineRule="auto"/>
              <w:rPr>
                <w:color w:val="1F1F1F"/>
                <w:sz w:val="20"/>
                <w:szCs w:val="20"/>
                <w:highlight w:val="white"/>
              </w:rPr>
            </w:pPr>
            <w:r>
              <w:rPr>
                <w:color w:val="1F1F1F"/>
                <w:sz w:val="20"/>
                <w:szCs w:val="20"/>
                <w:highlight w:val="white"/>
              </w:rPr>
              <w:t>3.72</w:t>
            </w:r>
          </w:p>
        </w:tc>
      </w:tr>
      <w:tr w:rsidR="00B31921" w14:paraId="5EAFF433"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1E108" w14:textId="77777777" w:rsidR="00B31921" w:rsidRDefault="00000000">
            <w:pPr>
              <w:widowControl w:val="0"/>
              <w:spacing w:line="240" w:lineRule="auto"/>
              <w:rPr>
                <w:color w:val="1F1F1F"/>
                <w:sz w:val="20"/>
                <w:szCs w:val="20"/>
                <w:highlight w:val="white"/>
              </w:rPr>
            </w:pPr>
            <w:r>
              <w:rPr>
                <w:b/>
                <w:color w:val="1F1F1F"/>
                <w:sz w:val="20"/>
                <w:szCs w:val="20"/>
                <w:highlight w:val="white"/>
              </w:rPr>
              <w:t>ROE</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2E0D4" w14:textId="77777777" w:rsidR="00B31921" w:rsidRDefault="00000000">
            <w:pPr>
              <w:widowControl w:val="0"/>
              <w:spacing w:line="240" w:lineRule="auto"/>
              <w:rPr>
                <w:color w:val="1F1F1F"/>
                <w:sz w:val="20"/>
                <w:szCs w:val="20"/>
                <w:highlight w:val="white"/>
              </w:rPr>
            </w:pPr>
            <w:r>
              <w:rPr>
                <w:color w:val="1F1F1F"/>
                <w:sz w:val="20"/>
                <w:szCs w:val="20"/>
                <w:highlight w:val="white"/>
              </w:rPr>
              <w:t>1922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7CE4D" w14:textId="77777777" w:rsidR="00B31921" w:rsidRDefault="00000000">
            <w:pPr>
              <w:widowControl w:val="0"/>
              <w:spacing w:line="240" w:lineRule="auto"/>
              <w:rPr>
                <w:color w:val="1F1F1F"/>
                <w:sz w:val="20"/>
                <w:szCs w:val="20"/>
                <w:highlight w:val="white"/>
              </w:rPr>
            </w:pPr>
            <w:r>
              <w:rPr>
                <w:color w:val="1F1F1F"/>
                <w:sz w:val="20"/>
                <w:szCs w:val="20"/>
                <w:highlight w:val="white"/>
              </w:rPr>
              <w:t>-0.07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23D09" w14:textId="77777777" w:rsidR="00B31921" w:rsidRDefault="00000000">
            <w:pPr>
              <w:widowControl w:val="0"/>
              <w:spacing w:line="240" w:lineRule="auto"/>
              <w:rPr>
                <w:color w:val="1F1F1F"/>
                <w:sz w:val="20"/>
                <w:szCs w:val="20"/>
                <w:highlight w:val="white"/>
              </w:rPr>
            </w:pPr>
            <w:r>
              <w:rPr>
                <w:color w:val="1F1F1F"/>
                <w:sz w:val="20"/>
                <w:szCs w:val="20"/>
                <w:highlight w:val="white"/>
              </w:rPr>
              <w:t>1.81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C4CAC" w14:textId="77777777" w:rsidR="00B31921" w:rsidRDefault="00000000">
            <w:pPr>
              <w:widowControl w:val="0"/>
              <w:spacing w:line="240" w:lineRule="auto"/>
              <w:rPr>
                <w:color w:val="1F1F1F"/>
                <w:sz w:val="20"/>
                <w:szCs w:val="20"/>
                <w:highlight w:val="white"/>
              </w:rPr>
            </w:pPr>
            <w:r>
              <w:rPr>
                <w:color w:val="1F1F1F"/>
                <w:sz w:val="20"/>
                <w:szCs w:val="20"/>
                <w:highlight w:val="white"/>
              </w:rPr>
              <w:t>-62.49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64A7C" w14:textId="77777777" w:rsidR="00B31921" w:rsidRDefault="00000000">
            <w:pPr>
              <w:widowControl w:val="0"/>
              <w:spacing w:line="240" w:lineRule="auto"/>
              <w:rPr>
                <w:color w:val="1F1F1F"/>
                <w:sz w:val="20"/>
                <w:szCs w:val="20"/>
                <w:highlight w:val="white"/>
              </w:rPr>
            </w:pPr>
            <w:r>
              <w:rPr>
                <w:color w:val="1F1F1F"/>
                <w:sz w:val="20"/>
                <w:szCs w:val="20"/>
                <w:highlight w:val="white"/>
              </w:rPr>
              <w:t>-0.03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45562"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C5E60" w14:textId="77777777" w:rsidR="00B31921" w:rsidRDefault="00000000">
            <w:pPr>
              <w:widowControl w:val="0"/>
              <w:spacing w:line="240" w:lineRule="auto"/>
              <w:rPr>
                <w:color w:val="1F1F1F"/>
                <w:sz w:val="20"/>
                <w:szCs w:val="20"/>
                <w:highlight w:val="white"/>
              </w:rPr>
            </w:pPr>
            <w:r>
              <w:rPr>
                <w:color w:val="1F1F1F"/>
                <w:sz w:val="20"/>
                <w:szCs w:val="20"/>
                <w:highlight w:val="white"/>
              </w:rPr>
              <w:t>0.04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D778B" w14:textId="77777777" w:rsidR="00B31921" w:rsidRDefault="00000000">
            <w:pPr>
              <w:widowControl w:val="0"/>
              <w:spacing w:line="240" w:lineRule="auto"/>
              <w:rPr>
                <w:color w:val="1F1F1F"/>
                <w:sz w:val="20"/>
                <w:szCs w:val="20"/>
                <w:highlight w:val="white"/>
              </w:rPr>
            </w:pPr>
            <w:r>
              <w:rPr>
                <w:color w:val="1F1F1F"/>
                <w:sz w:val="20"/>
                <w:szCs w:val="20"/>
                <w:highlight w:val="white"/>
              </w:rPr>
              <w:t>16.17</w:t>
            </w:r>
          </w:p>
        </w:tc>
      </w:tr>
      <w:tr w:rsidR="00B31921" w14:paraId="666C0B00"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8272A" w14:textId="77777777" w:rsidR="00B31921" w:rsidRDefault="00000000">
            <w:pPr>
              <w:widowControl w:val="0"/>
              <w:spacing w:line="240" w:lineRule="auto"/>
              <w:rPr>
                <w:color w:val="1F1F1F"/>
                <w:sz w:val="20"/>
                <w:szCs w:val="20"/>
                <w:highlight w:val="white"/>
              </w:rPr>
            </w:pPr>
            <w:r>
              <w:rPr>
                <w:b/>
                <w:color w:val="1F1F1F"/>
                <w:sz w:val="20"/>
                <w:szCs w:val="20"/>
                <w:highlight w:val="white"/>
              </w:rPr>
              <w:t xml:space="preserve">Revenue </w:t>
            </w:r>
            <w:r>
              <w:rPr>
                <w:b/>
                <w:color w:val="1F1F1F"/>
                <w:sz w:val="20"/>
                <w:szCs w:val="20"/>
                <w:highlight w:val="white"/>
              </w:rPr>
              <w:lastRenderedPageBreak/>
              <w:t>growth</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3398B" w14:textId="77777777" w:rsidR="00B31921" w:rsidRDefault="00000000">
            <w:pPr>
              <w:widowControl w:val="0"/>
              <w:spacing w:line="240" w:lineRule="auto"/>
              <w:rPr>
                <w:color w:val="1F1F1F"/>
                <w:sz w:val="20"/>
                <w:szCs w:val="20"/>
                <w:highlight w:val="white"/>
              </w:rPr>
            </w:pPr>
            <w:r>
              <w:rPr>
                <w:color w:val="1F1F1F"/>
                <w:sz w:val="20"/>
                <w:szCs w:val="20"/>
                <w:highlight w:val="white"/>
              </w:rPr>
              <w:lastRenderedPageBreak/>
              <w:t>1834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367AE" w14:textId="77777777" w:rsidR="00B31921" w:rsidRDefault="00000000">
            <w:pPr>
              <w:widowControl w:val="0"/>
              <w:spacing w:line="240" w:lineRule="auto"/>
              <w:rPr>
                <w:color w:val="1F1F1F"/>
                <w:sz w:val="20"/>
                <w:szCs w:val="20"/>
                <w:highlight w:val="white"/>
              </w:rPr>
            </w:pPr>
            <w:r>
              <w:rPr>
                <w:color w:val="1F1F1F"/>
                <w:sz w:val="20"/>
                <w:szCs w:val="20"/>
                <w:highlight w:val="white"/>
              </w:rPr>
              <w:t>146.25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D6469" w14:textId="77777777" w:rsidR="00B31921" w:rsidRDefault="00000000">
            <w:pPr>
              <w:widowControl w:val="0"/>
              <w:spacing w:line="240" w:lineRule="auto"/>
              <w:rPr>
                <w:color w:val="1F1F1F"/>
                <w:sz w:val="20"/>
                <w:szCs w:val="20"/>
                <w:highlight w:val="white"/>
              </w:rPr>
            </w:pPr>
            <w:r>
              <w:rPr>
                <w:color w:val="1F1F1F"/>
                <w:sz w:val="20"/>
                <w:szCs w:val="20"/>
                <w:highlight w:val="white"/>
              </w:rPr>
              <w:t>5990.29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2070F" w14:textId="77777777" w:rsidR="00B31921" w:rsidRDefault="00000000">
            <w:pPr>
              <w:widowControl w:val="0"/>
              <w:spacing w:line="240" w:lineRule="auto"/>
              <w:rPr>
                <w:color w:val="1F1F1F"/>
                <w:sz w:val="20"/>
                <w:szCs w:val="20"/>
                <w:highlight w:val="white"/>
              </w:rPr>
            </w:pPr>
            <w:r>
              <w:rPr>
                <w:color w:val="1F1F1F"/>
                <w:sz w:val="20"/>
                <w:szCs w:val="20"/>
                <w:highlight w:val="white"/>
              </w:rPr>
              <w:t>-2.00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5880A" w14:textId="77777777" w:rsidR="00B31921" w:rsidRDefault="00000000">
            <w:pPr>
              <w:widowControl w:val="0"/>
              <w:spacing w:line="240" w:lineRule="auto"/>
              <w:rPr>
                <w:color w:val="1F1F1F"/>
                <w:sz w:val="20"/>
                <w:szCs w:val="20"/>
                <w:highlight w:val="white"/>
              </w:rPr>
            </w:pPr>
            <w:r>
              <w:rPr>
                <w:color w:val="1F1F1F"/>
                <w:sz w:val="20"/>
                <w:szCs w:val="20"/>
                <w:highlight w:val="white"/>
              </w:rPr>
              <w:t>-0.16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CD4F"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13C32" w14:textId="77777777" w:rsidR="00B31921" w:rsidRDefault="00000000">
            <w:pPr>
              <w:widowControl w:val="0"/>
              <w:spacing w:line="240" w:lineRule="auto"/>
              <w:rPr>
                <w:color w:val="1F1F1F"/>
                <w:sz w:val="20"/>
                <w:szCs w:val="20"/>
                <w:highlight w:val="white"/>
              </w:rPr>
            </w:pPr>
            <w:r>
              <w:rPr>
                <w:color w:val="1F1F1F"/>
                <w:sz w:val="20"/>
                <w:szCs w:val="20"/>
                <w:highlight w:val="white"/>
              </w:rPr>
              <w:t>0.16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F249A" w14:textId="77777777" w:rsidR="00B31921" w:rsidRDefault="00000000">
            <w:pPr>
              <w:widowControl w:val="0"/>
              <w:spacing w:line="240" w:lineRule="auto"/>
              <w:rPr>
                <w:color w:val="1F1F1F"/>
                <w:sz w:val="20"/>
                <w:szCs w:val="20"/>
                <w:highlight w:val="white"/>
              </w:rPr>
            </w:pPr>
            <w:r>
              <w:rPr>
                <w:color w:val="1F1F1F"/>
                <w:sz w:val="20"/>
                <w:szCs w:val="20"/>
                <w:highlight w:val="white"/>
              </w:rPr>
              <w:t>256469.7</w:t>
            </w:r>
            <w:r>
              <w:rPr>
                <w:color w:val="1F1F1F"/>
                <w:sz w:val="20"/>
                <w:szCs w:val="20"/>
                <w:highlight w:val="white"/>
              </w:rPr>
              <w:lastRenderedPageBreak/>
              <w:t>5</w:t>
            </w:r>
          </w:p>
        </w:tc>
      </w:tr>
      <w:tr w:rsidR="00B31921" w14:paraId="78A59508"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EDDC8" w14:textId="77777777" w:rsidR="00B31921" w:rsidRDefault="00000000">
            <w:pPr>
              <w:widowControl w:val="0"/>
              <w:spacing w:line="240" w:lineRule="auto"/>
              <w:rPr>
                <w:color w:val="1F1F1F"/>
                <w:sz w:val="20"/>
                <w:szCs w:val="20"/>
                <w:highlight w:val="white"/>
              </w:rPr>
            </w:pPr>
            <w:r>
              <w:rPr>
                <w:b/>
                <w:color w:val="1F1F1F"/>
                <w:sz w:val="20"/>
                <w:szCs w:val="20"/>
                <w:highlight w:val="white"/>
              </w:rPr>
              <w:lastRenderedPageBreak/>
              <w:t>NI growth</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F393E" w14:textId="77777777" w:rsidR="00B31921" w:rsidRDefault="00000000">
            <w:pPr>
              <w:widowControl w:val="0"/>
              <w:spacing w:line="240" w:lineRule="auto"/>
              <w:rPr>
                <w:color w:val="1F1F1F"/>
                <w:sz w:val="20"/>
                <w:szCs w:val="20"/>
                <w:highlight w:val="white"/>
              </w:rPr>
            </w:pPr>
            <w:r>
              <w:rPr>
                <w:color w:val="1F1F1F"/>
                <w:sz w:val="20"/>
                <w:szCs w:val="20"/>
                <w:highlight w:val="white"/>
              </w:rPr>
              <w:t>1926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3D578" w14:textId="77777777" w:rsidR="00B31921" w:rsidRDefault="00000000">
            <w:pPr>
              <w:widowControl w:val="0"/>
              <w:spacing w:line="240" w:lineRule="auto"/>
              <w:rPr>
                <w:color w:val="1F1F1F"/>
                <w:sz w:val="20"/>
                <w:szCs w:val="20"/>
                <w:highlight w:val="white"/>
              </w:rPr>
            </w:pPr>
            <w:r>
              <w:rPr>
                <w:color w:val="1F1F1F"/>
                <w:sz w:val="20"/>
                <w:szCs w:val="20"/>
                <w:highlight w:val="white"/>
              </w:rPr>
              <w:t>2.34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11D2E" w14:textId="77777777" w:rsidR="00B31921" w:rsidRDefault="00000000">
            <w:pPr>
              <w:widowControl w:val="0"/>
              <w:spacing w:line="240" w:lineRule="auto"/>
              <w:rPr>
                <w:color w:val="1F1F1F"/>
                <w:sz w:val="20"/>
                <w:szCs w:val="20"/>
                <w:highlight w:val="white"/>
              </w:rPr>
            </w:pPr>
            <w:r>
              <w:rPr>
                <w:color w:val="1F1F1F"/>
                <w:sz w:val="20"/>
                <w:szCs w:val="20"/>
                <w:highlight w:val="white"/>
              </w:rPr>
              <w:t>84.96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95D95" w14:textId="77777777" w:rsidR="00B31921" w:rsidRDefault="00000000">
            <w:pPr>
              <w:widowControl w:val="0"/>
              <w:spacing w:line="240" w:lineRule="auto"/>
              <w:rPr>
                <w:color w:val="1F1F1F"/>
                <w:sz w:val="20"/>
                <w:szCs w:val="20"/>
                <w:highlight w:val="white"/>
              </w:rPr>
            </w:pPr>
            <w:r>
              <w:rPr>
                <w:color w:val="1F1F1F"/>
                <w:sz w:val="20"/>
                <w:szCs w:val="20"/>
                <w:highlight w:val="white"/>
              </w:rPr>
              <w:t>-696.18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7D7E0" w14:textId="77777777" w:rsidR="00B31921" w:rsidRDefault="00000000">
            <w:pPr>
              <w:widowControl w:val="0"/>
              <w:spacing w:line="240" w:lineRule="auto"/>
              <w:rPr>
                <w:color w:val="1F1F1F"/>
                <w:sz w:val="20"/>
                <w:szCs w:val="20"/>
                <w:highlight w:val="white"/>
              </w:rPr>
            </w:pPr>
            <w:r>
              <w:rPr>
                <w:color w:val="1F1F1F"/>
                <w:sz w:val="20"/>
                <w:szCs w:val="20"/>
                <w:highlight w:val="white"/>
              </w:rPr>
              <w:t>-0.96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6F70" w14:textId="77777777" w:rsidR="00B31921" w:rsidRDefault="00000000">
            <w:pPr>
              <w:widowControl w:val="0"/>
              <w:spacing w:line="240" w:lineRule="auto"/>
              <w:rPr>
                <w:color w:val="1F1F1F"/>
                <w:sz w:val="20"/>
                <w:szCs w:val="20"/>
                <w:highlight w:val="white"/>
              </w:rPr>
            </w:pPr>
            <w:r>
              <w:rPr>
                <w:color w:val="1F1F1F"/>
                <w:sz w:val="20"/>
                <w:szCs w:val="20"/>
                <w:highlight w:val="white"/>
              </w:rPr>
              <w:t>-0.21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CE4F8" w14:textId="77777777" w:rsidR="00B31921" w:rsidRDefault="00000000">
            <w:pPr>
              <w:widowControl w:val="0"/>
              <w:spacing w:line="240" w:lineRule="auto"/>
              <w:rPr>
                <w:color w:val="1F1F1F"/>
                <w:sz w:val="20"/>
                <w:szCs w:val="20"/>
                <w:highlight w:val="white"/>
              </w:rPr>
            </w:pPr>
            <w:r>
              <w:rPr>
                <w:color w:val="1F1F1F"/>
                <w:sz w:val="20"/>
                <w:szCs w:val="20"/>
                <w:highlight w:val="white"/>
              </w:rPr>
              <w:t>0.49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8CA4C" w14:textId="77777777" w:rsidR="00B31921" w:rsidRDefault="00000000">
            <w:pPr>
              <w:widowControl w:val="0"/>
              <w:spacing w:line="240" w:lineRule="auto"/>
              <w:rPr>
                <w:color w:val="1F1F1F"/>
                <w:sz w:val="20"/>
                <w:szCs w:val="20"/>
                <w:highlight w:val="white"/>
              </w:rPr>
            </w:pPr>
            <w:r>
              <w:rPr>
                <w:color w:val="1F1F1F"/>
                <w:sz w:val="20"/>
                <w:szCs w:val="20"/>
                <w:highlight w:val="white"/>
              </w:rPr>
              <w:t>3312.50</w:t>
            </w:r>
          </w:p>
        </w:tc>
      </w:tr>
      <w:tr w:rsidR="00B31921" w14:paraId="4E73C589"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3426E" w14:textId="77777777" w:rsidR="00B31921" w:rsidRDefault="00000000">
            <w:pPr>
              <w:widowControl w:val="0"/>
              <w:spacing w:line="240" w:lineRule="auto"/>
              <w:rPr>
                <w:color w:val="1F1F1F"/>
                <w:sz w:val="20"/>
                <w:szCs w:val="20"/>
                <w:highlight w:val="white"/>
              </w:rPr>
            </w:pPr>
            <w:r>
              <w:rPr>
                <w:b/>
                <w:color w:val="1F1F1F"/>
                <w:sz w:val="20"/>
                <w:szCs w:val="20"/>
                <w:highlight w:val="white"/>
              </w:rPr>
              <w:t>Quick ratio</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2671" w14:textId="77777777" w:rsidR="00B31921" w:rsidRDefault="00000000">
            <w:pPr>
              <w:widowControl w:val="0"/>
              <w:spacing w:line="240" w:lineRule="auto"/>
              <w:rPr>
                <w:color w:val="1F1F1F"/>
                <w:sz w:val="20"/>
                <w:szCs w:val="20"/>
                <w:highlight w:val="white"/>
              </w:rPr>
            </w:pPr>
            <w:r>
              <w:rPr>
                <w:color w:val="1F1F1F"/>
                <w:sz w:val="20"/>
                <w:szCs w:val="20"/>
                <w:highlight w:val="white"/>
              </w:rPr>
              <w:t>1504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7848A" w14:textId="77777777" w:rsidR="00B31921" w:rsidRDefault="00000000">
            <w:pPr>
              <w:widowControl w:val="0"/>
              <w:spacing w:line="240" w:lineRule="auto"/>
              <w:rPr>
                <w:color w:val="1F1F1F"/>
                <w:sz w:val="20"/>
                <w:szCs w:val="20"/>
                <w:highlight w:val="white"/>
              </w:rPr>
            </w:pPr>
            <w:r>
              <w:rPr>
                <w:color w:val="1F1F1F"/>
                <w:sz w:val="20"/>
                <w:szCs w:val="20"/>
                <w:highlight w:val="white"/>
              </w:rPr>
              <w:t>24.69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45131" w14:textId="77777777" w:rsidR="00B31921" w:rsidRDefault="00000000">
            <w:pPr>
              <w:widowControl w:val="0"/>
              <w:spacing w:line="240" w:lineRule="auto"/>
              <w:rPr>
                <w:color w:val="1F1F1F"/>
                <w:sz w:val="20"/>
                <w:szCs w:val="20"/>
                <w:highlight w:val="white"/>
              </w:rPr>
            </w:pPr>
            <w:r>
              <w:rPr>
                <w:color w:val="1F1F1F"/>
                <w:sz w:val="20"/>
                <w:szCs w:val="20"/>
                <w:highlight w:val="white"/>
              </w:rPr>
              <w:t>227.83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B7AF9"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988CE" w14:textId="77777777" w:rsidR="00B31921" w:rsidRDefault="00000000">
            <w:pPr>
              <w:widowControl w:val="0"/>
              <w:spacing w:line="240" w:lineRule="auto"/>
              <w:rPr>
                <w:color w:val="1F1F1F"/>
                <w:sz w:val="20"/>
                <w:szCs w:val="20"/>
                <w:highlight w:val="white"/>
              </w:rPr>
            </w:pPr>
            <w:r>
              <w:rPr>
                <w:color w:val="1F1F1F"/>
                <w:sz w:val="20"/>
                <w:szCs w:val="20"/>
                <w:highlight w:val="white"/>
              </w:rPr>
              <w:t>0.41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24BD5" w14:textId="77777777" w:rsidR="00B31921" w:rsidRDefault="00000000">
            <w:pPr>
              <w:widowControl w:val="0"/>
              <w:spacing w:line="240" w:lineRule="auto"/>
              <w:rPr>
                <w:color w:val="1F1F1F"/>
                <w:sz w:val="20"/>
                <w:szCs w:val="20"/>
                <w:highlight w:val="white"/>
              </w:rPr>
            </w:pPr>
            <w:r>
              <w:rPr>
                <w:color w:val="1F1F1F"/>
                <w:sz w:val="20"/>
                <w:szCs w:val="20"/>
                <w:highlight w:val="white"/>
              </w:rPr>
              <w:t>1.12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4141B" w14:textId="77777777" w:rsidR="00B31921" w:rsidRDefault="00000000">
            <w:pPr>
              <w:widowControl w:val="0"/>
              <w:spacing w:line="240" w:lineRule="auto"/>
              <w:rPr>
                <w:color w:val="1F1F1F"/>
                <w:sz w:val="20"/>
                <w:szCs w:val="20"/>
                <w:highlight w:val="white"/>
              </w:rPr>
            </w:pPr>
            <w:r>
              <w:rPr>
                <w:color w:val="1F1F1F"/>
                <w:sz w:val="20"/>
                <w:szCs w:val="20"/>
                <w:highlight w:val="white"/>
              </w:rPr>
              <w:t>2.54</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40EAC" w14:textId="77777777" w:rsidR="00B31921" w:rsidRDefault="00000000">
            <w:pPr>
              <w:widowControl w:val="0"/>
              <w:spacing w:line="240" w:lineRule="auto"/>
              <w:rPr>
                <w:color w:val="1F1F1F"/>
                <w:sz w:val="20"/>
                <w:szCs w:val="20"/>
                <w:highlight w:val="white"/>
              </w:rPr>
            </w:pPr>
            <w:r>
              <w:rPr>
                <w:color w:val="1F1F1F"/>
                <w:sz w:val="20"/>
                <w:szCs w:val="20"/>
                <w:highlight w:val="white"/>
              </w:rPr>
              <w:t>4759.40</w:t>
            </w:r>
          </w:p>
        </w:tc>
      </w:tr>
      <w:tr w:rsidR="00B31921" w14:paraId="5247D92D"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DE5B8" w14:textId="77777777" w:rsidR="00B31921" w:rsidRDefault="00000000">
            <w:pPr>
              <w:widowControl w:val="0"/>
              <w:spacing w:line="240" w:lineRule="auto"/>
              <w:rPr>
                <w:color w:val="1F1F1F"/>
                <w:sz w:val="20"/>
                <w:szCs w:val="20"/>
                <w:highlight w:val="white"/>
              </w:rPr>
            </w:pPr>
            <w:r>
              <w:rPr>
                <w:b/>
                <w:color w:val="1F1F1F"/>
                <w:sz w:val="20"/>
                <w:szCs w:val="20"/>
                <w:highlight w:val="white"/>
              </w:rPr>
              <w:t>RSI</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2B296" w14:textId="77777777" w:rsidR="00B31921" w:rsidRDefault="00000000">
            <w:pPr>
              <w:widowControl w:val="0"/>
              <w:spacing w:line="240" w:lineRule="auto"/>
              <w:rPr>
                <w:color w:val="1F1F1F"/>
                <w:sz w:val="20"/>
                <w:szCs w:val="20"/>
                <w:highlight w:val="white"/>
              </w:rPr>
            </w:pPr>
            <w:r>
              <w:rPr>
                <w:color w:val="1F1F1F"/>
                <w:sz w:val="20"/>
                <w:szCs w:val="20"/>
                <w:highlight w:val="white"/>
              </w:rPr>
              <w:t>1701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A1029" w14:textId="77777777" w:rsidR="00B31921" w:rsidRDefault="00000000">
            <w:pPr>
              <w:widowControl w:val="0"/>
              <w:spacing w:line="240" w:lineRule="auto"/>
              <w:rPr>
                <w:color w:val="1F1F1F"/>
                <w:sz w:val="20"/>
                <w:szCs w:val="20"/>
                <w:highlight w:val="white"/>
              </w:rPr>
            </w:pPr>
            <w:r>
              <w:rPr>
                <w:color w:val="1F1F1F"/>
                <w:sz w:val="20"/>
                <w:szCs w:val="20"/>
                <w:highlight w:val="white"/>
              </w:rPr>
              <w:t>49.26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AF5D9" w14:textId="77777777" w:rsidR="00B31921" w:rsidRDefault="00000000">
            <w:pPr>
              <w:widowControl w:val="0"/>
              <w:spacing w:line="240" w:lineRule="auto"/>
              <w:rPr>
                <w:color w:val="1F1F1F"/>
                <w:sz w:val="20"/>
                <w:szCs w:val="20"/>
                <w:highlight w:val="white"/>
              </w:rPr>
            </w:pPr>
            <w:r>
              <w:rPr>
                <w:color w:val="1F1F1F"/>
                <w:sz w:val="20"/>
                <w:szCs w:val="20"/>
                <w:highlight w:val="white"/>
              </w:rPr>
              <w:t>39.73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65075"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99569" w14:textId="77777777" w:rsidR="00B31921" w:rsidRDefault="00000000">
            <w:pPr>
              <w:widowControl w:val="0"/>
              <w:spacing w:line="240" w:lineRule="auto"/>
              <w:rPr>
                <w:color w:val="1F1F1F"/>
                <w:sz w:val="20"/>
                <w:szCs w:val="20"/>
                <w:highlight w:val="white"/>
              </w:rPr>
            </w:pPr>
            <w:r>
              <w:rPr>
                <w:color w:val="1F1F1F"/>
                <w:sz w:val="20"/>
                <w:szCs w:val="20"/>
                <w:highlight w:val="white"/>
              </w:rPr>
              <w:t>0.75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5AF30" w14:textId="77777777" w:rsidR="00B31921" w:rsidRDefault="00000000">
            <w:pPr>
              <w:widowControl w:val="0"/>
              <w:spacing w:line="240" w:lineRule="auto"/>
              <w:rPr>
                <w:color w:val="1F1F1F"/>
                <w:sz w:val="20"/>
                <w:szCs w:val="20"/>
                <w:highlight w:val="white"/>
              </w:rPr>
            </w:pPr>
            <w:r>
              <w:rPr>
                <w:color w:val="1F1F1F"/>
                <w:sz w:val="20"/>
                <w:szCs w:val="20"/>
                <w:highlight w:val="white"/>
              </w:rPr>
              <w:t>50.00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C0AB" w14:textId="77777777" w:rsidR="00B31921" w:rsidRDefault="00000000">
            <w:pPr>
              <w:widowControl w:val="0"/>
              <w:spacing w:line="240" w:lineRule="auto"/>
              <w:rPr>
                <w:color w:val="1F1F1F"/>
                <w:sz w:val="20"/>
                <w:szCs w:val="20"/>
                <w:highlight w:val="white"/>
              </w:rPr>
            </w:pPr>
            <w:r>
              <w:rPr>
                <w:color w:val="1F1F1F"/>
                <w:sz w:val="20"/>
                <w:szCs w:val="20"/>
                <w:highlight w:val="white"/>
              </w:rPr>
              <w:t>94.55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24042" w14:textId="77777777" w:rsidR="00B31921" w:rsidRDefault="00000000">
            <w:pPr>
              <w:widowControl w:val="0"/>
              <w:spacing w:line="240" w:lineRule="auto"/>
              <w:rPr>
                <w:color w:val="1F1F1F"/>
                <w:sz w:val="20"/>
                <w:szCs w:val="20"/>
                <w:highlight w:val="white"/>
              </w:rPr>
            </w:pPr>
            <w:r>
              <w:rPr>
                <w:color w:val="1F1F1F"/>
                <w:sz w:val="20"/>
                <w:szCs w:val="20"/>
                <w:highlight w:val="white"/>
              </w:rPr>
              <w:t>100.0</w:t>
            </w:r>
          </w:p>
        </w:tc>
      </w:tr>
      <w:tr w:rsidR="00B31921" w14:paraId="2F8D3CDB"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36BD7" w14:textId="77777777" w:rsidR="00B31921" w:rsidRDefault="00000000">
            <w:pPr>
              <w:widowControl w:val="0"/>
              <w:spacing w:line="240" w:lineRule="auto"/>
              <w:rPr>
                <w:color w:val="1F1F1F"/>
                <w:sz w:val="20"/>
                <w:szCs w:val="20"/>
                <w:highlight w:val="white"/>
              </w:rPr>
            </w:pPr>
            <w:r>
              <w:rPr>
                <w:b/>
                <w:color w:val="1F1F1F"/>
                <w:sz w:val="20"/>
                <w:szCs w:val="20"/>
                <w:highlight w:val="white"/>
              </w:rPr>
              <w:t>MVA</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CDE6F" w14:textId="77777777" w:rsidR="00B31921" w:rsidRDefault="00000000">
            <w:pPr>
              <w:widowControl w:val="0"/>
              <w:spacing w:line="240" w:lineRule="auto"/>
              <w:rPr>
                <w:color w:val="1F1F1F"/>
                <w:sz w:val="20"/>
                <w:szCs w:val="20"/>
                <w:highlight w:val="white"/>
              </w:rPr>
            </w:pPr>
            <w:r>
              <w:rPr>
                <w:color w:val="1F1F1F"/>
                <w:sz w:val="20"/>
                <w:szCs w:val="20"/>
                <w:highlight w:val="white"/>
              </w:rPr>
              <w:t>1643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E4587" w14:textId="77777777" w:rsidR="00B31921" w:rsidRDefault="00000000">
            <w:pPr>
              <w:widowControl w:val="0"/>
              <w:spacing w:line="240" w:lineRule="auto"/>
              <w:rPr>
                <w:color w:val="1F1F1F"/>
                <w:sz w:val="20"/>
                <w:szCs w:val="20"/>
                <w:highlight w:val="white"/>
              </w:rPr>
            </w:pPr>
            <w:r>
              <w:rPr>
                <w:color w:val="1F1F1F"/>
                <w:sz w:val="20"/>
                <w:szCs w:val="20"/>
                <w:highlight w:val="white"/>
              </w:rPr>
              <w:t>-815.78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E39E3" w14:textId="77777777" w:rsidR="00B31921" w:rsidRDefault="00000000">
            <w:pPr>
              <w:widowControl w:val="0"/>
              <w:spacing w:line="240" w:lineRule="auto"/>
              <w:rPr>
                <w:color w:val="1F1F1F"/>
                <w:sz w:val="20"/>
                <w:szCs w:val="20"/>
                <w:highlight w:val="white"/>
              </w:rPr>
            </w:pPr>
            <w:r>
              <w:rPr>
                <w:color w:val="1F1F1F"/>
                <w:sz w:val="20"/>
                <w:szCs w:val="20"/>
                <w:highlight w:val="white"/>
              </w:rPr>
              <w:t>7681.59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F9E3F" w14:textId="77777777" w:rsidR="00B31921" w:rsidRDefault="00000000">
            <w:pPr>
              <w:widowControl w:val="0"/>
              <w:spacing w:line="240" w:lineRule="auto"/>
              <w:rPr>
                <w:color w:val="1F1F1F"/>
                <w:sz w:val="20"/>
                <w:szCs w:val="20"/>
                <w:highlight w:val="white"/>
              </w:rPr>
            </w:pPr>
            <w:r>
              <w:rPr>
                <w:color w:val="1F1F1F"/>
                <w:sz w:val="20"/>
                <w:szCs w:val="20"/>
                <w:highlight w:val="white"/>
              </w:rPr>
              <w:t>-99548.29</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69621" w14:textId="77777777" w:rsidR="00B31921" w:rsidRDefault="00000000">
            <w:pPr>
              <w:widowControl w:val="0"/>
              <w:spacing w:line="240" w:lineRule="auto"/>
              <w:rPr>
                <w:color w:val="1F1F1F"/>
                <w:sz w:val="20"/>
                <w:szCs w:val="20"/>
                <w:highlight w:val="white"/>
              </w:rPr>
            </w:pPr>
            <w:r>
              <w:rPr>
                <w:color w:val="1F1F1F"/>
                <w:sz w:val="20"/>
                <w:szCs w:val="20"/>
                <w:highlight w:val="white"/>
              </w:rPr>
              <w:t>-59.70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A2F27" w14:textId="77777777" w:rsidR="00B31921" w:rsidRDefault="00000000">
            <w:pPr>
              <w:widowControl w:val="0"/>
              <w:spacing w:line="240" w:lineRule="auto"/>
              <w:rPr>
                <w:color w:val="1F1F1F"/>
                <w:sz w:val="20"/>
                <w:szCs w:val="20"/>
                <w:highlight w:val="white"/>
              </w:rPr>
            </w:pPr>
            <w:r>
              <w:rPr>
                <w:color w:val="1F1F1F"/>
                <w:sz w:val="20"/>
                <w:szCs w:val="20"/>
                <w:highlight w:val="white"/>
              </w:rPr>
              <w:t>-0.11</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FC9BA" w14:textId="77777777" w:rsidR="00B31921" w:rsidRDefault="00000000">
            <w:pPr>
              <w:widowControl w:val="0"/>
              <w:spacing w:line="240" w:lineRule="auto"/>
              <w:rPr>
                <w:color w:val="1F1F1F"/>
                <w:sz w:val="20"/>
                <w:szCs w:val="20"/>
                <w:highlight w:val="white"/>
              </w:rPr>
            </w:pPr>
            <w:r>
              <w:rPr>
                <w:color w:val="1F1F1F"/>
                <w:sz w:val="20"/>
                <w:szCs w:val="20"/>
                <w:highlight w:val="white"/>
              </w:rPr>
              <w:t>51.13</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ADE40" w14:textId="77777777" w:rsidR="00B31921" w:rsidRDefault="00000000">
            <w:pPr>
              <w:widowControl w:val="0"/>
              <w:spacing w:line="240" w:lineRule="auto"/>
              <w:rPr>
                <w:color w:val="1F1F1F"/>
                <w:sz w:val="20"/>
                <w:szCs w:val="20"/>
                <w:highlight w:val="white"/>
              </w:rPr>
            </w:pPr>
            <w:r>
              <w:rPr>
                <w:color w:val="1F1F1F"/>
                <w:sz w:val="20"/>
                <w:szCs w:val="20"/>
                <w:highlight w:val="white"/>
              </w:rPr>
              <w:t>11358.51</w:t>
            </w:r>
          </w:p>
        </w:tc>
      </w:tr>
      <w:tr w:rsidR="00B31921" w14:paraId="1E2BD35E"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5DD9" w14:textId="77777777" w:rsidR="00B31921" w:rsidRDefault="00000000">
            <w:pPr>
              <w:widowControl w:val="0"/>
              <w:spacing w:line="240" w:lineRule="auto"/>
              <w:rPr>
                <w:color w:val="1F1F1F"/>
                <w:sz w:val="20"/>
                <w:szCs w:val="20"/>
                <w:highlight w:val="white"/>
              </w:rPr>
            </w:pPr>
            <w:r>
              <w:rPr>
                <w:b/>
                <w:color w:val="1F1F1F"/>
                <w:sz w:val="20"/>
                <w:szCs w:val="20"/>
                <w:highlight w:val="white"/>
              </w:rPr>
              <w:t>CFROI</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121D4" w14:textId="77777777" w:rsidR="00B31921" w:rsidRDefault="00000000">
            <w:pPr>
              <w:widowControl w:val="0"/>
              <w:spacing w:line="240" w:lineRule="auto"/>
              <w:rPr>
                <w:color w:val="1F1F1F"/>
                <w:sz w:val="20"/>
                <w:szCs w:val="20"/>
                <w:highlight w:val="white"/>
              </w:rPr>
            </w:pPr>
            <w:r>
              <w:rPr>
                <w:color w:val="1F1F1F"/>
                <w:sz w:val="20"/>
                <w:szCs w:val="20"/>
                <w:highlight w:val="white"/>
              </w:rPr>
              <w:t>1508</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B8D3F" w14:textId="77777777" w:rsidR="00B31921" w:rsidRDefault="00000000">
            <w:pPr>
              <w:widowControl w:val="0"/>
              <w:spacing w:line="240" w:lineRule="auto"/>
              <w:rPr>
                <w:color w:val="1F1F1F"/>
                <w:sz w:val="20"/>
                <w:szCs w:val="20"/>
                <w:highlight w:val="white"/>
              </w:rPr>
            </w:pPr>
            <w:r>
              <w:rPr>
                <w:color w:val="1F1F1F"/>
                <w:sz w:val="20"/>
                <w:szCs w:val="20"/>
                <w:highlight w:val="white"/>
              </w:rPr>
              <w:t>0.05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66B73" w14:textId="77777777" w:rsidR="00B31921" w:rsidRDefault="00000000">
            <w:pPr>
              <w:widowControl w:val="0"/>
              <w:spacing w:line="240" w:lineRule="auto"/>
              <w:rPr>
                <w:color w:val="1F1F1F"/>
                <w:sz w:val="20"/>
                <w:szCs w:val="20"/>
                <w:highlight w:val="white"/>
              </w:rPr>
            </w:pPr>
            <w:r>
              <w:rPr>
                <w:color w:val="1F1F1F"/>
                <w:sz w:val="20"/>
                <w:szCs w:val="20"/>
                <w:highlight w:val="white"/>
              </w:rPr>
              <w:t>1.42</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4F226" w14:textId="77777777" w:rsidR="00B31921" w:rsidRDefault="00000000">
            <w:pPr>
              <w:widowControl w:val="0"/>
              <w:spacing w:line="240" w:lineRule="auto"/>
              <w:rPr>
                <w:color w:val="1F1F1F"/>
                <w:sz w:val="20"/>
                <w:szCs w:val="20"/>
                <w:highlight w:val="white"/>
              </w:rPr>
            </w:pPr>
            <w:r>
              <w:rPr>
                <w:color w:val="1F1F1F"/>
                <w:sz w:val="20"/>
                <w:szCs w:val="20"/>
                <w:highlight w:val="white"/>
              </w:rPr>
              <w:t>-11.67</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A4757" w14:textId="77777777" w:rsidR="00B31921" w:rsidRDefault="00000000">
            <w:pPr>
              <w:widowControl w:val="0"/>
              <w:spacing w:line="240" w:lineRule="auto"/>
              <w:rPr>
                <w:color w:val="1F1F1F"/>
                <w:sz w:val="20"/>
                <w:szCs w:val="20"/>
                <w:highlight w:val="white"/>
              </w:rPr>
            </w:pPr>
            <w:r>
              <w:rPr>
                <w:color w:val="1F1F1F"/>
                <w:sz w:val="20"/>
                <w:szCs w:val="20"/>
                <w:highlight w:val="white"/>
              </w:rPr>
              <w:t>-0.05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F9C89" w14:textId="77777777" w:rsidR="00B31921" w:rsidRDefault="00000000">
            <w:pPr>
              <w:widowControl w:val="0"/>
              <w:spacing w:line="240" w:lineRule="auto"/>
              <w:rPr>
                <w:color w:val="1F1F1F"/>
                <w:sz w:val="20"/>
                <w:szCs w:val="20"/>
                <w:highlight w:val="white"/>
              </w:rPr>
            </w:pPr>
            <w:r>
              <w:rPr>
                <w:color w:val="1F1F1F"/>
                <w:sz w:val="20"/>
                <w:szCs w:val="20"/>
                <w:highlight w:val="white"/>
              </w:rPr>
              <w:t>0.00</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51BFF" w14:textId="77777777" w:rsidR="00B31921" w:rsidRDefault="00000000">
            <w:pPr>
              <w:widowControl w:val="0"/>
              <w:spacing w:line="240" w:lineRule="auto"/>
              <w:rPr>
                <w:color w:val="1F1F1F"/>
                <w:sz w:val="20"/>
                <w:szCs w:val="20"/>
                <w:highlight w:val="white"/>
              </w:rPr>
            </w:pPr>
            <w:r>
              <w:rPr>
                <w:color w:val="1F1F1F"/>
                <w:sz w:val="20"/>
                <w:szCs w:val="20"/>
                <w:highlight w:val="white"/>
              </w:rPr>
              <w:t>0.05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FD284" w14:textId="77777777" w:rsidR="00B31921" w:rsidRDefault="00000000">
            <w:pPr>
              <w:widowControl w:val="0"/>
              <w:spacing w:line="240" w:lineRule="auto"/>
              <w:rPr>
                <w:color w:val="1F1F1F"/>
                <w:sz w:val="20"/>
                <w:szCs w:val="20"/>
                <w:highlight w:val="white"/>
              </w:rPr>
            </w:pPr>
            <w:r>
              <w:rPr>
                <w:color w:val="1F1F1F"/>
                <w:sz w:val="20"/>
                <w:szCs w:val="20"/>
                <w:highlight w:val="white"/>
              </w:rPr>
              <w:t>28.31</w:t>
            </w:r>
          </w:p>
        </w:tc>
      </w:tr>
      <w:tr w:rsidR="00B31921" w14:paraId="1F9D5A19"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88695" w14:textId="77777777" w:rsidR="00B31921" w:rsidRDefault="00000000">
            <w:pPr>
              <w:widowControl w:val="0"/>
              <w:spacing w:line="240" w:lineRule="auto"/>
              <w:rPr>
                <w:color w:val="1F1F1F"/>
                <w:sz w:val="20"/>
                <w:szCs w:val="20"/>
                <w:highlight w:val="white"/>
              </w:rPr>
            </w:pPr>
            <w:r>
              <w:rPr>
                <w:b/>
                <w:color w:val="1F1F1F"/>
                <w:sz w:val="20"/>
                <w:szCs w:val="20"/>
                <w:highlight w:val="white"/>
              </w:rPr>
              <w:t>Sale Price</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FB5E7" w14:textId="77777777" w:rsidR="00B31921" w:rsidRDefault="00000000">
            <w:pPr>
              <w:widowControl w:val="0"/>
              <w:spacing w:line="240" w:lineRule="auto"/>
              <w:rPr>
                <w:color w:val="1F1F1F"/>
                <w:sz w:val="20"/>
                <w:szCs w:val="20"/>
                <w:highlight w:val="white"/>
              </w:rPr>
            </w:pPr>
            <w:r>
              <w:rPr>
                <w:color w:val="1F1F1F"/>
                <w:sz w:val="20"/>
                <w:szCs w:val="20"/>
                <w:highlight w:val="white"/>
              </w:rPr>
              <w:t>1926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24C76" w14:textId="77777777" w:rsidR="00B31921" w:rsidRDefault="00000000">
            <w:pPr>
              <w:widowControl w:val="0"/>
              <w:spacing w:line="240" w:lineRule="auto"/>
              <w:rPr>
                <w:color w:val="1F1F1F"/>
                <w:sz w:val="20"/>
                <w:szCs w:val="20"/>
                <w:highlight w:val="white"/>
              </w:rPr>
            </w:pPr>
            <w:r>
              <w:rPr>
                <w:color w:val="1F1F1F"/>
                <w:sz w:val="20"/>
                <w:szCs w:val="20"/>
                <w:highlight w:val="white"/>
              </w:rPr>
              <w:t>1.1e+06</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C3A22" w14:textId="77777777" w:rsidR="00B31921" w:rsidRDefault="00000000">
            <w:pPr>
              <w:widowControl w:val="0"/>
              <w:spacing w:line="240" w:lineRule="auto"/>
              <w:rPr>
                <w:color w:val="1F1F1F"/>
                <w:sz w:val="20"/>
                <w:szCs w:val="20"/>
                <w:highlight w:val="white"/>
              </w:rPr>
            </w:pPr>
            <w:r>
              <w:rPr>
                <w:color w:val="1F1F1F"/>
                <w:sz w:val="20"/>
                <w:szCs w:val="20"/>
                <w:highlight w:val="white"/>
              </w:rPr>
              <w:t>2.4e+05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F2071" w14:textId="77777777" w:rsidR="00B31921" w:rsidRDefault="00000000">
            <w:pPr>
              <w:widowControl w:val="0"/>
              <w:spacing w:line="240" w:lineRule="auto"/>
              <w:rPr>
                <w:color w:val="1F1F1F"/>
                <w:sz w:val="20"/>
                <w:szCs w:val="20"/>
                <w:highlight w:val="white"/>
              </w:rPr>
            </w:pPr>
            <w:r>
              <w:rPr>
                <w:color w:val="1F1F1F"/>
                <w:sz w:val="20"/>
                <w:szCs w:val="20"/>
                <w:highlight w:val="white"/>
              </w:rPr>
              <w:t>5.9e+05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C4CB7" w14:textId="77777777" w:rsidR="00B31921" w:rsidRDefault="00000000">
            <w:pPr>
              <w:widowControl w:val="0"/>
              <w:spacing w:line="240" w:lineRule="auto"/>
              <w:rPr>
                <w:color w:val="1F1F1F"/>
                <w:sz w:val="20"/>
                <w:szCs w:val="20"/>
                <w:highlight w:val="white"/>
              </w:rPr>
            </w:pPr>
            <w:r>
              <w:rPr>
                <w:color w:val="1F1F1F"/>
                <w:sz w:val="20"/>
                <w:szCs w:val="20"/>
                <w:highlight w:val="white"/>
              </w:rPr>
              <w:t>8.5e+05</w:t>
            </w:r>
          </w:p>
        </w:tc>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7F521" w14:textId="77777777" w:rsidR="00B31921" w:rsidRDefault="00000000">
            <w:pPr>
              <w:widowControl w:val="0"/>
              <w:spacing w:line="240" w:lineRule="auto"/>
              <w:rPr>
                <w:color w:val="1F1F1F"/>
                <w:sz w:val="20"/>
                <w:szCs w:val="20"/>
                <w:highlight w:val="white"/>
              </w:rPr>
            </w:pPr>
            <w:r>
              <w:rPr>
                <w:color w:val="1F1F1F"/>
                <w:sz w:val="20"/>
                <w:szCs w:val="20"/>
                <w:highlight w:val="white"/>
              </w:rPr>
              <w:t>1.1e+06</w:t>
            </w:r>
          </w:p>
        </w:tc>
        <w:tc>
          <w:tcPr>
            <w:tcW w:w="1035" w:type="dxa"/>
            <w:shd w:val="clear" w:color="auto" w:fill="auto"/>
            <w:tcMar>
              <w:top w:w="100" w:type="dxa"/>
              <w:left w:w="100" w:type="dxa"/>
              <w:bottom w:w="100" w:type="dxa"/>
              <w:right w:w="100" w:type="dxa"/>
            </w:tcMar>
          </w:tcPr>
          <w:p w14:paraId="7EE3B4FF" w14:textId="77777777" w:rsidR="00B31921" w:rsidRDefault="00000000">
            <w:pPr>
              <w:widowControl w:val="0"/>
              <w:spacing w:line="240" w:lineRule="auto"/>
              <w:rPr>
                <w:color w:val="1F1F1F"/>
                <w:sz w:val="20"/>
                <w:szCs w:val="20"/>
                <w:highlight w:val="white"/>
              </w:rPr>
            </w:pPr>
            <w:r>
              <w:rPr>
                <w:color w:val="1F1F1F"/>
                <w:sz w:val="20"/>
                <w:szCs w:val="20"/>
                <w:highlight w:val="white"/>
              </w:rPr>
              <w:t>1.2e+06</w:t>
            </w:r>
          </w:p>
        </w:tc>
        <w:tc>
          <w:tcPr>
            <w:tcW w:w="1035" w:type="dxa"/>
            <w:shd w:val="clear" w:color="auto" w:fill="auto"/>
            <w:tcMar>
              <w:top w:w="100" w:type="dxa"/>
              <w:left w:w="100" w:type="dxa"/>
              <w:bottom w:w="100" w:type="dxa"/>
              <w:right w:w="100" w:type="dxa"/>
            </w:tcMar>
          </w:tcPr>
          <w:p w14:paraId="00A39BD1" w14:textId="77777777" w:rsidR="00B31921" w:rsidRDefault="00000000">
            <w:pPr>
              <w:widowControl w:val="0"/>
              <w:spacing w:line="240" w:lineRule="auto"/>
              <w:rPr>
                <w:color w:val="1F1F1F"/>
                <w:sz w:val="20"/>
                <w:szCs w:val="20"/>
                <w:highlight w:val="white"/>
              </w:rPr>
            </w:pPr>
            <w:r>
              <w:rPr>
                <w:color w:val="1F1F1F"/>
                <w:sz w:val="20"/>
                <w:szCs w:val="20"/>
                <w:highlight w:val="white"/>
              </w:rPr>
              <w:t>1.6e+06</w:t>
            </w:r>
          </w:p>
        </w:tc>
      </w:tr>
    </w:tbl>
    <w:p w14:paraId="72963B42" w14:textId="20BB437D" w:rsidR="00B31921" w:rsidRDefault="005149CA">
      <w:pPr>
        <w:spacing w:before="240" w:after="240"/>
        <w:jc w:val="center"/>
        <w:rPr>
          <w:sz w:val="24"/>
          <w:szCs w:val="24"/>
        </w:rPr>
      </w:pPr>
      <w:r w:rsidRPr="005149CA">
        <w:rPr>
          <w:rFonts w:hint="eastAsia"/>
          <w:b/>
          <w:bCs/>
          <w:sz w:val="24"/>
          <w:szCs w:val="24"/>
        </w:rPr>
        <w:t xml:space="preserve">Figure </w:t>
      </w:r>
      <w:r w:rsidR="00000000" w:rsidRPr="005149CA">
        <w:rPr>
          <w:b/>
          <w:bCs/>
          <w:sz w:val="24"/>
          <w:szCs w:val="24"/>
        </w:rPr>
        <w:t>1</w:t>
      </w:r>
      <w:r w:rsidR="00000000">
        <w:rPr>
          <w:sz w:val="24"/>
          <w:szCs w:val="24"/>
        </w:rPr>
        <w:t>. Correlation Heatmap of the datasets</w:t>
      </w:r>
    </w:p>
    <w:p w14:paraId="086C57F1" w14:textId="77777777" w:rsidR="00B31921" w:rsidRDefault="00000000">
      <w:pPr>
        <w:spacing w:before="240" w:after="240"/>
        <w:rPr>
          <w:sz w:val="24"/>
          <w:szCs w:val="24"/>
        </w:rPr>
      </w:pPr>
      <w:r>
        <w:rPr>
          <w:noProof/>
          <w:sz w:val="24"/>
          <w:szCs w:val="24"/>
        </w:rPr>
        <w:drawing>
          <wp:inline distT="114300" distB="114300" distL="114300" distR="114300" wp14:anchorId="0F084F37" wp14:editId="4CD39D7D">
            <wp:extent cx="5943600" cy="5016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016500"/>
                    </a:xfrm>
                    <a:prstGeom prst="rect">
                      <a:avLst/>
                    </a:prstGeom>
                    <a:ln/>
                  </pic:spPr>
                </pic:pic>
              </a:graphicData>
            </a:graphic>
          </wp:inline>
        </w:drawing>
      </w:r>
    </w:p>
    <w:sectPr w:rsidR="00B319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7258F"/>
    <w:multiLevelType w:val="multilevel"/>
    <w:tmpl w:val="1A0A6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C66122"/>
    <w:multiLevelType w:val="multilevel"/>
    <w:tmpl w:val="1B5AA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60419741">
    <w:abstractNumId w:val="0"/>
  </w:num>
  <w:num w:numId="2" w16cid:durableId="209925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921"/>
    <w:rsid w:val="00262FB5"/>
    <w:rsid w:val="005149CA"/>
    <w:rsid w:val="00831AF2"/>
    <w:rsid w:val="00924311"/>
    <w:rsid w:val="00B3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0D306"/>
  <w15:docId w15:val="{1BCE813F-A2DB-49C4-B828-855562F6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3576</Words>
  <Characters>21994</Characters>
  <Application>Microsoft Office Word</Application>
  <DocSecurity>0</DocSecurity>
  <Lines>733</Lines>
  <Paragraphs>440</Paragraphs>
  <ScaleCrop>false</ScaleCrop>
  <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Xiao</cp:lastModifiedBy>
  <cp:revision>7</cp:revision>
  <dcterms:created xsi:type="dcterms:W3CDTF">2025-04-04T13:31:00Z</dcterms:created>
  <dcterms:modified xsi:type="dcterms:W3CDTF">2025-04-04T13:38:00Z</dcterms:modified>
</cp:coreProperties>
</file>