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17.0" w:type="dxa"/>
        <w:jc w:val="left"/>
        <w:tblBorders>
          <w:top w:color="83caeb" w:space="0" w:sz="4" w:val="single"/>
          <w:left w:color="83caeb" w:space="0" w:sz="4" w:val="single"/>
          <w:bottom w:color="83caeb" w:space="0" w:sz="4" w:val="single"/>
          <w:right w:color="83caeb" w:space="0" w:sz="4" w:val="single"/>
          <w:insideH w:color="83caeb" w:space="0" w:sz="4" w:val="single"/>
          <w:insideV w:color="83caeb" w:space="0" w:sz="4" w:val="single"/>
        </w:tblBorders>
        <w:tblLayout w:type="fixed"/>
        <w:tblLook w:val="04A0"/>
      </w:tblPr>
      <w:tblGrid>
        <w:gridCol w:w="2074"/>
        <w:gridCol w:w="3166"/>
        <w:gridCol w:w="2977"/>
        <w:tblGridChange w:id="0">
          <w:tblGrid>
            <w:gridCol w:w="2074"/>
            <w:gridCol w:w="316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caedfb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X variables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Column Name in dataset (compstate)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number of common shares   outstanding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cshoq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Common Shares Traded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cshtrq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0"/>
                <w:color w:val="000000"/>
                <w:highlight w:val="yellow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highlight w:val="yellow"/>
                <w:rtl w:val="0"/>
              </w:rPr>
              <w:t xml:space="preserve">Capital Expenditure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capxy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funds used by a company to acquire, upgrade, and maintain physical assets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Revenue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revtq (quarterly) / revty (yearly)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Our target1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Operating Income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(After Depreciation)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oiadpq / oiadpy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earnings from its core business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Net Income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niq / niy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Operating Expense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xoprq/xopry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Shareholder’s Equity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teqq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Total Assets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atq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epsfiq / epsfxq/epspiq/epspxq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choose one with the fewest missing 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much profit each outstanding share of common stock has earned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Interest expense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tieq / tiey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Only used to calculate EBITDA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Pretax Income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piq / piy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Only used to calculate EBITDA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Income Taxes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txtq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Only used to calculate EBITDA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c94d8"/>
                <w:rtl w:val="0"/>
              </w:rPr>
              <w:t xml:space="preserve">Ps: Pretax Income = Net Income + Income Taxes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0"/>
                <w:color w:val="4c94d8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Depreciation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and Amortization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dpq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Only used to calculate EBITDA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Current Liabilities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lctq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Only used to calculate quick ratio and CFROI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Current Assets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actq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Only used to calculate quick ratio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Inventories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invtq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Only used to calculate quick ratio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Close Price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prccq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Only used to calculate RSI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rtl w:val="0"/>
              </w:rPr>
              <w:t xml:space="preserve">Maybe some variable from “Industry Specific Quarterly.csv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rtl w:val="0"/>
              </w:rPr>
              <w:t xml:space="preserve">” but not sure which columns are related to real estate…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Need to merge the dataset and filter those columns with few missing values to decide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Operating Income Taxes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uopittq 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4a86e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 “Industry Specific Quarterly.csv”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rtl w:val="0"/>
              </w:rPr>
              <w:t xml:space="preserve"> (not sure whether it is for real estate industry)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Only used to calculate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EVA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Operating Activities - Net Cash Flow (OFC)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oancfy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4c94d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c94d8"/>
                <w:rtl w:val="0"/>
              </w:rPr>
              <w:t xml:space="preserve">Only used to calculate CFROI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17.0" w:type="dxa"/>
        <w:jc w:val="left"/>
        <w:tblBorders>
          <w:top w:color="83caeb" w:space="0" w:sz="4" w:val="single"/>
          <w:left w:color="83caeb" w:space="0" w:sz="4" w:val="single"/>
          <w:bottom w:color="83caeb" w:space="0" w:sz="4" w:val="single"/>
          <w:right w:color="83caeb" w:space="0" w:sz="4" w:val="single"/>
          <w:insideH w:color="83caeb" w:space="0" w:sz="4" w:val="single"/>
          <w:insideV w:color="83caeb" w:space="0" w:sz="4" w:val="single"/>
        </w:tblBorders>
        <w:tblLayout w:type="fixed"/>
        <w:tblLook w:val="04A0"/>
      </w:tblPr>
      <w:tblGrid>
        <w:gridCol w:w="2074"/>
        <w:gridCol w:w="3166"/>
        <w:gridCol w:w="2977"/>
        <w:tblGridChange w:id="0">
          <w:tblGrid>
            <w:gridCol w:w="2074"/>
            <w:gridCol w:w="316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caedfb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Features Engineering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Calculation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0"/>
              </w:rPr>
            </w:pP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EBITDA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calculate EBIT =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 Income + Interest expense+ Income Taxes = Pretax Income + Interest expense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Then EBITDA =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EBIT+Depreciation+ Amortization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Our target2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Debt to Total Asset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Total Debt / Total Assets 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= 1 - Shareholder’s Equity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 Total assets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grasping financial health and stability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NI to Asset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NI/Average asset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ROA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 income / total assets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profitable a company is relative to its total assets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ROE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 income / shareholder’s equity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profitable a company is relative to its net assets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Revenue Growth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(current period revenue – previous period revenue) / previous period revenue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Operating Income Growth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(current period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Operating Profit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– previous period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Operating Profit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/ previous period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Operating Profit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0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highlight w:val="yellow"/>
                <w:rtl w:val="0"/>
              </w:rPr>
              <w:t xml:space="preserve">Net Income Growth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(current period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Net Income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– previous period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Net Income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/ previous period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Net Income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Quick Ratio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​current assets - inventories ​​/ current liabilities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indicate liquidity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4"/>
        <w:gridCol w:w="3166"/>
        <w:gridCol w:w="2977"/>
        <w:tblGridChange w:id="0">
          <w:tblGrid>
            <w:gridCol w:w="2074"/>
            <w:gridCol w:w="316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caedfb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Calculation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relative strength index (RSI)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 – 100 / (1 + RS) 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RS = Average gain/Average loss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momentum oscillator that is widely used in technical analysis of stocks and commodities to identify changes in momentum and price direction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MVA (Market value-added)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Market Value of Shares – Book Value of Shareholders’ Equity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amount of wealth that a company is able to create for its stakeholders since its foundation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CFROI (Cash flow return on investment)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Cash Flow (OCF) / Capital Employed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 = Total Assets – Current Liabilities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proxy for a company's economic return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version:</w:t>
      </w:r>
    </w:p>
    <w:p w:rsidR="00000000" w:rsidDel="00000000" w:rsidP="00000000" w:rsidRDefault="00000000" w:rsidRPr="00000000" w14:paraId="00000086">
      <w:pPr>
        <w:spacing w:after="20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0"/>
        </w:rPr>
        <w:t xml:space="preserve">Table 1: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 X Variables Construction</w:t>
      </w:r>
      <w:r w:rsidDel="00000000" w:rsidR="00000000" w:rsidRPr="00000000">
        <w:rPr>
          <w:rtl w:val="0"/>
        </w:rPr>
      </w:r>
    </w:p>
    <w:tbl>
      <w:tblPr>
        <w:tblStyle w:val="Table4"/>
        <w:tblW w:w="8217.0" w:type="dxa"/>
        <w:jc w:val="left"/>
        <w:tblBorders>
          <w:top w:color="83caeb" w:space="0" w:sz="4" w:val="single"/>
          <w:left w:color="83caeb" w:space="0" w:sz="4" w:val="single"/>
          <w:bottom w:color="83caeb" w:space="0" w:sz="4" w:val="single"/>
          <w:right w:color="83caeb" w:space="0" w:sz="4" w:val="single"/>
          <w:insideH w:color="83caeb" w:space="0" w:sz="4" w:val="single"/>
          <w:insideV w:color="83caeb" w:space="0" w:sz="4" w:val="single"/>
        </w:tblBorders>
        <w:tblLayout w:type="fixed"/>
        <w:tblLook w:val="04A0"/>
      </w:tblPr>
      <w:tblGrid>
        <w:gridCol w:w="2074"/>
        <w:gridCol w:w="3166"/>
        <w:gridCol w:w="2977"/>
        <w:tblGridChange w:id="0">
          <w:tblGrid>
            <w:gridCol w:w="2074"/>
            <w:gridCol w:w="316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caedfb" w:val="clear"/>
          </w:tcPr>
          <w:p w:rsidR="00000000" w:rsidDel="00000000" w:rsidP="00000000" w:rsidRDefault="00000000" w:rsidRPr="00000000" w14:paraId="0000008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Basic X variables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Column Name in dataset (compstate)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Number of common shares   outstanding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cshoq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Common Shares Traded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cshtrq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Capital Expenditure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capxy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Funds used by a company to acquire, upgrade, and maintain physical assets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Revenue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revtq (quarterly) 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Our target1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Operating Income (After Depreciation)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oiadpq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earnings from its core business functions (Not use it in EBITDA prediction due to target leakage)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Net Income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niq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Operating Expense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xoprq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Shareholder’s Equity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teqq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Total Assets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atq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epsfiq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How much profit each outstanding share of common stock has earned</w:t>
            </w:r>
          </w:p>
        </w:tc>
      </w:tr>
      <w:tr>
        <w:trPr>
          <w:cantSplit w:val="0"/>
          <w:tblHeader w:val="0"/>
        </w:trPr>
        <w:tc>
          <w:tcPr>
            <w:shd w:fill="caedfb" w:val="clear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Features Engineering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Calculation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EBITDA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Operating Income + Depreciation and Amortization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Our target2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Debt to Total Asset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Total Debt / Total Assets </w:t>
            </w:r>
          </w:p>
          <w:p w:rsidR="00000000" w:rsidDel="00000000" w:rsidP="00000000" w:rsidRDefault="00000000" w:rsidRPr="00000000" w14:paraId="000000B0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= 1 - Shareholder’s Equity / Total assets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Grasping financial health and stability (Solvency)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NI to Asset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NI/Average asset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ROA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net income / total assets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How profitable a company is relative to its total assets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ROE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net income / shareholder’s equity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How profitable a company is relative to its net assets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Revenue Growth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(current period revenue – previous period revenue) / previous period revenue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Operating Income Growth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(current period Operating Profit – previous period Operating Profit) / previous period Operating Profit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Net Income Growth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(current period Net Income – previous period Net Income) / previous period Net Income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Quick Ratio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​current assets - inventories ​​/ current liabilities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Indicate liquidity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RSI (Relative Strength Index)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100 – 100 / (1 + RS) </w:t>
            </w:r>
          </w:p>
          <w:p w:rsidR="00000000" w:rsidDel="00000000" w:rsidP="00000000" w:rsidRDefault="00000000" w:rsidRPr="00000000" w14:paraId="000000C9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RS = Average gain/Average loss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A momentum oscillator that is widely used in technical analysis of stocks and commodities to identify changes in momentum and price direction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MVA (Market value-added)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Market Value of Shares – Book Value of Shareholders’ Equity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The amount of wealth that a company is able to create for its stakeholders since its foundation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1"/>
              <w:jc w:val="left"/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1f1f1f"/>
                <w:sz w:val="20"/>
                <w:szCs w:val="20"/>
                <w:highlight w:val="white"/>
                <w:rtl w:val="0"/>
              </w:rPr>
              <w:t xml:space="preserve">CFROI (Cash flow return on investment)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Operating Cash Flow (OCF) / Capital Employed</w:t>
            </w:r>
          </w:p>
          <w:p w:rsidR="00000000" w:rsidDel="00000000" w:rsidP="00000000" w:rsidRDefault="00000000" w:rsidRPr="00000000" w14:paraId="000000D0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CE = Total Assets – Current Liabilities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1"/>
              <w:jc w:val="left"/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0"/>
                <w:szCs w:val="20"/>
                <w:highlight w:val="white"/>
                <w:rtl w:val="0"/>
              </w:rPr>
              <w:t xml:space="preserve">a proxy for a company's economic return</w:t>
            </w:r>
          </w:p>
        </w:tc>
      </w:tr>
    </w:tbl>
    <w:p w:rsidR="00000000" w:rsidDel="00000000" w:rsidP="00000000" w:rsidRDefault="00000000" w:rsidRPr="00000000" w14:paraId="000000D2">
      <w:pPr>
        <w:pStyle w:val="Heading4"/>
        <w:keepNext w:val="0"/>
        <w:keepLines w:val="0"/>
        <w:widowControl w:val="1"/>
        <w:spacing w:after="80" w:before="28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tch1caih8x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ya Prastiti" w:id="5" w:date="2025-03-24T08:37:48Z"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 gauge financial leverage and capital structure. Real estate firms often rely on significant debt financing, so changes in equity might correlate with expansions or acquisitions.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processing: Could create ratios like “Debt/Equity” or “Equity/Assets” for a more normalized measure</w:t>
      </w:r>
    </w:p>
  </w:comment>
  <w:comment w:author="Alya Prastiti" w:id="2" w:date="2025-03-24T08:33:06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are predicting revenue, Operating Income could be a strong predictor, since it reflects the firm’s core profitability.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our target is EBITDA, and you use Operating Income + Depre to derive EBITDA, you shouldn’t include Operating Income in the same time period as an X variable for predicting that same period’s EBITDA (to avoid target leakage). Instead, consider lagging it or removing it.</w:t>
      </w:r>
    </w:p>
  </w:comment>
  <w:comment w:author="Wang Ruijue" w:id="7" w:date="2025-03-24T11:50:59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get Interest expense. Use: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Income + Depreciation and Amortization</w:t>
      </w:r>
    </w:p>
  </w:comment>
  <w:comment w:author="Alya Prastiti" w:id="3" w:date="2025-03-24T08:36:55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 necessary) NI captures the bottom line, including interest and taxes, which might provide signals about overall firm health.</w:t>
      </w:r>
    </w:p>
  </w:comment>
  <w:comment w:author="Hokiya Jostar" w:id="4" w:date="2025-03-24T08:57:32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</w:comment>
  <w:comment w:author="Alya Prastiti" w:id="0" w:date="2025-03-24T08:30:33Z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may not be crucial unless we want to capture market sentiment or equity-based metrics (e.g market cap)</w:t>
      </w:r>
    </w:p>
  </w:comment>
  <w:comment w:author="Alya Prastiti" w:id="6" w:date="2025-03-24T08:35:09Z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real estate, depreciation can be large and may signal changes in property or equipment usage</w:t>
      </w:r>
    </w:p>
  </w:comment>
  <w:comment w:author="Alya Prastiti" w:id="1" w:date="2025-03-24T08:29:58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CAPX can signal future growth or property development. Higher CAPX often correlates with future revenue or EBITDA growth.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D7" w15:done="0"/>
  <w15:commentEx w15:paraId="000000DA" w15:done="0"/>
  <w15:commentEx w15:paraId="000000DC" w15:done="0"/>
  <w15:commentEx w15:paraId="000000DD" w15:done="0"/>
  <w15:commentEx w15:paraId="000000DE" w15:paraIdParent="000000DD" w15:done="0"/>
  <w15:commentEx w15:paraId="000000DF" w15:done="0"/>
  <w15:commentEx w15:paraId="000000E0" w15:done="0"/>
  <w15:commentEx w15:paraId="000000E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等线"/>
  <w:font w:name="等线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等线 Light" w:cs="等线 Light" w:eastAsia="等线 Light" w:hAnsi="等线 Light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等线 Light" w:cs="等线 Light" w:eastAsia="等线 Light" w:hAnsi="等线 Light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等线 Light" w:cs="等线 Light" w:eastAsia="等线 Light" w:hAnsi="等线 Light"/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0f4761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等线 Light" w:cs="等线 Light" w:eastAsia="等线 Light" w:hAnsi="等线 Light"/>
      <w:sz w:val="56"/>
      <w:szCs w:val="56"/>
    </w:rPr>
  </w:style>
  <w:style w:type="paragraph" w:styleId="a" w:default="1">
    <w:name w:val="Normal"/>
    <w:qFormat w:val="1"/>
    <w:rsid w:val="004F00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 w:val="1"/>
    <w:rsid w:val="00CC55D7"/>
    <w:pPr>
      <w:keepNext w:val="1"/>
      <w:keepLines w:val="1"/>
      <w:spacing w:after="80" w:before="48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CC55D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CC55D7"/>
    <w:pPr>
      <w:keepNext w:val="1"/>
      <w:keepLines w:val="1"/>
      <w:spacing w:after="80" w:before="160"/>
      <w:outlineLvl w:val="2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CC55D7"/>
    <w:pPr>
      <w:keepNext w:val="1"/>
      <w:keepLines w:val="1"/>
      <w:spacing w:after="40" w:before="80"/>
      <w:outlineLvl w:val="3"/>
    </w:pPr>
    <w:rPr>
      <w:rFonts w:cstheme="majorBidi"/>
      <w:color w:val="0f4761" w:themeColor="accent1" w:themeShade="0000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rsid w:val="00CC55D7"/>
    <w:pPr>
      <w:keepNext w:val="1"/>
      <w:keepLines w:val="1"/>
      <w:spacing w:after="40" w:before="80"/>
      <w:outlineLvl w:val="4"/>
    </w:pPr>
    <w:rPr>
      <w:rFonts w:cstheme="majorBidi"/>
      <w:color w:val="0f4761" w:themeColor="accent1" w:themeShade="0000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CC55D7"/>
    <w:pPr>
      <w:keepNext w:val="1"/>
      <w:keepLines w:val="1"/>
      <w:spacing w:before="40"/>
      <w:outlineLvl w:val="5"/>
    </w:pPr>
    <w:rPr>
      <w:rFonts w:cstheme="majorBidi"/>
      <w:b w:val="1"/>
      <w:bCs w:val="1"/>
      <w:color w:val="0f4761" w:themeColor="accent1" w:themeShade="0000B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CC55D7"/>
    <w:pPr>
      <w:keepNext w:val="1"/>
      <w:keepLines w:val="1"/>
      <w:spacing w:before="40"/>
      <w:outlineLvl w:val="6"/>
    </w:pPr>
    <w:rPr>
      <w:rFonts w:cstheme="majorBidi"/>
      <w:b w:val="1"/>
      <w:bCs w:val="1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CC55D7"/>
    <w:pPr>
      <w:keepNext w:val="1"/>
      <w:keepLines w:val="1"/>
      <w:outlineLvl w:val="7"/>
    </w:pPr>
    <w:rPr>
      <w:rFonts w:cstheme="majorBidi"/>
      <w:color w:val="595959" w:themeColor="text1" w:themeTint="0000A6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CC55D7"/>
    <w:pPr>
      <w:keepNext w:val="1"/>
      <w:keepLines w:val="1"/>
      <w:outlineLvl w:val="8"/>
    </w:pPr>
    <w:rPr>
      <w:rFonts w:cstheme="majorBidi" w:eastAsiaTheme="majorEastAsia"/>
      <w:color w:val="595959" w:themeColor="text1" w:themeTint="0000A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标题 1 字符"/>
    <w:basedOn w:val="a0"/>
    <w:link w:val="1"/>
    <w:uiPriority w:val="9"/>
    <w:rsid w:val="00CC55D7"/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character" w:styleId="20" w:customStyle="1">
    <w:name w:val="标题 2 字符"/>
    <w:basedOn w:val="a0"/>
    <w:link w:val="2"/>
    <w:uiPriority w:val="9"/>
    <w:semiHidden w:val="1"/>
    <w:rsid w:val="00CC55D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30" w:customStyle="1">
    <w:name w:val="标题 3 字符"/>
    <w:basedOn w:val="a0"/>
    <w:link w:val="3"/>
    <w:uiPriority w:val="9"/>
    <w:semiHidden w:val="1"/>
    <w:rsid w:val="00CC55D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40" w:customStyle="1">
    <w:name w:val="标题 4 字符"/>
    <w:basedOn w:val="a0"/>
    <w:link w:val="4"/>
    <w:uiPriority w:val="9"/>
    <w:semiHidden w:val="1"/>
    <w:rsid w:val="00CC55D7"/>
    <w:rPr>
      <w:rFonts w:cstheme="majorBidi"/>
      <w:color w:val="0f4761" w:themeColor="accent1" w:themeShade="0000BF"/>
      <w:sz w:val="28"/>
      <w:szCs w:val="28"/>
    </w:rPr>
  </w:style>
  <w:style w:type="character" w:styleId="50" w:customStyle="1">
    <w:name w:val="标题 5 字符"/>
    <w:basedOn w:val="a0"/>
    <w:link w:val="5"/>
    <w:uiPriority w:val="9"/>
    <w:rsid w:val="00CC55D7"/>
    <w:rPr>
      <w:rFonts w:cstheme="majorBidi"/>
      <w:color w:val="0f4761" w:themeColor="accent1" w:themeShade="0000BF"/>
      <w:sz w:val="24"/>
      <w:szCs w:val="24"/>
    </w:rPr>
  </w:style>
  <w:style w:type="character" w:styleId="60" w:customStyle="1">
    <w:name w:val="标题 6 字符"/>
    <w:basedOn w:val="a0"/>
    <w:link w:val="6"/>
    <w:uiPriority w:val="9"/>
    <w:semiHidden w:val="1"/>
    <w:rsid w:val="00CC55D7"/>
    <w:rPr>
      <w:rFonts w:cstheme="majorBidi"/>
      <w:b w:val="1"/>
      <w:bCs w:val="1"/>
      <w:color w:val="0f4761" w:themeColor="accent1" w:themeShade="0000BF"/>
    </w:rPr>
  </w:style>
  <w:style w:type="character" w:styleId="70" w:customStyle="1">
    <w:name w:val="标题 7 字符"/>
    <w:basedOn w:val="a0"/>
    <w:link w:val="7"/>
    <w:uiPriority w:val="9"/>
    <w:semiHidden w:val="1"/>
    <w:rsid w:val="00CC55D7"/>
    <w:rPr>
      <w:rFonts w:cstheme="majorBidi"/>
      <w:b w:val="1"/>
      <w:bCs w:val="1"/>
      <w:color w:val="595959" w:themeColor="text1" w:themeTint="0000A6"/>
    </w:rPr>
  </w:style>
  <w:style w:type="character" w:styleId="80" w:customStyle="1">
    <w:name w:val="标题 8 字符"/>
    <w:basedOn w:val="a0"/>
    <w:link w:val="8"/>
    <w:uiPriority w:val="9"/>
    <w:semiHidden w:val="1"/>
    <w:rsid w:val="00CC55D7"/>
    <w:rPr>
      <w:rFonts w:cstheme="majorBidi"/>
      <w:color w:val="595959" w:themeColor="text1" w:themeTint="0000A6"/>
    </w:rPr>
  </w:style>
  <w:style w:type="character" w:styleId="90" w:customStyle="1">
    <w:name w:val="标题 9 字符"/>
    <w:basedOn w:val="a0"/>
    <w:link w:val="9"/>
    <w:uiPriority w:val="9"/>
    <w:semiHidden w:val="1"/>
    <w:rsid w:val="00CC55D7"/>
    <w:rPr>
      <w:rFonts w:cstheme="majorBidi" w:eastAsiaTheme="majorEastAsia"/>
      <w:color w:val="595959" w:themeColor="text1" w:themeTint="0000A6"/>
    </w:rPr>
  </w:style>
  <w:style w:type="paragraph" w:styleId="a3">
    <w:name w:val="Title"/>
    <w:basedOn w:val="a"/>
    <w:next w:val="a"/>
    <w:link w:val="a4"/>
    <w:uiPriority w:val="10"/>
    <w:qFormat w:val="1"/>
    <w:rsid w:val="00CC55D7"/>
    <w:pPr>
      <w:spacing w:after="80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标题 字符"/>
    <w:basedOn w:val="a0"/>
    <w:link w:val="a3"/>
    <w:uiPriority w:val="10"/>
    <w:rsid w:val="00CC55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CC55D7"/>
    <w:pPr>
      <w:numPr>
        <w:ilvl w:val="1"/>
      </w:numPr>
      <w:spacing w:after="160"/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a6" w:customStyle="1">
    <w:name w:val="副标题 字符"/>
    <w:basedOn w:val="a0"/>
    <w:link w:val="a5"/>
    <w:uiPriority w:val="11"/>
    <w:rsid w:val="00CC55D7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CC55D7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用 字符"/>
    <w:basedOn w:val="a0"/>
    <w:link w:val="a7"/>
    <w:uiPriority w:val="29"/>
    <w:rsid w:val="00CC55D7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CC55D7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CC55D7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CC55D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明显引用 字符"/>
    <w:basedOn w:val="a0"/>
    <w:link w:val="ab"/>
    <w:uiPriority w:val="30"/>
    <w:rsid w:val="00CC55D7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CC55D7"/>
    <w:rPr>
      <w:b w:val="1"/>
      <w:bCs w:val="1"/>
      <w:smallCaps w:val="1"/>
      <w:color w:val="0f4761" w:themeColor="accent1" w:themeShade="0000BF"/>
      <w:spacing w:val="5"/>
    </w:rPr>
  </w:style>
  <w:style w:type="table" w:styleId="ae">
    <w:name w:val="Table Grid"/>
    <w:basedOn w:val="a1"/>
    <w:uiPriority w:val="39"/>
    <w:rsid w:val="00CC55D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1">
    <w:name w:val="Grid Table 1 Light Accent 1"/>
    <w:basedOn w:val="a1"/>
    <w:uiPriority w:val="46"/>
    <w:rsid w:val="00CC55D7"/>
    <w:tblPr>
      <w:tblStyleRowBandSize w:val="1"/>
      <w:tblStyleColBandSize w:val="1"/>
      <w:tblBorders>
        <w:top w:color="83caeb" w:space="0" w:sz="4" w:themeColor="accent1" w:themeTint="000066" w:val="single"/>
        <w:left w:color="83caeb" w:space="0" w:sz="4" w:themeColor="accent1" w:themeTint="000066" w:val="single"/>
        <w:bottom w:color="83caeb" w:space="0" w:sz="4" w:themeColor="accent1" w:themeTint="000066" w:val="single"/>
        <w:right w:color="83caeb" w:space="0" w:sz="4" w:themeColor="accent1" w:themeTint="000066" w:val="single"/>
        <w:insideH w:color="83caeb" w:space="0" w:sz="4" w:themeColor="accent1" w:themeTint="000066" w:val="single"/>
        <w:insideV w:color="83caeb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45b0e1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45b0e1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af">
    <w:name w:val="Hyperlink"/>
    <w:basedOn w:val="a0"/>
    <w:uiPriority w:val="99"/>
    <w:unhideWhenUsed w:val="1"/>
    <w:rsid w:val="0026582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 w:val="1"/>
    <w:unhideWhenUsed w:val="1"/>
    <w:rsid w:val="00265828"/>
    <w:rPr>
      <w:color w:val="605e5c"/>
      <w:shd w:color="auto" w:fill="e1dfdd" w:val="clear"/>
    </w:rPr>
  </w:style>
  <w:style w:type="character" w:styleId="af1">
    <w:name w:val="FollowedHyperlink"/>
    <w:basedOn w:val="a0"/>
    <w:uiPriority w:val="99"/>
    <w:semiHidden w:val="1"/>
    <w:unhideWhenUsed w:val="1"/>
    <w:rsid w:val="000753BF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>
      <w:spacing w:after="160" w:lineRule="auto"/>
      <w:jc w:val="center"/>
    </w:pPr>
    <w:rPr>
      <w:rFonts w:ascii="等线 Light" w:cs="等线 Light" w:eastAsia="等线 Light" w:hAnsi="等线 Light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45b0e1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5b0e1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45b0e1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5b0e1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45b0e1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5b0e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6ep6URx7/4OviGcG2PWZ4mSaQQ==">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2025-03-23T13:19:00Z</dcterms:created>
  <dc:creator>Lin Xiao</dc:creator>
</cp:coreProperties>
</file>