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before="240" w:lineRule="auto"/>
        <w:ind w:firstLine="720"/>
        <w:jc w:val="center"/>
        <w:rPr>
          <w:b w:val="1"/>
          <w:color w:val="1f1f1f"/>
          <w:sz w:val="32"/>
          <w:szCs w:val="32"/>
        </w:rPr>
      </w:pPr>
      <w:r w:rsidDel="00000000" w:rsidR="00000000" w:rsidRPr="00000000">
        <w:rPr>
          <w:b w:val="1"/>
          <w:color w:val="1f1f1f"/>
          <w:sz w:val="32"/>
          <w:szCs w:val="32"/>
          <w:rtl w:val="0"/>
        </w:rPr>
        <w:t xml:space="preserve">Machine Learning &amp; Algorithms -1</w:t>
      </w:r>
    </w:p>
    <w:p w:rsidR="00000000" w:rsidDel="00000000" w:rsidP="00000000" w:rsidRDefault="00000000" w:rsidRPr="00000000" w14:paraId="00000002">
      <w:pPr>
        <w:shd w:fill="ffffff" w:val="clear"/>
        <w:spacing w:after="160" w:before="24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rtl w:val="0"/>
        </w:rPr>
        <w:t xml:space="preserve">CIA-1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ayig4xfccbf3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Application of Various Regression Models in Insurance Sector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Ankit Ray-2327510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 the Guidance of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Dr.HELEN JOSEPHINE V 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338638" cy="16574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657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MBA PROGRAMME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OF BUSINESS AND MANAGEMENT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CHRIST (DEEMED TO BE UNIVERSITY), BANGALORE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4i9ba2dfuj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od2r34wks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8v8562igk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Business Understanding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oi7uxn564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Problem Identification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Problem: Forecasting insurance charges based on demographic and lifestyle factors.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7rdthcj0g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Variables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Predictors (Independent Variables):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The age of the insured person, which may correlate with health risks and medical costs.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sex: Gender of the insured, which could affect health risk profiles.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bmi: Body Mass Index (BMI), a measure of body fat based on height and weight. Higher BMI may indicate higher health risks.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children: Number of children/dependents covered under the insurance, affecting family healthcare costs.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smoker: Binary variable indicating if the insured is a smoker, which significantly impacts health risks and insurance costs.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region: Geographic region of the insured, influencing healthcare costs due to regional variations in medical expenses and regulations.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(Dependent Variable):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charges: Insurance charges or premiums paid by the insured, influenced by the above predictors and other factors.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wub7ghpr5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Objectives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predictive model using Multiple Linear Regression to accurately estimate insurance charges based on demographic and lifestyle data.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insights into how different factors influence insurance charges, assisting in risk assessment and pricing strategies.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99eg662o8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Understanding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7i65c609y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Data Collection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process of collecting the insurance dataset containing demographic and charge information, ensuring data privacy and regulatory compliance.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ot7hf721a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Data Exploration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Explore the dataset to understand its structure, distributions, and relationships among variables using statistical summaries and visualizations (e.g., histograms, scatter plots).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r8m33b456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Assessing Data Quality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Evaluate data quality by checking for completeness (missing values), correctness (data accuracy), and consistency (uniform data formats and scales).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3ngci6rcj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Preparation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8qvahzg3o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Data Integration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 if the dataset required integration from multiple sources (if applicable), ensuring data consistency and compatibility.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fu2tgrgij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Data Cleaning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2ygfxuaylyi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i. Missing Value Analysis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handle missing values in the dataset using appropriate techniques like imputation (e.g., mean, median).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xf8055frszn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ii. Data Imputation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Impute missing values for variables such as BMI or children using statistical methods to preserve data integrity.</w:t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vksgck66ram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iii. Variable Standardization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Standardize numerical variables like age and BMI to a common scale (e.g., z-scores) to facilitate comparison and model convergence.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3f0fyei9sft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iv. Feature Selection/Engineering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Perform feature engineering if needed, creating new variables such as BMI categories (e.g., underweight, normal, overweight) to capture nonlinear relationships.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r1k7vhgfcjy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v. Outliers Detection and Treatment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Detect outliers in insurance charges or other variables using statistical methods (e.g., box plots, z-scores) and apply appropriate treatments (e.g., Winsorization, transformation) to mitigate their impact on model performance.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2i4r8i3a9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Modeling (Multiple Linear Regression, Lasso Regression, Ridge Regression)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dolmdy2zde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Model Selection and Assumptions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Explain why Multiple Linear Regression, Lasso Regression, and Ridge Regression were considered and outline their underlying assumptions (e.g., linearity, independence of errors).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e405jveie5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Model Output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Explanation of the Model Equation: Interpret the Multiple Linear Regression equation predicting charges based on predictors (e.g., charges = β0 + β1 * age + β2 * bmi + ... + ε).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Explanation of Parameters and Coefficients: Interpret the coefficients (β) of each predictor variable, indicating the direction and strength of their impact on insurance charges.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Fit Indices: Include R-squared and possibly adjusted R-squared to assess how well the model fits the data, explaining the variance explained by the predictors.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dnzbk0rp5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Model Interpretation from a Business Point of View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Interpret how each predictor (e.g., age, smoking status) influences insurance charges, providing actionable insights for insurance pricing and risk assessment.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trbjzuab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 Evaluation and Diagnostics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Assess the performance of each model using metrics like R-squared (how well the model explains variance in charges) and Mean Squared Error (MSE, how close predictions are to actual charges).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ozpxeakeh0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of Model Performance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R-Squared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Multiple 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0.750913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36,501,893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Recommended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Lasso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0.7506324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36,552,437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Ridge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0.7508171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37,104,117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4nhng21mj3zz" w:id="25"/>
      <w:bookmarkEnd w:id="25"/>
      <w:r w:rsidDel="00000000" w:rsidR="00000000" w:rsidRPr="00000000">
        <w:rPr>
          <w:color w:val="000000"/>
          <w:rtl w:val="0"/>
        </w:rPr>
        <w:t xml:space="preserve">Compare the R-squared and MSE values of Multiple Linear Regression, Lasso Regression, and Ridge Regression models to evaluate their performance in predicting insurance charges.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Model</w:t>
      </w:r>
      <w:r w:rsidDel="00000000" w:rsidR="00000000" w:rsidRPr="00000000">
        <w:rPr>
          <w:rtl w:val="0"/>
        </w:rPr>
        <w:t xml:space="preserve">: Multiple Linear Regression is recommended for predicting insurance charges based on its highest R-squared and lowest MSE among the models evaluated.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wt281623c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Summarize findings from the model evaluation and diagnostics, emphasizing the recommended Multiple Linear Regression model for predicting insurance charges based on its performance metrics and interpretative insights.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the implications of the recommended model for stakeholders, supporting informed decision-making in insurance pricing and risk management.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a3u0o916hg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 Short Note on Democratizing the Solution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strategies to make the recommended model accessible and actionable for stakeholders, ensuring transparency and usability in decision support systems.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potential challenges and considerations in deploying the model in a business context, addressing regulatory compliance and data privacy concerns.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