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1ED3B">
      <w:pPr>
        <w:pStyle w:val="2"/>
        <w:bidi w:val="0"/>
        <w:rPr>
          <w:rFonts w:hint="eastAsia"/>
          <w:color w:val="AF3F2D"/>
          <w:highlight w:val="none"/>
        </w:rPr>
      </w:pPr>
      <w:r>
        <w:rPr>
          <w:rFonts w:hint="eastAsia"/>
          <w:color w:val="AF3F2D"/>
          <w:highlight w:val="none"/>
        </w:rPr>
        <w:t>关于</w:t>
      </w:r>
      <w:r>
        <w:rPr>
          <w:rFonts w:hint="eastAsia"/>
          <w:color w:val="AF3F2D"/>
          <w:highlight w:val="none"/>
          <w:lang w:eastAsia="zh-CN"/>
        </w:rPr>
        <w:t>“</w:t>
      </w:r>
      <w:r>
        <w:rPr>
          <w:rFonts w:hint="eastAsia"/>
          <w:color w:val="AF3F2D"/>
          <w:highlight w:val="none"/>
          <w:lang w:val="en-US" w:eastAsia="zh-CN"/>
        </w:rPr>
        <w:t>{{ourSide}}</w:t>
      </w:r>
      <w:r>
        <w:rPr>
          <w:rFonts w:hint="eastAsia"/>
          <w:color w:val="AF3F2D"/>
          <w:highlight w:val="none"/>
        </w:rPr>
        <w:t>与</w:t>
      </w:r>
      <w:r>
        <w:rPr>
          <w:rFonts w:hint="eastAsia"/>
          <w:color w:val="AF3F2D"/>
          <w:highlight w:val="none"/>
          <w:lang w:val="en-US" w:eastAsia="zh-CN"/>
        </w:rPr>
        <w:t>{{otherParty}}{{caseReason}}</w:t>
      </w:r>
      <w:r>
        <w:rPr>
          <w:rFonts w:hint="eastAsia"/>
          <w:color w:val="AF3F2D"/>
          <w:highlight w:val="none"/>
          <w:lang w:eastAsia="zh-CN"/>
        </w:rPr>
        <w:t>”</w:t>
      </w:r>
      <w:r>
        <w:rPr>
          <w:rFonts w:hint="eastAsia"/>
          <w:color w:val="AF3F2D"/>
          <w:highlight w:val="none"/>
        </w:rPr>
        <w:t>案的风险评估报告</w:t>
      </w:r>
    </w:p>
    <w:p w14:paraId="2F6E234A">
      <w:pPr>
        <w:ind w:left="0" w:leftChars="0" w:firstLine="0" w:firstLineChars="0"/>
        <w:rPr>
          <w:rFonts w:hint="default" w:asciiTheme="minorEastAsia" w:hAnsiTheme="minorEastAsia" w:eastAsiaTheme="minorEastAsia" w:cstheme="minorEastAsia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致：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{{ourSide}}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日期： </w:t>
      </w:r>
      <w:r>
        <w:rPr>
          <w:rFonts w:hint="eastAsia" w:asciiTheme="minorEastAsia" w:hAnsiTheme="minorEastAsia" w:cstheme="minorEastAsia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{{reportDate}}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案由： </w:t>
      </w:r>
      <w:r>
        <w:rPr>
          <w:rFonts w:hint="eastAsia" w:asciiTheme="minorEastAsia" w:hAnsiTheme="minorEastAsia" w:cstheme="minorEastAsia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{{caseReason}}</w:t>
      </w:r>
    </w:p>
    <w:p w14:paraId="3AFDB661">
      <w:pPr>
        <w:pStyle w:val="3"/>
        <w:bidi w:val="0"/>
        <w:rPr>
          <w:rFonts w:hint="eastAsia"/>
          <w:color w:val="AF3F2D"/>
          <w:highlight w:val="none"/>
        </w:rPr>
      </w:pPr>
      <w:r>
        <w:rPr>
          <w:rFonts w:hint="eastAsia"/>
          <w:color w:val="AF3F2D"/>
          <w:highlight w:val="none"/>
        </w:rPr>
        <w:t>一、 报告基础与声明</w:t>
      </w:r>
    </w:p>
    <w:p w14:paraId="47319077">
      <w:pPr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本报告基于</w:t>
      </w:r>
      <w:r>
        <w:rPr>
          <w:rFonts w:hint="eastAsia" w:asciiTheme="minorEastAsia" w:hAnsiTheme="minorEastAsia" w:cstheme="minorEastAsia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{{reportDate}}</w:t>
      </w:r>
      <w:r>
        <w:rPr>
          <w:rFonts w:hint="eastAsia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提供的案件所述信息作出。本报告旨在对案件进行初步的、方向性的风险评估，并非对诉讼结果的承诺。随着案件证据的补充和程序的推进，评估结论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可能发生变化。本报告为内部法律分析文件，</w:t>
      </w:r>
      <w:r>
        <w:rPr>
          <w:rFonts w:hint="eastAsia"/>
          <w:b w:val="0"/>
          <w:bCs/>
          <w:color w:val="000000" w:themeColor="text1"/>
          <w14:textFill>
            <w14:solidFill>
              <w14:schemeClr w14:val="tx1"/>
            </w14:solidFill>
          </w14:textFill>
        </w:rPr>
        <w:t>请注意保密。</w:t>
      </w:r>
    </w:p>
    <w:p w14:paraId="5A14F0A4">
      <w:pPr>
        <w:pStyle w:val="3"/>
        <w:bidi w:val="0"/>
        <w:rPr>
          <w:rFonts w:hint="eastAsia"/>
          <w:color w:val="AF3F2D"/>
        </w:rPr>
      </w:pPr>
      <w:r>
        <w:rPr>
          <w:rFonts w:hint="eastAsia"/>
          <w:color w:val="AF3F2D"/>
        </w:rPr>
        <w:t>二、 案件核心事实梳理</w:t>
      </w:r>
    </w:p>
    <w:p w14:paraId="7A825745">
      <w:pPr>
        <w:bidi w:val="0"/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{{ourIdentity}}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{{</w:t>
      </w: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ourSide</w:t>
      </w: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}}</w:t>
      </w:r>
    </w:p>
    <w:p w14:paraId="52AA6352">
      <w:pPr>
        <w:bidi w:val="0"/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{{otherIdentity}}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{{</w:t>
      </w:r>
      <w:r>
        <w:rPr>
          <w:rFonts w:hint="eastAsia" w:ascii="宋体" w:hAnsi="宋体" w:eastAsia="宋体" w:cs="宋体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otherParty</w:t>
      </w: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}}</w:t>
      </w:r>
    </w:p>
    <w:p w14:paraId="7A7DA7C6">
      <w:pPr>
        <w:bidi w:val="0"/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核心诉求：</w:t>
      </w: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{{coreDemand}}</w:t>
      </w:r>
    </w:p>
    <w:p w14:paraId="2C7C0C18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b/>
          <w:bCs/>
          <w:color w:val="AF3F2D"/>
          <w:lang w:val="en-US" w:eastAsia="zh-CN"/>
        </w:rPr>
      </w:pPr>
      <w:r>
        <w:rPr>
          <w:rFonts w:hint="eastAsia"/>
          <w:b/>
          <w:bCs/>
          <w:color w:val="AF3F2D"/>
        </w:rPr>
        <w:t>基本事实：</w:t>
      </w:r>
    </w:p>
    <w:p w14:paraId="495D7904">
      <w:pPr>
        <w:numPr>
          <w:ilvl w:val="0"/>
          <w:numId w:val="0"/>
        </w:numPr>
        <w:bidi w:val="0"/>
        <w:ind w:firstLine="560" w:firstLineChars="20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{{basicFacts}}</w:t>
      </w:r>
    </w:p>
    <w:p w14:paraId="5A24966F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color w:val="851321" w:themeColor="accent6" w:themeShade="80"/>
          <w:lang w:val="en-US" w:eastAsia="zh-CN"/>
        </w:rPr>
      </w:pPr>
      <w:r>
        <w:rPr>
          <w:rFonts w:hint="eastAsia"/>
          <w:b/>
          <w:bCs/>
          <w:color w:val="AF3F2D"/>
        </w:rPr>
        <w:t>现有核心证据</w:t>
      </w:r>
      <w:r>
        <w:rPr>
          <w:rFonts w:hint="eastAsia"/>
          <w:b/>
          <w:bCs/>
          <w:color w:val="851321" w:themeColor="accent6" w:themeShade="80"/>
        </w:rPr>
        <w:t>：</w:t>
      </w:r>
    </w:p>
    <w:p w14:paraId="7FBABC6B">
      <w:pPr>
        <w:numPr>
          <w:ilvl w:val="0"/>
          <w:numId w:val="0"/>
        </w:numPr>
        <w:bidi w:val="0"/>
        <w:ind w:leftChars="0" w:firstLine="560" w:firstLineChars="20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{{availableCoreEvidence}}</w:t>
      </w:r>
    </w:p>
    <w:p w14:paraId="5BE09306">
      <w:pPr>
        <w:pStyle w:val="3"/>
        <w:bidi w:val="0"/>
        <w:rPr>
          <w:rFonts w:hint="eastAsia"/>
          <w:color w:val="AF3F2D"/>
        </w:rPr>
      </w:pPr>
      <w:r>
        <w:rPr>
          <w:rFonts w:hint="eastAsia"/>
          <w:color w:val="AF3F2D"/>
        </w:rPr>
        <w:t>三、 初步风险评估</w:t>
      </w:r>
    </w:p>
    <w:p w14:paraId="39D9CAFE">
      <w:pPr>
        <w:bidi w:val="0"/>
        <w:ind w:left="0" w:leftChars="0" w:firstLine="560" w:firstLineChars="200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综合风险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{{overallRiskScore}}（{{overallRiskLevel}}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风险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2DDDC7BA">
      <w:pPr>
        <w:numPr>
          <w:ilvl w:val="0"/>
          <w:numId w:val="2"/>
        </w:numPr>
        <w:bidi w:val="0"/>
        <w:jc w:val="both"/>
        <w:rPr>
          <w:rFonts w:hint="eastAsia"/>
          <w:color w:val="AF3F2D"/>
          <w:lang w:val="en-US" w:eastAsia="zh-CN"/>
        </w:rPr>
      </w:pPr>
      <w:r>
        <w:rPr>
          <w:rFonts w:hint="eastAsia"/>
          <w:b/>
          <w:bCs/>
          <w:color w:val="AF3F2D"/>
        </w:rPr>
        <w:t>优势与机会分析</w:t>
      </w:r>
    </w:p>
    <w:p w14:paraId="6A5808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{{advantagesOpportunityAnalysis}}</w:t>
      </w:r>
    </w:p>
    <w:p w14:paraId="2CB7F41C">
      <w:pPr>
        <w:numPr>
          <w:ilvl w:val="0"/>
          <w:numId w:val="0"/>
        </w:numPr>
        <w:bidi w:val="0"/>
        <w:rPr>
          <w:rFonts w:hint="default" w:ascii="宋体" w:hAnsi="宋体" w:eastAsia="宋体" w:cs="宋体"/>
          <w:b w:val="0"/>
          <w:bCs w:val="0"/>
          <w:color w:val="4D2C2C"/>
          <w:lang w:val="en-US" w:eastAsia="zh-CN"/>
        </w:rPr>
      </w:pPr>
    </w:p>
    <w:p w14:paraId="7FEE3632">
      <w:pPr>
        <w:numPr>
          <w:ilvl w:val="0"/>
          <w:numId w:val="2"/>
        </w:numPr>
        <w:bidi w:val="0"/>
        <w:ind w:left="0" w:leftChars="0" w:firstLine="561" w:firstLineChars="200"/>
        <w:rPr>
          <w:rFonts w:hint="eastAsia"/>
          <w:color w:val="AF3F2D"/>
          <w:lang w:val="en-US" w:eastAsia="zh-CN"/>
        </w:rPr>
      </w:pPr>
      <w:r>
        <w:rPr>
          <w:rFonts w:hint="eastAsia"/>
          <w:b/>
          <w:bCs/>
          <w:color w:val="AF3F2D"/>
        </w:rPr>
        <w:t>风险与挑战提示</w:t>
      </w:r>
    </w:p>
    <w:p w14:paraId="1B66FA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{</w:t>
      </w:r>
      <w:bookmarkStart w:id="0" w:name="_GoBack"/>
      <w:bookmarkEnd w:id="0"/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{riskChallengeAlert}}</w:t>
      </w:r>
    </w:p>
    <w:p w14:paraId="068CB614">
      <w:pPr>
        <w:numPr>
          <w:ilvl w:val="0"/>
          <w:numId w:val="0"/>
        </w:numPr>
        <w:bidi w:val="0"/>
        <w:ind w:firstLine="1120" w:firstLineChars="400"/>
        <w:rPr>
          <w:rFonts w:hint="eastAsia" w:ascii="宋体" w:hAnsi="宋体" w:eastAsia="宋体" w:cs="宋体"/>
          <w:b w:val="0"/>
          <w:bCs w:val="0"/>
          <w:color w:val="4D2C2C"/>
          <w:lang w:val="en-US" w:eastAsia="zh-CN"/>
        </w:rPr>
      </w:pPr>
    </w:p>
    <w:p w14:paraId="207A870F">
      <w:pPr>
        <w:pStyle w:val="3"/>
        <w:numPr>
          <w:ilvl w:val="0"/>
          <w:numId w:val="3"/>
        </w:numPr>
        <w:bidi w:val="0"/>
        <w:rPr>
          <w:rFonts w:hint="eastAsia"/>
          <w:b/>
          <w:bCs/>
          <w:color w:val="AF3F2D"/>
        </w:rPr>
      </w:pPr>
      <w:r>
        <w:rPr>
          <w:rFonts w:hint="eastAsia"/>
          <w:color w:val="AF3F2D"/>
        </w:rPr>
        <w:t>行动建议与后续策略</w:t>
      </w:r>
      <w:r>
        <w:rPr>
          <w:rFonts w:hint="eastAsia"/>
          <w:color w:val="AF3F2D"/>
          <w:lang w:val="en-US" w:eastAsia="zh-CN"/>
        </w:rPr>
        <w:t xml:space="preserve">   </w:t>
      </w:r>
    </w:p>
    <w:p w14:paraId="4523173E">
      <w:pPr>
        <w:bidi w:val="0"/>
        <w:ind w:left="0" w:leftChars="0" w:firstLine="560" w:firstLineChars="20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{{actionSuggestionsSubsequentStrategies}}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F61BF9"/>
    <w:multiLevelType w:val="singleLevel"/>
    <w:tmpl w:val="DAF61BF9"/>
    <w:lvl w:ilvl="0" w:tentative="0">
      <w:start w:val="1"/>
      <w:numFmt w:val="chineseCounting"/>
      <w:suff w:val="space"/>
      <w:lvlText w:val="（%1）"/>
      <w:lvlJc w:val="left"/>
      <w:rPr>
        <w:rFonts w:hint="eastAsia"/>
        <w:b/>
        <w:bCs/>
      </w:rPr>
    </w:lvl>
  </w:abstractNum>
  <w:abstractNum w:abstractNumId="1">
    <w:nsid w:val="FCFA77F5"/>
    <w:multiLevelType w:val="singleLevel"/>
    <w:tmpl w:val="FCFA77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57AF289"/>
    <w:multiLevelType w:val="singleLevel"/>
    <w:tmpl w:val="757AF289"/>
    <w:lvl w:ilvl="0" w:tentative="0">
      <w:start w:val="4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BB91D"/>
    <w:rsid w:val="0FBFCDEB"/>
    <w:rsid w:val="0FDBDE6E"/>
    <w:rsid w:val="175FBB33"/>
    <w:rsid w:val="17CB1A81"/>
    <w:rsid w:val="1A3F08AF"/>
    <w:rsid w:val="1F9A82E3"/>
    <w:rsid w:val="2BAE25EA"/>
    <w:rsid w:val="2FB3FEFB"/>
    <w:rsid w:val="2FFBB91D"/>
    <w:rsid w:val="3DBF0F5B"/>
    <w:rsid w:val="3DD3E0DE"/>
    <w:rsid w:val="3EFFCA82"/>
    <w:rsid w:val="3FD7F4AB"/>
    <w:rsid w:val="4B33E807"/>
    <w:rsid w:val="4EDB8961"/>
    <w:rsid w:val="4EFF85C5"/>
    <w:rsid w:val="52470786"/>
    <w:rsid w:val="5384C68D"/>
    <w:rsid w:val="567BDD08"/>
    <w:rsid w:val="59CBFA55"/>
    <w:rsid w:val="5FB50FFA"/>
    <w:rsid w:val="5FBFD092"/>
    <w:rsid w:val="63EA9403"/>
    <w:rsid w:val="66AE41DC"/>
    <w:rsid w:val="6AFF8A7E"/>
    <w:rsid w:val="6DEC0F77"/>
    <w:rsid w:val="6DFB55E9"/>
    <w:rsid w:val="6DFD93EF"/>
    <w:rsid w:val="6DFFF59E"/>
    <w:rsid w:val="6FD606BD"/>
    <w:rsid w:val="738B8D63"/>
    <w:rsid w:val="773FBBAB"/>
    <w:rsid w:val="77EB01C9"/>
    <w:rsid w:val="77FB7160"/>
    <w:rsid w:val="7B77F116"/>
    <w:rsid w:val="7B7E4397"/>
    <w:rsid w:val="7CBDC53E"/>
    <w:rsid w:val="7CCE6906"/>
    <w:rsid w:val="7D5FA231"/>
    <w:rsid w:val="7DFA14E7"/>
    <w:rsid w:val="7DFFD7B4"/>
    <w:rsid w:val="7E7F9DC2"/>
    <w:rsid w:val="7EFFBB0D"/>
    <w:rsid w:val="7F3B394E"/>
    <w:rsid w:val="7F792987"/>
    <w:rsid w:val="7FA395B4"/>
    <w:rsid w:val="7FB7118D"/>
    <w:rsid w:val="7FBF22E5"/>
    <w:rsid w:val="7FBF5F00"/>
    <w:rsid w:val="7FFF7A70"/>
    <w:rsid w:val="7FFF88AE"/>
    <w:rsid w:val="9FDDC6FB"/>
    <w:rsid w:val="AB4F1503"/>
    <w:rsid w:val="AF71C891"/>
    <w:rsid w:val="B3EFE6FC"/>
    <w:rsid w:val="B57F9907"/>
    <w:rsid w:val="B7BF12B7"/>
    <w:rsid w:val="BAFE9FAB"/>
    <w:rsid w:val="BD7BE7E6"/>
    <w:rsid w:val="BDFF51C2"/>
    <w:rsid w:val="BE781487"/>
    <w:rsid w:val="BF7BB592"/>
    <w:rsid w:val="C9DFEA3B"/>
    <w:rsid w:val="CEB6316B"/>
    <w:rsid w:val="CF4F3E1F"/>
    <w:rsid w:val="D2EE5A75"/>
    <w:rsid w:val="D3CB29AB"/>
    <w:rsid w:val="D77CA40F"/>
    <w:rsid w:val="D9FF47C1"/>
    <w:rsid w:val="DADB38FE"/>
    <w:rsid w:val="DC7D87A6"/>
    <w:rsid w:val="DDBF17E9"/>
    <w:rsid w:val="DF3E9C7D"/>
    <w:rsid w:val="DF4B7544"/>
    <w:rsid w:val="DFCD8D96"/>
    <w:rsid w:val="E8DFFCD0"/>
    <w:rsid w:val="EBEACAD7"/>
    <w:rsid w:val="ECB760DE"/>
    <w:rsid w:val="EE5B5CDC"/>
    <w:rsid w:val="EF4ED6B3"/>
    <w:rsid w:val="F19BBD4C"/>
    <w:rsid w:val="F1BF4F2B"/>
    <w:rsid w:val="F57C8A29"/>
    <w:rsid w:val="F5FE497C"/>
    <w:rsid w:val="F74A439B"/>
    <w:rsid w:val="F7CFB516"/>
    <w:rsid w:val="FBDDC247"/>
    <w:rsid w:val="FCD98445"/>
    <w:rsid w:val="FDDFF3E6"/>
    <w:rsid w:val="FEBFCEA6"/>
    <w:rsid w:val="FEFBA527"/>
    <w:rsid w:val="FF0E50DD"/>
    <w:rsid w:val="FF7E3E11"/>
    <w:rsid w:val="FFAFC3C6"/>
    <w:rsid w:val="FFDE64F7"/>
    <w:rsid w:val="FFEEB2DF"/>
    <w:rsid w:val="FFEF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1" w:firstLineChars="20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Lines="100" w:beforeAutospacing="0" w:after="200" w:afterLines="200" w:afterAutospacing="0" w:line="576" w:lineRule="auto"/>
      <w:ind w:firstLine="0" w:firstLineChars="0"/>
      <w:jc w:val="center"/>
      <w:outlineLvl w:val="0"/>
    </w:pPr>
    <w:rPr>
      <w:rFonts w:eastAsiaTheme="majorEastAsia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00" w:beforeLines="100" w:beforeAutospacing="0" w:after="50" w:afterLines="50" w:afterAutospacing="0" w:line="480" w:lineRule="auto"/>
      <w:ind w:firstLine="0" w:firstLineChars="0"/>
      <w:jc w:val="left"/>
      <w:outlineLvl w:val="1"/>
    </w:pPr>
    <w:rPr>
      <w:rFonts w:ascii="Arial" w:hAnsi="Arial" w:eastAsiaTheme="minorEastAsia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jc w:val="left"/>
    </w:p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2025-12-12T22:10:00Z</dcterms:created>
  <dc:creator>ChenQ</dc:creator>
  <cp:lastModifiedBy>Ray</cp:lastModifiedBy>
  <dcterms:modified xsi:type="dcterms:W3CDTF">2025-12-31T10:06:13Z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F7E7D52C79D0009672BD376956FEF902_41</vt:lpwstr>
  </property>
</Properties>
</file>