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sz w:val="48"/>
          <w:szCs w:val="48"/>
          <w:rtl w:val="0"/>
        </w:rPr>
        <w:t xml:space="preserve">College Student Budgeting Problem Statement</w:t>
      </w:r>
      <w:r w:rsidDel="00000000" w:rsidR="00000000" w:rsidRPr="00000000">
        <w:rPr>
          <w:rtl w:val="0"/>
        </w:rPr>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Authors: Tom Crookes, David Eta, Lauren Hadlow, Hudson Hok, Ray Jefferson</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sz w:val="36"/>
          <w:szCs w:val="36"/>
          <w:rtl w:val="0"/>
        </w:rPr>
        <w:t xml:space="preserve">Problem Statement</w:t>
      </w: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Many college students across all universities and colleges in the nation have trouble keeping track of their spending, which can lead to mounting fees, overwhelming debt, and lesser quality of life. This mismanagement of funds stems from improper organization of expenses as well as inappropriate spending. </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Who is experiencing the problem?</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College students.</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What is the problem?</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They often allocate their funds in an unwise manner.</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Where does the problem present itself?</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At college campuses.</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sz w:val="28"/>
          <w:szCs w:val="28"/>
          <w:rtl w:val="0"/>
        </w:rPr>
        <w:t xml:space="preserve">Why does this matter?</w:t>
      </w: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As students, academic success is the main focus, and many do not have the time to work full-time jobs, making budgeting and managing their expenses important. </w:t>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