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b/>
          <w:sz w:val="36"/>
        </w:rPr>
        <w:t>北斗 B1I 码跟踪模块设计方案</w:t>
      </w:r>
    </w:p>
    <w:p>
      <w:pPr>
        <w:spacing w:after="120" w:before="0" w:line="360" w:lineRule="auto"/>
        <w:ind w:firstLine="420"/>
        <w:jc w:val="both"/>
      </w:pPr>
      <w:r>
        <w:rPr>
          <w:rFonts w:ascii="Times New Roman" w:hAnsi="Times New Roman" w:eastAsia="宋体"/>
          <w:b w:val="0"/>
          <w:sz w:val="24"/>
        </w:rPr>
        <w:t>本方案说明完整接收机跟踪通道的码环、锁频环和锁相环，并单列单星跟踪的接入方式与观测量。仿真截图和逐毫秒数值见配套实验报告。</w:t>
      </w:r>
    </w:p>
    <w:p>
      <w:pPr>
        <w:spacing w:before="240" w:after="120" w:line="360" w:lineRule="auto"/>
      </w:pPr>
      <w:r>
        <w:rPr>
          <w:rFonts w:ascii="Times New Roman" w:hAnsi="Times New Roman" w:eastAsia="黑体"/>
          <w:b/>
          <w:sz w:val="32"/>
        </w:rPr>
        <w:t>1  设计目标与输入条件</w:t>
      </w:r>
    </w:p>
    <w:p>
      <w:pPr>
        <w:spacing w:after="120" w:before="0" w:line="360" w:lineRule="auto"/>
        <w:ind w:firstLine="420"/>
        <w:jc w:val="both"/>
      </w:pPr>
      <w:r>
        <w:rPr>
          <w:rFonts w:ascii="Times New Roman" w:hAnsi="Times New Roman" w:eastAsia="宋体"/>
          <w:b w:val="0"/>
          <w:sz w:val="24"/>
        </w:rPr>
        <w:t>跟踪通道在捕获给出的码相位和多普勒初值上，持续估计载波频率、载波相位和测距码相位。每个本地码周期输出一组 Prompt 相关值，供后面的 NH 同步和导航电文解调使用。</w:t>
      </w:r>
    </w:p>
    <w:p>
      <w:pPr>
        <w:spacing w:after="120" w:before="0" w:line="360" w:lineRule="auto"/>
        <w:ind w:firstLine="420"/>
        <w:jc w:val="both"/>
      </w:pPr>
      <w:r>
        <w:rPr>
          <w:rFonts w:ascii="Times New Roman" w:hAnsi="Times New Roman" w:eastAsia="宋体"/>
          <w:b w:val="0"/>
          <w:sz w:val="24"/>
        </w:rPr>
        <w:t>一个通道内同时放 DLL、FLL 和 Costas PLL。幅度先做归一化，减轻输入功率变化对鉴别器增益的影响。载波频率估计再辅助码率，补偿多普勒带来的码片率变化。顶层可以把该通道复制为 12 路，各通道的环路状态互不共享。</w:t>
      </w:r>
    </w:p>
    <w:tbl>
      <w:tblPr>
        <w:tblW w:type="auto" w:w="0"/>
        <w:tblLayout w:type="autofit"/>
        <w:tblLook w:firstColumn="1" w:firstRow="1" w:lastColumn="0" w:lastRow="0" w:noHBand="0" w:noVBand="1" w:val="04A0"/>
      </w:tblPr>
      <w:tblGrid>
        <w:gridCol w:w="4536"/>
        <w:gridCol w:w="4536"/>
      </w:tblGrid>
      <w:tr>
        <w:tc>
          <w:tcPr>
            <w:tcW w:type="dxa" w:w="2721"/>
            <w:shd w:val="clear" w:color="auto" w:fill="E8EEF4"/>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黑体"/>
                <w:b/>
                <w:sz w:val="21"/>
              </w:rPr>
              <w:t>参数</w:t>
            </w:r>
          </w:p>
        </w:tc>
        <w:tc>
          <w:tcPr>
            <w:tcW w:type="dxa" w:w="6066"/>
            <w:shd w:val="clear" w:color="auto" w:fill="E8EEF4"/>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黑体"/>
                <w:b/>
                <w:sz w:val="21"/>
              </w:rPr>
              <w:t>设计设置</w:t>
            </w:r>
          </w:p>
        </w:tc>
      </w:tr>
      <w:tr>
        <w:tc>
          <w:tcPr>
            <w:tcW w:type="dxa" w:w="2721"/>
            <w:tcBorders>
              <w:top w:val="single" w:sz="4" w:space="0" w:color="666666"/>
              <w:left w:val="single" w:sz="4" w:space="0" w:color="666666"/>
              <w:bottom w:val="single" w:sz="4" w:space="0" w:color="666666"/>
              <w:right w:val="single" w:sz="4" w:space="0" w:color="666666"/>
            </w:tcBorders>
          </w:tcPr>
          <w:p>
            <w:pPr>
              <w:spacing w:after="40" w:before="40"/>
              <w:jc w:val="left"/>
            </w:pPr>
            <w:r/>
            <w:r>
              <w:rPr>
                <w:rFonts w:ascii="Times New Roman" w:hAnsi="Times New Roman" w:eastAsia="宋体"/>
                <w:b w:val="0"/>
                <w:sz w:val="21"/>
              </w:rPr>
              <w:t>采样率与中频</w:t>
            </w:r>
          </w:p>
        </w:tc>
        <w:tc>
          <w:tcPr>
            <w:tcW w:type="dxa" w:w="6066"/>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宋体"/>
                <w:b w:val="0"/>
                <w:sz w:val="21"/>
              </w:rPr>
              <w:t>16.368 MHz；4.092 MHz</w:t>
            </w:r>
          </w:p>
        </w:tc>
      </w:tr>
      <w:tr>
        <w:tc>
          <w:tcPr>
            <w:tcW w:type="dxa" w:w="2721"/>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left"/>
            </w:pPr>
            <w:r/>
            <w:r>
              <w:rPr>
                <w:rFonts w:ascii="Times New Roman" w:hAnsi="Times New Roman" w:eastAsia="宋体"/>
                <w:b w:val="0"/>
                <w:sz w:val="21"/>
              </w:rPr>
              <w:t>码率与码长</w:t>
            </w:r>
          </w:p>
        </w:tc>
        <w:tc>
          <w:tcPr>
            <w:tcW w:type="dxa" w:w="6066"/>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center"/>
            </w:pPr>
            <w:r/>
            <w:r>
              <w:rPr>
                <w:rFonts w:ascii="Times New Roman" w:hAnsi="Times New Roman" w:eastAsia="宋体"/>
                <w:b w:val="0"/>
                <w:sz w:val="21"/>
              </w:rPr>
              <w:t>2.046 Mchip/s；2046 chip</w:t>
            </w:r>
          </w:p>
        </w:tc>
      </w:tr>
      <w:tr>
        <w:tc>
          <w:tcPr>
            <w:tcW w:type="dxa" w:w="2721"/>
            <w:tcBorders>
              <w:top w:val="single" w:sz="4" w:space="0" w:color="666666"/>
              <w:left w:val="single" w:sz="4" w:space="0" w:color="666666"/>
              <w:bottom w:val="single" w:sz="4" w:space="0" w:color="666666"/>
              <w:right w:val="single" w:sz="4" w:space="0" w:color="666666"/>
            </w:tcBorders>
          </w:tcPr>
          <w:p>
            <w:pPr>
              <w:spacing w:after="40" w:before="40"/>
              <w:jc w:val="left"/>
            </w:pPr>
            <w:r/>
            <w:r>
              <w:rPr>
                <w:rFonts w:ascii="Times New Roman" w:hAnsi="Times New Roman" w:eastAsia="宋体"/>
                <w:b w:val="0"/>
                <w:sz w:val="21"/>
              </w:rPr>
              <w:t>积分边界</w:t>
            </w:r>
          </w:p>
        </w:tc>
        <w:tc>
          <w:tcPr>
            <w:tcW w:type="dxa" w:w="6066"/>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宋体"/>
                <w:b w:val="0"/>
                <w:sz w:val="21"/>
              </w:rPr>
              <w:t>本地码 NCO 回绕；标称约 1 ms</w:t>
            </w:r>
          </w:p>
        </w:tc>
      </w:tr>
      <w:tr>
        <w:tc>
          <w:tcPr>
            <w:tcW w:type="dxa" w:w="2721"/>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left"/>
            </w:pPr>
            <w:r/>
            <w:r>
              <w:rPr>
                <w:rFonts w:ascii="Times New Roman" w:hAnsi="Times New Roman" w:eastAsia="宋体"/>
                <w:b w:val="0"/>
                <w:sz w:val="21"/>
              </w:rPr>
              <w:t>E／L 间隔</w:t>
            </w:r>
          </w:p>
        </w:tc>
        <w:tc>
          <w:tcPr>
            <w:tcW w:type="dxa" w:w="6066"/>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center"/>
            </w:pPr>
            <w:r/>
            <w:r>
              <w:rPr>
                <w:rFonts w:ascii="Times New Roman" w:hAnsi="Times New Roman" w:eastAsia="宋体"/>
                <w:b w:val="0"/>
                <w:sz w:val="21"/>
              </w:rPr>
              <w:t>相对 Prompt ±0.5 chip</w:t>
            </w:r>
          </w:p>
        </w:tc>
      </w:tr>
      <w:tr>
        <w:tc>
          <w:tcPr>
            <w:tcW w:type="dxa" w:w="2721"/>
            <w:tcBorders>
              <w:top w:val="single" w:sz="4" w:space="0" w:color="666666"/>
              <w:left w:val="single" w:sz="4" w:space="0" w:color="666666"/>
              <w:bottom w:val="single" w:sz="4" w:space="0" w:color="666666"/>
              <w:right w:val="single" w:sz="4" w:space="0" w:color="666666"/>
            </w:tcBorders>
          </w:tcPr>
          <w:p>
            <w:pPr>
              <w:spacing w:after="40" w:before="40"/>
              <w:jc w:val="left"/>
            </w:pPr>
            <w:r/>
            <w:r>
              <w:rPr>
                <w:rFonts w:ascii="Times New Roman" w:hAnsi="Times New Roman" w:eastAsia="宋体"/>
                <w:b w:val="0"/>
                <w:sz w:val="21"/>
              </w:rPr>
              <w:t>输入样本</w:t>
            </w:r>
          </w:p>
        </w:tc>
        <w:tc>
          <w:tcPr>
            <w:tcW w:type="dxa" w:w="6066"/>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宋体"/>
                <w:b w:val="0"/>
                <w:sz w:val="21"/>
              </w:rPr>
              <w:t>3 位有符号数</w:t>
            </w:r>
          </w:p>
        </w:tc>
      </w:tr>
      <w:tr>
        <w:tc>
          <w:tcPr>
            <w:tcW w:type="dxa" w:w="2721"/>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left"/>
            </w:pPr>
            <w:r/>
            <w:r>
              <w:rPr>
                <w:rFonts w:ascii="Times New Roman" w:hAnsi="Times New Roman" w:eastAsia="宋体"/>
                <w:b w:val="0"/>
                <w:sz w:val="21"/>
              </w:rPr>
              <w:t>环路系数</w:t>
            </w:r>
          </w:p>
        </w:tc>
        <w:tc>
          <w:tcPr>
            <w:tcW w:type="dxa" w:w="6066"/>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center"/>
            </w:pPr>
            <w:r/>
            <w:r>
              <w:rPr>
                <w:rFonts w:ascii="Times New Roman" w:hAnsi="Times New Roman" w:eastAsia="宋体"/>
                <w:b w:val="0"/>
                <w:sz w:val="21"/>
              </w:rPr>
              <w:t>使用 b1i_params.svh 中的默认值</w:t>
            </w:r>
          </w:p>
        </w:tc>
      </w:tr>
    </w:tbl>
    <w:p>
      <w:pPr>
        <w:spacing w:after="40"/>
      </w:pPr>
    </w:p>
    <w:p>
      <w:pPr>
        <w:spacing w:after="120" w:before="0" w:line="360" w:lineRule="auto"/>
        <w:ind w:firstLine="420"/>
        <w:jc w:val="both"/>
      </w:pPr>
      <w:r>
        <w:rPr>
          <w:rFonts w:ascii="Times New Roman" w:hAnsi="Times New Roman" w:eastAsia="宋体"/>
          <w:b w:val="0"/>
          <w:sz w:val="24"/>
        </w:rPr>
        <w:t>通道只根据有效样本、已装入的本地码和初始状态工作。合成向量的真值、教师信号源的 dbg_* 都留在测试台，不进入环路。</w:t>
      </w:r>
    </w:p>
    <w:p>
      <w:pPr>
        <w:spacing w:before="240" w:after="120" w:line="360" w:lineRule="auto"/>
      </w:pPr>
      <w:r>
        <w:rPr>
          <w:rFonts w:ascii="Times New Roman" w:hAnsi="Times New Roman" w:eastAsia="黑体"/>
          <w:b/>
          <w:sz w:val="32"/>
        </w:rPr>
        <w:t>2  通道结构与数据表示</w:t>
      </w:r>
    </w:p>
    <w:p>
      <w:pPr>
        <w:spacing w:after="120" w:before="0" w:line="360" w:lineRule="auto"/>
        <w:ind w:firstLine="420"/>
        <w:jc w:val="both"/>
      </w:pPr>
      <w:r>
        <w:rPr>
          <w:rFonts w:ascii="Times New Roman" w:hAnsi="Times New Roman" w:eastAsia="宋体"/>
          <w:b w:val="0"/>
          <w:sz w:val="24"/>
        </w:rPr>
        <w:t>tracking_channel.sv 按载波混频、码 NCO、码 RAM、E／P／L 相关器、track_loop.sv 的顺序连接。每个被接受的样本推进一次载波相位和码相位。sample_valid 为 0 时，相位、累加器和窗口计数都保持，不按墙钟消耗样本。</w:t>
      </w:r>
    </w:p>
    <w:tbl>
      <w:tblPr>
        <w:tblW w:type="auto" w:w="0"/>
        <w:tblLayout w:type="autofit"/>
        <w:tblLook w:firstColumn="1" w:firstRow="1" w:lastColumn="0" w:lastRow="0" w:noHBand="0" w:noVBand="1" w:val="04A0"/>
      </w:tblPr>
      <w:tblGrid>
        <w:gridCol w:w="4536"/>
        <w:gridCol w:w="4536"/>
      </w:tblGrid>
      <w:tr>
        <w:tc>
          <w:tcPr>
            <w:tcW w:type="dxa" w:w="2381"/>
            <w:shd w:val="clear" w:color="auto" w:fill="E8EEF4"/>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黑体"/>
                <w:b/>
                <w:sz w:val="21"/>
              </w:rPr>
              <w:t>对象</w:t>
            </w:r>
          </w:p>
        </w:tc>
        <w:tc>
          <w:tcPr>
            <w:tcW w:type="dxa" w:w="6406"/>
            <w:shd w:val="clear" w:color="auto" w:fill="E8EEF4"/>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黑体"/>
                <w:b/>
                <w:sz w:val="21"/>
              </w:rPr>
              <w:t>表示与用途</w:t>
            </w:r>
          </w:p>
        </w:tc>
      </w:tr>
      <w:tr>
        <w:tc>
          <w:tcPr>
            <w:tcW w:type="dxa" w:w="2381"/>
            <w:tcBorders>
              <w:top w:val="single" w:sz="4" w:space="0" w:color="666666"/>
              <w:left w:val="single" w:sz="4" w:space="0" w:color="666666"/>
              <w:bottom w:val="single" w:sz="4" w:space="0" w:color="666666"/>
              <w:right w:val="single" w:sz="4" w:space="0" w:color="666666"/>
            </w:tcBorders>
          </w:tcPr>
          <w:p>
            <w:pPr>
              <w:spacing w:after="40" w:before="40"/>
              <w:jc w:val="left"/>
            </w:pPr>
            <w:r/>
            <w:r>
              <w:rPr>
                <w:rFonts w:ascii="Times New Roman" w:hAnsi="Times New Roman" w:eastAsia="宋体"/>
                <w:b w:val="0"/>
                <w:sz w:val="21"/>
              </w:rPr>
              <w:t>载波 NCO</w:t>
            </w:r>
          </w:p>
        </w:tc>
        <w:tc>
          <w:tcPr>
            <w:tcW w:type="dxa" w:w="6406"/>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宋体"/>
                <w:b w:val="0"/>
                <w:sz w:val="21"/>
              </w:rPr>
              <w:t>32 位相位累加器。频率字 W 对应 W·Fs／2^32 Hz</w:t>
            </w:r>
          </w:p>
        </w:tc>
      </w:tr>
      <w:tr>
        <w:tc>
          <w:tcPr>
            <w:tcW w:type="dxa" w:w="2381"/>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left"/>
            </w:pPr>
            <w:r/>
            <w:r>
              <w:rPr>
                <w:rFonts w:ascii="Times New Roman" w:hAnsi="Times New Roman" w:eastAsia="宋体"/>
                <w:b w:val="0"/>
                <w:sz w:val="21"/>
              </w:rPr>
              <w:t>载波查表与混频</w:t>
            </w:r>
          </w:p>
        </w:tc>
        <w:tc>
          <w:tcPr>
            <w:tcW w:type="dxa" w:w="6406"/>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center"/>
            </w:pPr>
            <w:r/>
            <w:r>
              <w:rPr>
                <w:rFonts w:ascii="Times New Roman" w:hAnsi="Times New Roman" w:eastAsia="宋体"/>
                <w:b w:val="0"/>
                <w:sz w:val="21"/>
              </w:rPr>
              <w:t>1024 点、10 位正弦／余弦。I = x·cosθ，Q = −x·sinθ。乘积 13 位，不截位</w:t>
            </w:r>
          </w:p>
        </w:tc>
      </w:tr>
      <w:tr>
        <w:tc>
          <w:tcPr>
            <w:tcW w:type="dxa" w:w="2381"/>
            <w:tcBorders>
              <w:top w:val="single" w:sz="4" w:space="0" w:color="666666"/>
              <w:left w:val="single" w:sz="4" w:space="0" w:color="666666"/>
              <w:bottom w:val="single" w:sz="4" w:space="0" w:color="666666"/>
              <w:right w:val="single" w:sz="4" w:space="0" w:color="666666"/>
            </w:tcBorders>
          </w:tcPr>
          <w:p>
            <w:pPr>
              <w:spacing w:after="40" w:before="40"/>
              <w:jc w:val="left"/>
            </w:pPr>
            <w:r/>
            <w:r>
              <w:rPr>
                <w:rFonts w:ascii="Times New Roman" w:hAnsi="Times New Roman" w:eastAsia="宋体"/>
                <w:b w:val="0"/>
                <w:sz w:val="21"/>
              </w:rPr>
              <w:t>码 NCO</w:t>
            </w:r>
          </w:p>
        </w:tc>
        <w:tc>
          <w:tcPr>
            <w:tcW w:type="dxa" w:w="6406"/>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宋体"/>
                <w:b w:val="0"/>
                <w:sz w:val="21"/>
              </w:rPr>
              <w:t>48 位 Q11.37。一个码周期为 2046×2^37。标称每样本增量 2^34</w:t>
            </w:r>
          </w:p>
        </w:tc>
      </w:tr>
      <w:tr>
        <w:tc>
          <w:tcPr>
            <w:tcW w:type="dxa" w:w="2381"/>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left"/>
            </w:pPr>
            <w:r/>
            <w:r>
              <w:rPr>
                <w:rFonts w:ascii="Times New Roman" w:hAnsi="Times New Roman" w:eastAsia="宋体"/>
                <w:b w:val="0"/>
                <w:sz w:val="21"/>
              </w:rPr>
              <w:t>对外码相位</w:t>
            </w:r>
          </w:p>
        </w:tc>
        <w:tc>
          <w:tcPr>
            <w:tcW w:type="dxa" w:w="6406"/>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center"/>
            </w:pPr>
            <w:r/>
            <w:r>
              <w:rPr>
                <w:rFonts w:ascii="Times New Roman" w:hAnsi="Times New Roman" w:eastAsia="宋体"/>
                <w:b w:val="0"/>
                <w:sz w:val="21"/>
              </w:rPr>
              <w:t>内部相位取高 32 位，表示 Q11.21</w:t>
            </w:r>
          </w:p>
        </w:tc>
      </w:tr>
      <w:tr>
        <w:tc>
          <w:tcPr>
            <w:tcW w:type="dxa" w:w="2381"/>
            <w:tcBorders>
              <w:top w:val="single" w:sz="4" w:space="0" w:color="666666"/>
              <w:left w:val="single" w:sz="4" w:space="0" w:color="666666"/>
              <w:bottom w:val="single" w:sz="4" w:space="0" w:color="666666"/>
              <w:right w:val="single" w:sz="4" w:space="0" w:color="666666"/>
            </w:tcBorders>
          </w:tcPr>
          <w:p>
            <w:pPr>
              <w:spacing w:after="40" w:before="40"/>
              <w:jc w:val="left"/>
            </w:pPr>
            <w:r/>
            <w:r>
              <w:rPr>
                <w:rFonts w:ascii="Times New Roman" w:hAnsi="Times New Roman" w:eastAsia="宋体"/>
                <w:b w:val="0"/>
                <w:sz w:val="21"/>
              </w:rPr>
              <w:t>相关累加器</w:t>
            </w:r>
          </w:p>
        </w:tc>
        <w:tc>
          <w:tcPr>
            <w:tcW w:type="dxa" w:w="6406"/>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宋体"/>
                <w:b w:val="0"/>
                <w:sz w:val="21"/>
              </w:rPr>
              <w:t>E／P／L 各有 I、Q 两路，共 6 路 26 位有符号累加</w:t>
            </w:r>
          </w:p>
        </w:tc>
      </w:tr>
      <w:tr>
        <w:tc>
          <w:tcPr>
            <w:tcW w:type="dxa" w:w="2381"/>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left"/>
            </w:pPr>
            <w:r/>
            <w:r>
              <w:rPr>
                <w:rFonts w:ascii="Times New Roman" w:hAnsi="Times New Roman" w:eastAsia="宋体"/>
                <w:b w:val="0"/>
                <w:sz w:val="21"/>
              </w:rPr>
              <w:t>环路乘法器</w:t>
            </w:r>
          </w:p>
        </w:tc>
        <w:tc>
          <w:tcPr>
            <w:tcW w:type="dxa" w:w="6406"/>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center"/>
            </w:pPr>
            <w:r/>
            <w:r>
              <w:rPr>
                <w:rFonts w:ascii="Times New Roman" w:hAnsi="Times New Roman" w:eastAsia="宋体"/>
                <w:b w:val="0"/>
                <w:sz w:val="21"/>
              </w:rPr>
              <w:t>共享一个 28×17 有符号乘法器，按步骤复用</w:t>
            </w:r>
          </w:p>
        </w:tc>
      </w:tr>
    </w:tbl>
    <w:p>
      <w:pPr>
        <w:spacing w:after="40"/>
      </w:pPr>
    </w:p>
    <w:p>
      <w:pPr>
        <w:spacing w:after="120" w:before="0" w:line="360" w:lineRule="auto"/>
        <w:ind w:firstLine="420"/>
        <w:jc w:val="both"/>
      </w:pPr>
      <w:r>
        <w:rPr>
          <w:rFonts w:ascii="Times New Roman" w:hAnsi="Times New Roman" w:eastAsia="宋体"/>
          <w:b w:val="0"/>
          <w:sz w:val="24"/>
        </w:rPr>
        <w:t>默认抽头为 E = P + 0.5 chip、L = P − 0.5 chip，间隔由 code_spacing 给出，单位是 1／8 chip，默认值为 4。DLL 的反馈符号与这一抽头方向绑在一起。交换 Early 和 Late 的命名后，不能沿用同一套正号。</w:t>
      </w:r>
    </w:p>
    <w:p>
      <w:pPr>
        <w:spacing w:before="240" w:after="120" w:line="360" w:lineRule="auto"/>
      </w:pPr>
      <w:r>
        <w:rPr>
          <w:rFonts w:ascii="Times New Roman" w:hAnsi="Times New Roman" w:eastAsia="黑体"/>
          <w:b/>
          <w:sz w:val="32"/>
        </w:rPr>
        <w:t>3  码跟踪环</w:t>
      </w:r>
    </w:p>
    <w:p>
      <w:pPr>
        <w:spacing w:before="160" w:after="120" w:line="360" w:lineRule="auto"/>
      </w:pPr>
      <w:r>
        <w:rPr>
          <w:rFonts w:ascii="Times New Roman" w:hAnsi="Times New Roman" w:eastAsia="黑体"/>
          <w:b/>
          <w:sz w:val="28"/>
        </w:rPr>
        <w:t>3.1  相关幅度与归一化</w:t>
      </w:r>
    </w:p>
    <w:p>
      <w:pPr>
        <w:spacing w:after="120" w:before="0" w:line="360" w:lineRule="auto"/>
        <w:ind w:firstLine="420"/>
        <w:jc w:val="both"/>
      </w:pPr>
      <w:r>
        <w:rPr>
          <w:rFonts w:ascii="Times New Roman" w:hAnsi="Times New Roman" w:eastAsia="宋体"/>
          <w:b w:val="0"/>
          <w:sz w:val="24"/>
        </w:rPr>
        <w:t>环路内部用近似模值代替平方和开方：</w:t>
      </w:r>
    </w:p>
    <w:p>
      <w:pPr>
        <w:spacing w:before="40" w:after="120"/>
        <w:jc w:val="center"/>
      </w:pPr>
      <w:r>
        <w:rPr>
          <w:rFonts w:ascii="Times New Roman" w:hAnsi="Times New Roman" w:eastAsia="宋体"/>
          <w:b w:val="0"/>
          <w:color w:val="1A1A1A"/>
          <w:sz w:val="24"/>
        </w:rPr>
        <w:t>MX = |IX| + |QX|／2</w:t>
      </w:r>
    </w:p>
    <w:p>
      <w:pPr>
        <w:spacing w:after="120" w:before="0" w:line="360" w:lineRule="auto"/>
        <w:ind w:firstLine="420"/>
        <w:jc w:val="both"/>
      </w:pPr>
      <w:r>
        <w:rPr>
          <w:rFonts w:ascii="Times New Roman" w:hAnsi="Times New Roman" w:eastAsia="宋体"/>
          <w:b w:val="0"/>
          <w:sz w:val="24"/>
        </w:rPr>
        <w:t>Prompt 幅度再用移位为 3 的指数平滑。第一个完整窗口直接取该窗口的幅度，之后</w:t>
      </w:r>
    </w:p>
    <w:p>
      <w:pPr>
        <w:spacing w:before="40" w:after="120"/>
        <w:jc w:val="center"/>
      </w:pPr>
      <w:r>
        <w:rPr>
          <w:rFonts w:ascii="Times New Roman" w:hAnsi="Times New Roman" w:eastAsia="宋体"/>
          <w:b w:val="0"/>
          <w:color w:val="1A1A1A"/>
          <w:sz w:val="24"/>
        </w:rPr>
        <w:t>Âk = Âk−1 + (MP,k − Âk−1)／8</w:t>
      </w:r>
    </w:p>
    <w:p>
      <w:pPr>
        <w:spacing w:after="120" w:before="0" w:line="360" w:lineRule="auto"/>
        <w:ind w:firstLine="420"/>
        <w:jc w:val="both"/>
      </w:pPr>
      <w:r>
        <w:rPr>
          <w:rFonts w:ascii="Times New Roman" w:hAnsi="Times New Roman" w:eastAsia="宋体"/>
          <w:b w:val="0"/>
          <w:sz w:val="24"/>
        </w:rPr>
        <w:t>平滑幅度低于 64 时，归一化分母按 64 计算，避免弱信号或零输入把倒数放大到溢出。硬件用平滑幅度的最高有效位和 5 位尾数查 32 项倒数表，乘完后再按指数右移，结果饱和到 16 位。归一化满幅标度约为 4096。这是有限精度倒数，不是精确除法。</w:t>
      </w:r>
    </w:p>
    <w:p>
      <w:pPr>
        <w:spacing w:before="160" w:after="120" w:line="360" w:lineRule="auto"/>
      </w:pPr>
      <w:r>
        <w:rPr>
          <w:rFonts w:ascii="Times New Roman" w:hAnsi="Times New Roman" w:eastAsia="黑体"/>
          <w:b/>
          <w:sz w:val="28"/>
        </w:rPr>
        <w:t>3.2  DLL 鉴别与码增量</w:t>
      </w:r>
    </w:p>
    <w:p>
      <w:pPr>
        <w:spacing w:before="40" w:after="120"/>
        <w:jc w:val="center"/>
      </w:pPr>
      <w:r>
        <w:rPr>
          <w:rFonts w:ascii="Times New Roman" w:hAnsi="Times New Roman" w:eastAsia="宋体"/>
          <w:b w:val="0"/>
          <w:color w:val="1A1A1A"/>
          <w:sz w:val="24"/>
        </w:rPr>
        <w:t>dDLL = norm(ME − ML)</w:t>
      </w:r>
    </w:p>
    <w:p>
      <w:pPr>
        <w:spacing w:after="120" w:before="0" w:line="360" w:lineRule="auto"/>
        <w:ind w:firstLine="420"/>
        <w:jc w:val="both"/>
      </w:pPr>
      <w:r>
        <w:rPr>
          <w:rFonts w:ascii="Times New Roman" w:hAnsi="Times New Roman" w:eastAsia="宋体"/>
          <w:b w:val="0"/>
          <w:sz w:val="24"/>
        </w:rPr>
        <w:t>Early 幅度大于 Late 时，鉴别器为正，表示本地码偏晚，需要加快码 NCO。比例项和积分项都以正号加到码增量上。码增量写成</w:t>
      </w:r>
    </w:p>
    <w:p>
      <w:pPr>
        <w:spacing w:before="40" w:after="120"/>
        <w:jc w:val="center"/>
      </w:pPr>
      <w:r>
        <w:rPr>
          <w:rFonts w:ascii="Times New Roman" w:hAnsi="Times New Roman" w:eastAsia="宋体"/>
          <w:b w:val="0"/>
          <w:color w:val="1A1A1A"/>
          <w:sz w:val="24"/>
        </w:rPr>
        <w:t>ucode = 2^34 + uaid + uDLL,P + uDLL,I</w:t>
      </w:r>
    </w:p>
    <w:p>
      <w:pPr>
        <w:spacing w:after="120" w:before="0" w:line="360" w:lineRule="auto"/>
        <w:ind w:firstLine="420"/>
        <w:jc w:val="both"/>
      </w:pPr>
      <w:r>
        <w:rPr>
          <w:rFonts w:ascii="Times New Roman" w:hAnsi="Times New Roman" w:eastAsia="宋体"/>
          <w:b w:val="0"/>
          <w:sz w:val="24"/>
        </w:rPr>
        <w:t>DLL 比例系数 2099、积分系数 4，都按 Q8.8 解释，乘完后算术右移 8 位。积分状态限幅在 ±131072。载波辅助项把多普勒积分字乘以 2749，再算术右移 16 位，加到 48 位码增量上。码相位只在有效样本上更新。</w:t>
      </w:r>
    </w:p>
    <w:tbl>
      <w:tblPr>
        <w:tblW w:type="auto" w:w="0"/>
        <w:tblLayout w:type="autofit"/>
        <w:tblLook w:firstColumn="1" w:firstRow="1" w:lastColumn="0" w:lastRow="0" w:noHBand="0" w:noVBand="1" w:val="04A0"/>
      </w:tblPr>
      <w:tblGrid>
        <w:gridCol w:w="3024"/>
        <w:gridCol w:w="3024"/>
        <w:gridCol w:w="3024"/>
      </w:tblGrid>
      <w:tr>
        <w:tc>
          <w:tcPr>
            <w:tcW w:type="dxa" w:w="3024"/>
            <w:shd w:val="clear" w:color="auto" w:fill="E8EEF4"/>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黑体"/>
                <w:b/>
                <w:sz w:val="21"/>
              </w:rPr>
              <w:t>环路项</w:t>
            </w:r>
          </w:p>
        </w:tc>
        <w:tc>
          <w:tcPr>
            <w:tcW w:type="dxa" w:w="3024"/>
            <w:shd w:val="clear" w:color="auto" w:fill="E8EEF4"/>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黑体"/>
                <w:b/>
                <w:sz w:val="21"/>
              </w:rPr>
              <w:t>默认整数系数</w:t>
            </w:r>
          </w:p>
        </w:tc>
        <w:tc>
          <w:tcPr>
            <w:tcW w:type="dxa" w:w="3024"/>
            <w:shd w:val="clear" w:color="auto" w:fill="E8EEF4"/>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黑体"/>
                <w:b/>
                <w:sz w:val="21"/>
              </w:rPr>
              <w:t>定点格式</w:t>
            </w:r>
          </w:p>
        </w:tc>
      </w:tr>
      <w:tr>
        <w:tc>
          <w:tcPr>
            <w:tcW w:type="dxa" w:w="3024"/>
            <w:tcBorders>
              <w:top w:val="single" w:sz="4" w:space="0" w:color="666666"/>
              <w:left w:val="single" w:sz="4" w:space="0" w:color="666666"/>
              <w:bottom w:val="single" w:sz="4" w:space="0" w:color="666666"/>
              <w:right w:val="single" w:sz="4" w:space="0" w:color="666666"/>
            </w:tcBorders>
          </w:tcPr>
          <w:p>
            <w:pPr>
              <w:spacing w:after="40" w:before="40"/>
              <w:jc w:val="left"/>
            </w:pPr>
            <w:r/>
            <w:r>
              <w:rPr>
                <w:rFonts w:ascii="Times New Roman" w:hAnsi="Times New Roman" w:eastAsia="宋体"/>
                <w:b w:val="0"/>
                <w:sz w:val="21"/>
              </w:rPr>
              <w:t>DLL 比例／积分</w:t>
            </w:r>
          </w:p>
        </w:tc>
        <w:tc>
          <w:tcPr>
            <w:tcW w:type="dxa" w:w="3024"/>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宋体"/>
                <w:b w:val="0"/>
                <w:sz w:val="21"/>
              </w:rPr>
              <w:t>2099／4</w:t>
            </w:r>
          </w:p>
        </w:tc>
        <w:tc>
          <w:tcPr>
            <w:tcW w:type="dxa" w:w="3024"/>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宋体"/>
                <w:b w:val="0"/>
                <w:sz w:val="21"/>
              </w:rPr>
              <w:t>Q8.8</w:t>
            </w:r>
          </w:p>
        </w:tc>
      </w:tr>
      <w:tr>
        <w:tc>
          <w:tcPr>
            <w:tcW w:type="dxa" w:w="3024"/>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left"/>
            </w:pPr>
            <w:r/>
            <w:r>
              <w:rPr>
                <w:rFonts w:ascii="Times New Roman" w:hAnsi="Times New Roman" w:eastAsia="宋体"/>
                <w:b w:val="0"/>
                <w:sz w:val="21"/>
              </w:rPr>
              <w:t>PLL 比例／积分</w:t>
            </w:r>
          </w:p>
        </w:tc>
        <w:tc>
          <w:tcPr>
            <w:tcW w:type="dxa" w:w="3024"/>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center"/>
            </w:pPr>
            <w:r/>
            <w:r>
              <w:rPr>
                <w:rFonts w:ascii="Times New Roman" w:hAnsi="Times New Roman" w:eastAsia="宋体"/>
                <w:b w:val="0"/>
                <w:sz w:val="21"/>
              </w:rPr>
              <w:t>6685／134</w:t>
            </w:r>
          </w:p>
        </w:tc>
        <w:tc>
          <w:tcPr>
            <w:tcW w:type="dxa" w:w="3024"/>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center"/>
            </w:pPr>
            <w:r/>
            <w:r>
              <w:rPr>
                <w:rFonts w:ascii="Times New Roman" w:hAnsi="Times New Roman" w:eastAsia="宋体"/>
                <w:b w:val="0"/>
                <w:sz w:val="21"/>
              </w:rPr>
              <w:t>Q2.14</w:t>
            </w:r>
          </w:p>
        </w:tc>
      </w:tr>
      <w:tr>
        <w:tc>
          <w:tcPr>
            <w:tcW w:type="dxa" w:w="3024"/>
            <w:tcBorders>
              <w:top w:val="single" w:sz="4" w:space="0" w:color="666666"/>
              <w:left w:val="single" w:sz="4" w:space="0" w:color="666666"/>
              <w:bottom w:val="single" w:sz="4" w:space="0" w:color="666666"/>
              <w:right w:val="single" w:sz="4" w:space="0" w:color="666666"/>
            </w:tcBorders>
          </w:tcPr>
          <w:p>
            <w:pPr>
              <w:spacing w:after="40" w:before="40"/>
              <w:jc w:val="left"/>
            </w:pPr>
            <w:r/>
            <w:r>
              <w:rPr>
                <w:rFonts w:ascii="Times New Roman" w:hAnsi="Times New Roman" w:eastAsia="宋体"/>
                <w:b w:val="0"/>
                <w:sz w:val="21"/>
              </w:rPr>
              <w:t>FLL 辅助</w:t>
            </w:r>
          </w:p>
        </w:tc>
        <w:tc>
          <w:tcPr>
            <w:tcW w:type="dxa" w:w="3024"/>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宋体"/>
                <w:b w:val="0"/>
                <w:sz w:val="21"/>
              </w:rPr>
              <w:t>6685</w:t>
            </w:r>
          </w:p>
        </w:tc>
        <w:tc>
          <w:tcPr>
            <w:tcW w:type="dxa" w:w="3024"/>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宋体"/>
                <w:b w:val="0"/>
                <w:sz w:val="21"/>
              </w:rPr>
              <w:t>Q2.14</w:t>
            </w:r>
          </w:p>
        </w:tc>
      </w:tr>
      <w:tr>
        <w:tc>
          <w:tcPr>
            <w:tcW w:type="dxa" w:w="3024"/>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left"/>
            </w:pPr>
            <w:r/>
            <w:r>
              <w:rPr>
                <w:rFonts w:ascii="Times New Roman" w:hAnsi="Times New Roman" w:eastAsia="宋体"/>
                <w:b w:val="0"/>
                <w:sz w:val="21"/>
              </w:rPr>
              <w:t>归一化输出</w:t>
            </w:r>
          </w:p>
        </w:tc>
        <w:tc>
          <w:tcPr>
            <w:tcW w:type="dxa" w:w="3024"/>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center"/>
            </w:pPr>
            <w:r/>
            <w:r>
              <w:rPr>
                <w:rFonts w:ascii="Times New Roman" w:hAnsi="Times New Roman" w:eastAsia="宋体"/>
                <w:b w:val="0"/>
                <w:sz w:val="21"/>
              </w:rPr>
              <w:t>约 4096</w:t>
            </w:r>
          </w:p>
        </w:tc>
        <w:tc>
          <w:tcPr>
            <w:tcW w:type="dxa" w:w="3024"/>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center"/>
            </w:pPr>
            <w:r/>
            <w:r>
              <w:rPr>
                <w:rFonts w:ascii="Times New Roman" w:hAnsi="Times New Roman" w:eastAsia="宋体"/>
                <w:b w:val="0"/>
                <w:sz w:val="21"/>
              </w:rPr>
              <w:t>16 位有符号，满幅标度 12 位</w:t>
            </w:r>
          </w:p>
        </w:tc>
      </w:tr>
    </w:tbl>
    <w:p>
      <w:pPr>
        <w:spacing w:after="40"/>
      </w:pPr>
    </w:p>
    <w:p>
      <w:pPr>
        <w:spacing w:before="240" w:after="120" w:line="360" w:lineRule="auto"/>
      </w:pPr>
      <w:r>
        <w:rPr>
          <w:rFonts w:ascii="Times New Roman" w:hAnsi="Times New Roman" w:eastAsia="黑体"/>
          <w:b/>
          <w:sz w:val="32"/>
        </w:rPr>
        <w:t>4  锁频环与锁相环</w:t>
      </w:r>
    </w:p>
    <w:p>
      <w:pPr>
        <w:spacing w:before="160" w:after="120" w:line="360" w:lineRule="auto"/>
      </w:pPr>
      <w:r>
        <w:rPr>
          <w:rFonts w:ascii="Times New Roman" w:hAnsi="Times New Roman" w:eastAsia="黑体"/>
          <w:b/>
          <w:sz w:val="28"/>
        </w:rPr>
        <w:t>4.1  FLL</w:t>
      </w:r>
    </w:p>
    <w:p>
      <w:pPr>
        <w:spacing w:after="120" w:before="0" w:line="360" w:lineRule="auto"/>
        <w:ind w:firstLine="420"/>
        <w:jc w:val="both"/>
      </w:pPr>
      <w:r>
        <w:rPr>
          <w:rFonts w:ascii="Times New Roman" w:hAnsi="Times New Roman" w:eastAsia="宋体"/>
          <w:b w:val="0"/>
          <w:sz w:val="24"/>
        </w:rPr>
        <w:t>FLL 用相邻两个完整 Prompt 窗口的归一化 I、Q 做叉积和点积：</w:t>
      </w:r>
    </w:p>
    <w:p>
      <w:pPr>
        <w:spacing w:before="40" w:after="120"/>
        <w:jc w:val="center"/>
      </w:pPr>
      <w:r>
        <w:rPr>
          <w:rFonts w:ascii="Times New Roman" w:hAnsi="Times New Roman" w:eastAsia="宋体"/>
          <w:b w:val="0"/>
          <w:color w:val="1A1A1A"/>
          <w:sz w:val="24"/>
        </w:rPr>
        <w:t>Ck = Ik−1·Qk − Ik·Qk−1</w:t>
      </w:r>
    </w:p>
    <w:p>
      <w:pPr>
        <w:spacing w:before="40" w:after="120"/>
        <w:jc w:val="center"/>
      </w:pPr>
      <w:r>
        <w:rPr>
          <w:rFonts w:ascii="Times New Roman" w:hAnsi="Times New Roman" w:eastAsia="宋体"/>
          <w:b w:val="0"/>
          <w:color w:val="1A1A1A"/>
          <w:sz w:val="24"/>
        </w:rPr>
        <w:t>Dk = Ik−1·Ik + Qk−1·Qk</w:t>
      </w:r>
    </w:p>
    <w:p>
      <w:pPr>
        <w:spacing w:before="40" w:after="120"/>
        <w:jc w:val="center"/>
      </w:pPr>
      <w:r>
        <w:rPr>
          <w:rFonts w:ascii="Times New Roman" w:hAnsi="Times New Roman" w:eastAsia="宋体"/>
          <w:b w:val="0"/>
          <w:color w:val="1A1A1A"/>
          <w:sz w:val="24"/>
        </w:rPr>
        <w:t>dFLL = sat16[ sgn(Dk) · Ck ／ 2^12 ]</w:t>
      </w:r>
    </w:p>
    <w:p>
      <w:pPr>
        <w:spacing w:after="120" w:before="0" w:line="360" w:lineRule="auto"/>
        <w:ind w:firstLine="420"/>
        <w:jc w:val="both"/>
      </w:pPr>
      <w:r>
        <w:rPr>
          <w:rFonts w:ascii="Times New Roman" w:hAnsi="Times New Roman" w:eastAsia="宋体"/>
          <w:b w:val="0"/>
          <w:sz w:val="24"/>
        </w:rPr>
        <w:t>点积的符号用来校正数据比特和 NH 码造成的 180° 翻转，避免频率鉴别器跟着符号来回拉。第一个完整窗口没有上一窗，FLL 输出 0。鉴别结果是归一化定点量，不是直接的赫兹误差。fll_en 为 0 时，这一项不加入载波积分器。整机默认保持使能；个别捕获移交用例在跟踪 200 ms 后关闭，那是用例配置，不是通道里的自动切换。</w:t>
      </w:r>
    </w:p>
    <w:p>
      <w:pPr>
        <w:spacing w:before="160" w:after="120" w:line="360" w:lineRule="auto"/>
      </w:pPr>
      <w:r>
        <w:rPr>
          <w:rFonts w:ascii="Times New Roman" w:hAnsi="Times New Roman" w:eastAsia="黑体"/>
          <w:b/>
          <w:sz w:val="28"/>
        </w:rPr>
        <w:t>4.2  Costas PLL</w:t>
      </w:r>
    </w:p>
    <w:p>
      <w:pPr>
        <w:spacing w:before="40" w:after="120"/>
        <w:jc w:val="center"/>
      </w:pPr>
      <w:r>
        <w:rPr>
          <w:rFonts w:ascii="Times New Roman" w:hAnsi="Times New Roman" w:eastAsia="宋体"/>
          <w:b w:val="0"/>
          <w:color w:val="1A1A1A"/>
          <w:sz w:val="24"/>
        </w:rPr>
        <w:t>dPLL = sgn(Ik) · Qk</w:t>
      </w:r>
    </w:p>
    <w:p>
      <w:pPr>
        <w:spacing w:after="120" w:before="0" w:line="360" w:lineRule="auto"/>
        <w:ind w:firstLine="420"/>
        <w:jc w:val="both"/>
      </w:pPr>
      <w:r>
        <w:rPr>
          <w:rFonts w:ascii="Times New Roman" w:hAnsi="Times New Roman" w:eastAsia="宋体"/>
          <w:b w:val="0"/>
          <w:sz w:val="24"/>
        </w:rPr>
        <w:t>I 大于或等于 0 时符号取 +1，否则取 −1。这样数据位的整体反相不会把鉴相方向带反，但载波仍有 180° 相位模糊，极性留到后面的导航前导码确定。</w:t>
      </w:r>
    </w:p>
    <w:p>
      <w:pPr>
        <w:spacing w:after="120" w:before="0" w:line="360" w:lineRule="auto"/>
        <w:ind w:firstLine="420"/>
        <w:jc w:val="both"/>
      </w:pPr>
      <w:r>
        <w:rPr>
          <w:rFonts w:ascii="Times New Roman" w:hAnsi="Times New Roman" w:eastAsia="宋体"/>
          <w:b w:val="0"/>
          <w:sz w:val="24"/>
        </w:rPr>
        <w:t>PLL 积分项和 FLL 辅助项各自乘系数、算术右移 14 位，再加到载波频率积分器。各支路先截断再相加，与定点参考 tracking_model.py 一致。载波频率字为</w:t>
      </w:r>
    </w:p>
    <w:p>
      <w:pPr>
        <w:spacing w:before="40" w:after="120"/>
        <w:jc w:val="center"/>
      </w:pPr>
      <w:r>
        <w:rPr>
          <w:rFonts w:ascii="Times New Roman" w:hAnsi="Times New Roman" w:eastAsia="宋体"/>
          <w:b w:val="0"/>
          <w:color w:val="1A1A1A"/>
          <w:sz w:val="24"/>
        </w:rPr>
        <w:t>W = 2^30 + facc + uPLL,P</w:t>
      </w:r>
    </w:p>
    <w:p>
      <w:pPr>
        <w:spacing w:after="120" w:before="0" w:line="360" w:lineRule="auto"/>
        <w:ind w:firstLine="420"/>
        <w:jc w:val="both"/>
      </w:pPr>
      <w:r>
        <w:rPr>
          <w:rFonts w:ascii="Times New Roman" w:hAnsi="Times New Roman" w:eastAsia="宋体"/>
          <w:b w:val="0"/>
          <w:sz w:val="24"/>
        </w:rPr>
        <w:t>其中 2^30 是中频字，对应 4.092 MHz。facc 限幅在 ±2883584，约 ±10.99 kHz。整数系数的量纲同时取决于鉴别器标度和频率字分辨率，不能直接当成模拟环路带宽。</w:t>
      </w:r>
    </w:p>
    <w:p>
      <w:pPr>
        <w:spacing w:before="240" w:after="120" w:line="360" w:lineRule="auto"/>
      </w:pPr>
      <w:r>
        <w:rPr>
          <w:rFonts w:ascii="Times New Roman" w:hAnsi="Times New Roman" w:eastAsia="黑体"/>
          <w:b/>
          <w:sz w:val="32"/>
        </w:rPr>
        <w:t>5  更新时序与锁定标志</w:t>
      </w:r>
    </w:p>
    <w:p>
      <w:pPr>
        <w:spacing w:after="120" w:before="0" w:line="360" w:lineRule="auto"/>
        <w:ind w:firstLine="420"/>
        <w:jc w:val="both"/>
      </w:pPr>
      <w:r>
        <w:rPr>
          <w:rFonts w:ascii="Times New Roman" w:hAnsi="Times New Roman" w:eastAsia="宋体"/>
          <w:b w:val="0"/>
          <w:sz w:val="24"/>
        </w:rPr>
        <w:t>共享乘法器按步骤 1 到 13 做归一化和滤波，然后回到空闲。窗口 j 的观测量在该窗口结束后计算，在下一次码周期边界装入 NCO，作用于窗口 j+2。当前边界不对新系数做旁路。</w:t>
      </w:r>
    </w:p>
    <w:p>
      <w:pPr>
        <w:spacing w:after="120" w:before="0" w:line="360" w:lineRule="auto"/>
        <w:ind w:firstLine="420"/>
        <w:jc w:val="both"/>
      </w:pPr>
      <w:r>
        <w:rPr>
          <w:rFonts w:ascii="Times New Roman" w:hAnsi="Times New Roman" w:eastAsia="宋体"/>
          <w:b w:val="0"/>
          <w:sz w:val="24"/>
        </w:rPr>
        <w:t>init_load 只持续一个时钟。装载拍不推进相位，并把载波积分字置成给定的初始多普勒，清零码积分、锁定计数和上一窗相关值。装载后的第一个窗口不满一个码周期，dump_partial 为 1，dump 照常送出，环路不更新。</w:t>
      </w:r>
    </w:p>
    <w:p>
      <w:pPr>
        <w:spacing w:after="120" w:before="0" w:line="360" w:lineRule="auto"/>
        <w:ind w:firstLine="420"/>
        <w:jc w:val="both"/>
      </w:pPr>
      <w:r>
        <w:rPr>
          <w:rFonts w:ascii="Times New Roman" w:hAnsi="Times New Roman" w:eastAsia="宋体"/>
          <w:b w:val="0"/>
          <w:sz w:val="24"/>
        </w:rPr>
        <w:t>锁定检测每累计 20 个完整更新，比较 Σ|Ip| 与 2Σ|Qp|。满足时计数加 1，否则减 1，计数范围 0～10。计数达到 5 后置 locked，回到 0 才清锁。该标志给通道管理用，不能单独说明码已经对准、载波已经锁定，或导航电文有效。</w:t>
      </w:r>
    </w:p>
    <w:p>
      <w:pPr>
        <w:spacing w:before="240" w:after="120" w:line="360" w:lineRule="auto"/>
      </w:pPr>
      <w:r>
        <w:rPr>
          <w:rFonts w:ascii="Times New Roman" w:hAnsi="Times New Roman" w:eastAsia="黑体"/>
          <w:b/>
          <w:sz w:val="32"/>
        </w:rPr>
        <w:t>6  实现约束</w:t>
      </w:r>
    </w:p>
    <w:p>
      <w:pPr>
        <w:spacing w:after="120" w:before="0" w:line="360" w:lineRule="auto"/>
        <w:ind w:firstLine="420"/>
        <w:jc w:val="both"/>
      </w:pPr>
      <w:r>
        <w:rPr>
          <w:rFonts w:ascii="Times New Roman" w:hAnsi="Times New Roman" w:eastAsia="宋体"/>
          <w:b w:val="0"/>
          <w:sz w:val="24"/>
        </w:rPr>
        <w:t>定点截断、饱和和两拍更新延迟都写在 RTL 里，并用 tracking_model.py 逐字段对照。浮点软件的反正切鉴别和另一套环路调度不能逐拍等同于这份定点实现。</w:t>
      </w:r>
    </w:p>
    <w:p>
      <w:pPr>
        <w:spacing w:after="120" w:before="0" w:line="360" w:lineRule="auto"/>
        <w:ind w:firstLine="420"/>
        <w:jc w:val="both"/>
      </w:pPr>
      <w:r>
        <w:rPr>
          <w:rFonts w:ascii="Times New Roman" w:hAnsi="Times New Roman" w:eastAsia="宋体"/>
          <w:b w:val="0"/>
          <w:sz w:val="24"/>
        </w:rPr>
        <w:t>当前系数面向捕获移交后的牵入和稳态跟踪。不同载噪比、码频初差和频率变化率下的牵入时间、失锁概率，需要单独统计。持续打开 FLL 与牵入后关闭 FLL，也要按信号结果决定，不在通道里写死切换时刻。面积、时序和上板测量不在本方案的范围内。</w:t>
      </w:r>
    </w:p>
    <w:p>
      <w:pPr>
        <w:spacing w:after="120" w:before="0" w:line="360" w:lineRule="auto"/>
        <w:ind w:firstLine="420"/>
        <w:jc w:val="both"/>
      </w:pPr>
      <w:r>
        <w:rPr>
          <w:rFonts w:ascii="Times New Roman" w:hAnsi="Times New Roman" w:eastAsia="宋体"/>
          <w:b w:val="0"/>
          <w:sz w:val="24"/>
        </w:rPr>
        <w:t>单通道闭环的文件位置如下。</w:t>
      </w:r>
    </w:p>
    <w:tbl>
      <w:tblPr>
        <w:tblW w:type="auto" w:w="0"/>
        <w:tblLayout w:type="autofit"/>
        <w:tblLook w:firstColumn="1" w:firstRow="1" w:lastColumn="0" w:lastRow="0" w:noHBand="0" w:noVBand="1" w:val="04A0"/>
      </w:tblPr>
      <w:tblGrid>
        <w:gridCol w:w="4536"/>
        <w:gridCol w:w="4536"/>
      </w:tblGrid>
      <w:tr>
        <w:tc>
          <w:tcPr>
            <w:tcW w:type="dxa" w:w="3118"/>
            <w:shd w:val="clear" w:color="auto" w:fill="E8EEF4"/>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黑体"/>
                <w:b/>
                <w:sz w:val="21"/>
              </w:rPr>
              <w:t>功能</w:t>
            </w:r>
          </w:p>
        </w:tc>
        <w:tc>
          <w:tcPr>
            <w:tcW w:type="dxa" w:w="5669"/>
            <w:shd w:val="clear" w:color="auto" w:fill="E8EEF4"/>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黑体"/>
                <w:b/>
                <w:sz w:val="21"/>
              </w:rPr>
              <w:t>文件</w:t>
            </w:r>
          </w:p>
        </w:tc>
      </w:tr>
      <w:tr>
        <w:tc>
          <w:tcPr>
            <w:tcW w:type="dxa" w:w="3118"/>
            <w:tcBorders>
              <w:top w:val="single" w:sz="4" w:space="0" w:color="666666"/>
              <w:left w:val="single" w:sz="4" w:space="0" w:color="666666"/>
              <w:bottom w:val="single" w:sz="4" w:space="0" w:color="666666"/>
              <w:right w:val="single" w:sz="4" w:space="0" w:color="666666"/>
            </w:tcBorders>
          </w:tcPr>
          <w:p>
            <w:pPr>
              <w:spacing w:after="40" w:before="40"/>
              <w:jc w:val="left"/>
            </w:pPr>
            <w:r/>
            <w:r>
              <w:rPr>
                <w:rFonts w:ascii="Times New Roman" w:hAnsi="Times New Roman" w:eastAsia="宋体"/>
                <w:b w:val="0"/>
                <w:sz w:val="21"/>
              </w:rPr>
              <w:t>单通道集成</w:t>
            </w:r>
          </w:p>
        </w:tc>
        <w:tc>
          <w:tcPr>
            <w:tcW w:type="dxa" w:w="5669"/>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宋体"/>
                <w:b w:val="0"/>
                <w:sz w:val="21"/>
              </w:rPr>
              <w:t>rtl/track/tracking_channel.sv</w:t>
            </w:r>
          </w:p>
        </w:tc>
      </w:tr>
      <w:tr>
        <w:tc>
          <w:tcPr>
            <w:tcW w:type="dxa" w:w="3118"/>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left"/>
            </w:pPr>
            <w:r/>
            <w:r>
              <w:rPr>
                <w:rFonts w:ascii="Times New Roman" w:hAnsi="Times New Roman" w:eastAsia="宋体"/>
                <w:b w:val="0"/>
                <w:sz w:val="21"/>
              </w:rPr>
              <w:t>DLL、FLL、PLL 与锁定计数</w:t>
            </w:r>
          </w:p>
        </w:tc>
        <w:tc>
          <w:tcPr>
            <w:tcW w:type="dxa" w:w="5669"/>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center"/>
            </w:pPr>
            <w:r/>
            <w:r>
              <w:rPr>
                <w:rFonts w:ascii="Times New Roman" w:hAnsi="Times New Roman" w:eastAsia="宋体"/>
                <w:b w:val="0"/>
                <w:sz w:val="21"/>
              </w:rPr>
              <w:t>rtl/track/track_loop.sv</w:t>
            </w:r>
          </w:p>
        </w:tc>
      </w:tr>
      <w:tr>
        <w:tc>
          <w:tcPr>
            <w:tcW w:type="dxa" w:w="3118"/>
            <w:tcBorders>
              <w:top w:val="single" w:sz="4" w:space="0" w:color="666666"/>
              <w:left w:val="single" w:sz="4" w:space="0" w:color="666666"/>
              <w:bottom w:val="single" w:sz="4" w:space="0" w:color="666666"/>
              <w:right w:val="single" w:sz="4" w:space="0" w:color="666666"/>
            </w:tcBorders>
          </w:tcPr>
          <w:p>
            <w:pPr>
              <w:spacing w:after="40" w:before="40"/>
              <w:jc w:val="left"/>
            </w:pPr>
            <w:r/>
            <w:r>
              <w:rPr>
                <w:rFonts w:ascii="Times New Roman" w:hAnsi="Times New Roman" w:eastAsia="宋体"/>
                <w:b w:val="0"/>
                <w:sz w:val="21"/>
              </w:rPr>
              <w:t>载波 NCO 与码 NCO</w:t>
            </w:r>
          </w:p>
        </w:tc>
        <w:tc>
          <w:tcPr>
            <w:tcW w:type="dxa" w:w="5669"/>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宋体"/>
                <w:b w:val="0"/>
                <w:sz w:val="21"/>
              </w:rPr>
              <w:t>carrier_mixer_nco.sv、code_nco.sv</w:t>
            </w:r>
          </w:p>
        </w:tc>
      </w:tr>
      <w:tr>
        <w:tc>
          <w:tcPr>
            <w:tcW w:type="dxa" w:w="3118"/>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left"/>
            </w:pPr>
            <w:r/>
            <w:r>
              <w:rPr>
                <w:rFonts w:ascii="Times New Roman" w:hAnsi="Times New Roman" w:eastAsia="宋体"/>
                <w:b w:val="0"/>
                <w:sz w:val="21"/>
              </w:rPr>
              <w:t>码 RAM 与相关器</w:t>
            </w:r>
          </w:p>
        </w:tc>
        <w:tc>
          <w:tcPr>
            <w:tcW w:type="dxa" w:w="5669"/>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center"/>
            </w:pPr>
            <w:r/>
            <w:r>
              <w:rPr>
                <w:rFonts w:ascii="Times New Roman" w:hAnsi="Times New Roman" w:eastAsia="宋体"/>
                <w:b w:val="0"/>
                <w:sz w:val="21"/>
              </w:rPr>
              <w:t>code_ram.sv、correlator_epl.sv</w:t>
            </w:r>
          </w:p>
        </w:tc>
      </w:tr>
      <w:tr>
        <w:tc>
          <w:tcPr>
            <w:tcW w:type="dxa" w:w="3118"/>
            <w:tcBorders>
              <w:top w:val="single" w:sz="4" w:space="0" w:color="666666"/>
              <w:left w:val="single" w:sz="4" w:space="0" w:color="666666"/>
              <w:bottom w:val="single" w:sz="4" w:space="0" w:color="666666"/>
              <w:right w:val="single" w:sz="4" w:space="0" w:color="666666"/>
            </w:tcBorders>
          </w:tcPr>
          <w:p>
            <w:pPr>
              <w:spacing w:after="40" w:before="40"/>
              <w:jc w:val="left"/>
            </w:pPr>
            <w:r/>
            <w:r>
              <w:rPr>
                <w:rFonts w:ascii="Times New Roman" w:hAnsi="Times New Roman" w:eastAsia="宋体"/>
                <w:b w:val="0"/>
                <w:sz w:val="21"/>
              </w:rPr>
              <w:t>参数与载波表</w:t>
            </w:r>
          </w:p>
        </w:tc>
        <w:tc>
          <w:tcPr>
            <w:tcW w:type="dxa" w:w="5669"/>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宋体"/>
                <w:b w:val="0"/>
                <w:sz w:val="21"/>
              </w:rPr>
              <w:t>b1i_params.svh、carrier_lut.sv</w:t>
            </w:r>
          </w:p>
        </w:tc>
      </w:tr>
      <w:tr>
        <w:tc>
          <w:tcPr>
            <w:tcW w:type="dxa" w:w="3118"/>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left"/>
            </w:pPr>
            <w:r/>
            <w:r>
              <w:rPr>
                <w:rFonts w:ascii="Times New Roman" w:hAnsi="Times New Roman" w:eastAsia="宋体"/>
                <w:b w:val="0"/>
                <w:sz w:val="21"/>
              </w:rPr>
              <w:t>定点参考</w:t>
            </w:r>
          </w:p>
        </w:tc>
        <w:tc>
          <w:tcPr>
            <w:tcW w:type="dxa" w:w="5669"/>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center"/>
            </w:pPr>
            <w:r/>
            <w:r>
              <w:rPr>
                <w:rFonts w:ascii="Times New Roman" w:hAnsi="Times New Roman" w:eastAsia="宋体"/>
                <w:b w:val="0"/>
                <w:sz w:val="21"/>
              </w:rPr>
              <w:t>sw/b1i_ref/tracking_model.py</w:t>
            </w:r>
          </w:p>
        </w:tc>
      </w:tr>
    </w:tbl>
    <w:p>
      <w:pPr>
        <w:spacing w:after="40"/>
      </w:pPr>
    </w:p>
    <w:p>
      <w:pPr>
        <w:spacing w:before="240" w:after="120" w:line="360" w:lineRule="auto"/>
      </w:pPr>
      <w:r>
        <w:rPr>
          <w:rFonts w:ascii="Times New Roman" w:hAnsi="Times New Roman" w:eastAsia="黑体"/>
          <w:b/>
          <w:sz w:val="32"/>
        </w:rPr>
        <w:t>附录  单星跟踪接入</w:t>
      </w:r>
    </w:p>
    <w:p>
      <w:pPr>
        <w:spacing w:before="160" w:after="120" w:line="360" w:lineRule="auto"/>
      </w:pPr>
      <w:r>
        <w:rPr>
          <w:rFonts w:ascii="Times New Roman" w:hAnsi="Times New Roman" w:eastAsia="黑体"/>
          <w:b/>
          <w:sz w:val="28"/>
        </w:rPr>
        <w:t>A.1  接入目标</w:t>
      </w:r>
    </w:p>
    <w:p>
      <w:pPr>
        <w:spacing w:after="120" w:before="0" w:line="360" w:lineRule="auto"/>
        <w:ind w:firstLine="420"/>
        <w:jc w:val="both"/>
      </w:pPr>
      <w:r>
        <w:rPr>
          <w:rFonts w:ascii="Times New Roman" w:hAnsi="Times New Roman" w:eastAsia="宋体"/>
          <w:b w:val="0"/>
          <w:sz w:val="24"/>
        </w:rPr>
        <w:t>单星跟踪把教师带多普勒信号源接到现有 tracking_channel，用来看码环和载波环怎样消化已知的初始误差。卫星编号、多普勒和码率都由信号源固定。原通道的 E／P／L 相关、DLL、FLL 和 Costas PLL 不改。</w:t>
      </w:r>
    </w:p>
    <w:p>
      <w:pPr>
        <w:spacing w:after="120" w:before="0" w:line="360" w:lineRule="auto"/>
        <w:ind w:firstLine="420"/>
        <w:jc w:val="both"/>
      </w:pPr>
      <w:r>
        <w:rPr>
          <w:rFonts w:ascii="Times New Roman" w:hAnsi="Times New Roman" w:eastAsia="宋体"/>
          <w:b w:val="0"/>
          <w:sz w:val="24"/>
        </w:rPr>
        <w:t>这一接法一次只跟踪一颗星，便于对照每个 1 ms 的相关幅度和频率字。搜索其余卫星、频率不确定度和捕获移交仍由原捕获引擎承担。</w:t>
      </w:r>
    </w:p>
    <w:tbl>
      <w:tblPr>
        <w:tblW w:type="auto" w:w="0"/>
        <w:tblLayout w:type="autofit"/>
        <w:tblLook w:firstColumn="1" w:firstRow="1" w:lastColumn="0" w:lastRow="0" w:noHBand="0" w:noVBand="1" w:val="04A0"/>
      </w:tblPr>
      <w:tblGrid>
        <w:gridCol w:w="4536"/>
        <w:gridCol w:w="4536"/>
      </w:tblGrid>
      <w:tr>
        <w:tc>
          <w:tcPr>
            <w:tcW w:type="dxa" w:w="2381"/>
            <w:shd w:val="clear" w:color="auto" w:fill="E8EEF4"/>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黑体"/>
                <w:b/>
                <w:sz w:val="21"/>
              </w:rPr>
              <w:t>项目</w:t>
            </w:r>
          </w:p>
        </w:tc>
        <w:tc>
          <w:tcPr>
            <w:tcW w:type="dxa" w:w="6406"/>
            <w:shd w:val="clear" w:color="auto" w:fill="E8EEF4"/>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黑体"/>
                <w:b/>
                <w:sz w:val="21"/>
              </w:rPr>
              <w:t>设计输入与约束</w:t>
            </w:r>
          </w:p>
        </w:tc>
      </w:tr>
      <w:tr>
        <w:tc>
          <w:tcPr>
            <w:tcW w:type="dxa" w:w="2381"/>
            <w:tcBorders>
              <w:top w:val="single" w:sz="4" w:space="0" w:color="666666"/>
              <w:left w:val="single" w:sz="4" w:space="0" w:color="666666"/>
              <w:bottom w:val="single" w:sz="4" w:space="0" w:color="666666"/>
              <w:right w:val="single" w:sz="4" w:space="0" w:color="666666"/>
            </w:tcBorders>
          </w:tcPr>
          <w:p>
            <w:pPr>
              <w:spacing w:after="40" w:before="40"/>
              <w:jc w:val="left"/>
            </w:pPr>
            <w:r/>
            <w:r>
              <w:rPr>
                <w:rFonts w:ascii="Times New Roman" w:hAnsi="Times New Roman" w:eastAsia="宋体"/>
                <w:b w:val="0"/>
                <w:sz w:val="21"/>
              </w:rPr>
              <w:t>信号源</w:t>
            </w:r>
          </w:p>
        </w:tc>
        <w:tc>
          <w:tcPr>
            <w:tcW w:type="dxa" w:w="6406"/>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宋体"/>
                <w:b w:val="0"/>
                <w:sz w:val="21"/>
              </w:rPr>
              <w:t>bdi_signal_source_doppler；PRN 6</w:t>
            </w:r>
          </w:p>
        </w:tc>
      </w:tr>
      <w:tr>
        <w:tc>
          <w:tcPr>
            <w:tcW w:type="dxa" w:w="2381"/>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left"/>
            </w:pPr>
            <w:r/>
            <w:r>
              <w:rPr>
                <w:rFonts w:ascii="Times New Roman" w:hAnsi="Times New Roman" w:eastAsia="宋体"/>
                <w:b w:val="0"/>
                <w:sz w:val="21"/>
              </w:rPr>
              <w:t>采样与中频</w:t>
            </w:r>
          </w:p>
        </w:tc>
        <w:tc>
          <w:tcPr>
            <w:tcW w:type="dxa" w:w="6406"/>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center"/>
            </w:pPr>
            <w:r/>
            <w:r>
              <w:rPr>
                <w:rFonts w:ascii="Times New Roman" w:hAnsi="Times New Roman" w:eastAsia="宋体"/>
                <w:b w:val="0"/>
                <w:sz w:val="21"/>
              </w:rPr>
              <w:t>16.368 MHz；4.092 MHz</w:t>
            </w:r>
          </w:p>
        </w:tc>
      </w:tr>
      <w:tr>
        <w:tc>
          <w:tcPr>
            <w:tcW w:type="dxa" w:w="2381"/>
            <w:tcBorders>
              <w:top w:val="single" w:sz="4" w:space="0" w:color="666666"/>
              <w:left w:val="single" w:sz="4" w:space="0" w:color="666666"/>
              <w:bottom w:val="single" w:sz="4" w:space="0" w:color="666666"/>
              <w:right w:val="single" w:sz="4" w:space="0" w:color="666666"/>
            </w:tcBorders>
          </w:tcPr>
          <w:p>
            <w:pPr>
              <w:spacing w:after="40" w:before="40"/>
              <w:jc w:val="left"/>
            </w:pPr>
            <w:r/>
            <w:r>
              <w:rPr>
                <w:rFonts w:ascii="Times New Roman" w:hAnsi="Times New Roman" w:eastAsia="宋体"/>
                <w:b w:val="0"/>
                <w:sz w:val="21"/>
              </w:rPr>
              <w:t>载波多普勒</w:t>
            </w:r>
          </w:p>
        </w:tc>
        <w:tc>
          <w:tcPr>
            <w:tcW w:type="dxa" w:w="6406"/>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宋体"/>
                <w:b w:val="0"/>
                <w:sz w:val="21"/>
              </w:rPr>
              <w:t>+250 Hz，频控字 65600</w:t>
            </w:r>
          </w:p>
        </w:tc>
      </w:tr>
      <w:tr>
        <w:tc>
          <w:tcPr>
            <w:tcW w:type="dxa" w:w="2381"/>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left"/>
            </w:pPr>
            <w:r/>
            <w:r>
              <w:rPr>
                <w:rFonts w:ascii="Times New Roman" w:hAnsi="Times New Roman" w:eastAsia="宋体"/>
                <w:b w:val="0"/>
                <w:sz w:val="21"/>
              </w:rPr>
              <w:t>码多普勒频控字</w:t>
            </w:r>
          </w:p>
        </w:tc>
        <w:tc>
          <w:tcPr>
            <w:tcW w:type="dxa" w:w="6406"/>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center"/>
            </w:pPr>
            <w:r/>
            <w:r>
              <w:rPr>
                <w:rFonts w:ascii="Times New Roman" w:hAnsi="Times New Roman" w:eastAsia="宋体"/>
                <w:b w:val="0"/>
                <w:sz w:val="21"/>
              </w:rPr>
              <w:t>86，约 +0.33 Hz</w:t>
            </w:r>
          </w:p>
        </w:tc>
      </w:tr>
      <w:tr>
        <w:tc>
          <w:tcPr>
            <w:tcW w:type="dxa" w:w="2381"/>
            <w:tcBorders>
              <w:top w:val="single" w:sz="4" w:space="0" w:color="666666"/>
              <w:left w:val="single" w:sz="4" w:space="0" w:color="666666"/>
              <w:bottom w:val="single" w:sz="4" w:space="0" w:color="666666"/>
              <w:right w:val="single" w:sz="4" w:space="0" w:color="666666"/>
            </w:tcBorders>
          </w:tcPr>
          <w:p>
            <w:pPr>
              <w:spacing w:after="40" w:before="40"/>
              <w:jc w:val="left"/>
            </w:pPr>
            <w:r/>
            <w:r>
              <w:rPr>
                <w:rFonts w:ascii="Times New Roman" w:hAnsi="Times New Roman" w:eastAsia="宋体"/>
                <w:b w:val="0"/>
                <w:sz w:val="21"/>
              </w:rPr>
              <w:t>样本</w:t>
            </w:r>
          </w:p>
        </w:tc>
        <w:tc>
          <w:tcPr>
            <w:tcW w:type="dxa" w:w="6406"/>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宋体"/>
                <w:b w:val="0"/>
                <w:sz w:val="21"/>
              </w:rPr>
              <w:t>有符号 2 bit：01 为 +1，00 为 0，11 为 −1；符号扩展成 3 位后送入通道</w:t>
            </w:r>
          </w:p>
        </w:tc>
      </w:tr>
      <w:tr>
        <w:tc>
          <w:tcPr>
            <w:tcW w:type="dxa" w:w="2381"/>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left"/>
            </w:pPr>
            <w:r/>
            <w:r>
              <w:rPr>
                <w:rFonts w:ascii="Times New Roman" w:hAnsi="Times New Roman" w:eastAsia="宋体"/>
                <w:b w:val="0"/>
                <w:sz w:val="21"/>
              </w:rPr>
              <w:t>初始码相位</w:t>
            </w:r>
          </w:p>
        </w:tc>
        <w:tc>
          <w:tcPr>
            <w:tcW w:type="dxa" w:w="6406"/>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center"/>
            </w:pPr>
            <w:r/>
            <w:r>
              <w:rPr>
                <w:rFonts w:ascii="Times New Roman" w:hAnsi="Times New Roman" w:eastAsia="宋体"/>
                <w:b w:val="0"/>
                <w:sz w:val="21"/>
              </w:rPr>
              <w:t>相对发送相位 10 超前 0.15 chip</w:t>
            </w:r>
          </w:p>
        </w:tc>
      </w:tr>
      <w:tr>
        <w:tc>
          <w:tcPr>
            <w:tcW w:type="dxa" w:w="2381"/>
            <w:tcBorders>
              <w:top w:val="single" w:sz="4" w:space="0" w:color="666666"/>
              <w:left w:val="single" w:sz="4" w:space="0" w:color="666666"/>
              <w:bottom w:val="single" w:sz="4" w:space="0" w:color="666666"/>
              <w:right w:val="single" w:sz="4" w:space="0" w:color="666666"/>
            </w:tcBorders>
          </w:tcPr>
          <w:p>
            <w:pPr>
              <w:spacing w:after="40" w:before="40"/>
              <w:jc w:val="left"/>
            </w:pPr>
            <w:r/>
            <w:r>
              <w:rPr>
                <w:rFonts w:ascii="Times New Roman" w:hAnsi="Times New Roman" w:eastAsia="宋体"/>
                <w:b w:val="0"/>
                <w:sz w:val="21"/>
              </w:rPr>
              <w:t>初始多普勒字</w:t>
            </w:r>
          </w:p>
        </w:tc>
        <w:tc>
          <w:tcPr>
            <w:tcW w:type="dxa" w:w="6406"/>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宋体"/>
                <w:b w:val="0"/>
                <w:sz w:val="21"/>
              </w:rPr>
              <w:t>39360，约 +150 Hz，比信号源低约 100 Hz</w:t>
            </w:r>
          </w:p>
        </w:tc>
      </w:tr>
      <w:tr>
        <w:tc>
          <w:tcPr>
            <w:tcW w:type="dxa" w:w="2381"/>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left"/>
            </w:pPr>
            <w:r/>
            <w:r>
              <w:rPr>
                <w:rFonts w:ascii="Times New Roman" w:hAnsi="Times New Roman" w:eastAsia="宋体"/>
                <w:b w:val="0"/>
                <w:sz w:val="21"/>
              </w:rPr>
              <w:t>环路</w:t>
            </w:r>
          </w:p>
        </w:tc>
        <w:tc>
          <w:tcPr>
            <w:tcW w:type="dxa" w:w="6406"/>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center"/>
            </w:pPr>
            <w:r/>
            <w:r>
              <w:rPr>
                <w:rFonts w:ascii="Times New Roman" w:hAnsi="Times New Roman" w:eastAsia="宋体"/>
                <w:b w:val="0"/>
                <w:sz w:val="21"/>
              </w:rPr>
              <w:t>E／L 间隔 0.5 chip；FLL 保持使能；系数用默认值</w:t>
            </w:r>
          </w:p>
        </w:tc>
      </w:tr>
    </w:tbl>
    <w:p>
      <w:pPr>
        <w:spacing w:after="40"/>
      </w:pPr>
    </w:p>
    <w:p>
      <w:pPr>
        <w:spacing w:after="120" w:before="0" w:line="360" w:lineRule="auto"/>
        <w:ind w:firstLine="420"/>
        <w:jc w:val="both"/>
      </w:pPr>
      <w:r>
        <w:rPr>
          <w:rFonts w:ascii="Times New Roman" w:hAnsi="Times New Roman" w:eastAsia="宋体"/>
          <w:b w:val="0"/>
          <w:sz w:val="24"/>
        </w:rPr>
        <w:t>2 位编码与公开 IF2 的四电平不同，00 必须当作 0。默认参数在一次仿真里保持不变。</w:t>
      </w:r>
    </w:p>
    <w:p>
      <w:pPr>
        <w:spacing w:before="160" w:after="120" w:line="360" w:lineRule="auto"/>
      </w:pPr>
      <w:r>
        <w:rPr>
          <w:rFonts w:ascii="Times New Roman" w:hAnsi="Times New Roman" w:eastAsia="黑体"/>
          <w:b/>
          <w:sz w:val="28"/>
        </w:rPr>
        <w:t>A.2  数据边界与启动顺序</w:t>
      </w:r>
    </w:p>
    <w:p>
      <w:pPr>
        <w:spacing w:after="120" w:before="0" w:line="360" w:lineRule="auto"/>
        <w:ind w:firstLine="420"/>
        <w:jc w:val="both"/>
      </w:pPr>
      <w:r>
        <w:rPr>
          <w:rFonts w:ascii="Times New Roman" w:hAnsi="Times New Roman" w:eastAsia="宋体"/>
          <w:b w:val="0"/>
          <w:sz w:val="24"/>
        </w:rPr>
        <w:t>接收机只接 if_sample 和 if_valid。信号源的 dbg_* 端口悬空，不接进相关器、NCO 或环路。本地码由共用的 prn_code_gen 生成 PRN 6，写入通道码 RAM，不读取教师源里的码表。</w:t>
      </w:r>
    </w:p>
    <w:p>
      <w:pPr>
        <w:spacing w:after="120" w:before="0" w:line="360" w:lineRule="auto"/>
        <w:ind w:firstLine="420"/>
        <w:jc w:val="both"/>
      </w:pPr>
      <w:r>
        <w:rPr>
          <w:rFonts w:ascii="Times New Roman" w:hAnsi="Times New Roman" w:eastAsia="宋体"/>
          <w:b w:val="0"/>
          <w:sz w:val="24"/>
        </w:rPr>
        <w:t>启动顺序是：复位；写完码表；给 init_load 一个时钟，装入初始码相位、载波相位 0 和多普勒字 39360；再释放信号源复位。信号源先空出 4 个码片，这段 if_valid 为 0，通道不推进。第一个有效样本才是积分的时间起点。</w:t>
      </w:r>
    </w:p>
    <w:p>
      <w:pPr>
        <w:spacing w:after="120" w:before="0" w:line="360" w:lineRule="auto"/>
        <w:ind w:firstLine="420"/>
        <w:jc w:val="both"/>
      </w:pPr>
      <w:r>
        <w:rPr>
          <w:rFonts w:ascii="Times New Roman" w:hAnsi="Times New Roman" w:eastAsia="宋体"/>
          <w:b w:val="0"/>
          <w:sz w:val="24"/>
        </w:rPr>
        <w:t>装载后的第一个窗口不满 1 ms。该窗口的 dump 可以观察，环路不把它算进更新。此后每个完整窗口的结果在再下一个码周期边界生效。</w:t>
      </w:r>
    </w:p>
    <w:p>
      <w:pPr>
        <w:spacing w:before="160" w:after="120" w:line="360" w:lineRule="auto"/>
      </w:pPr>
      <w:r>
        <w:rPr>
          <w:rFonts w:ascii="Times New Roman" w:hAnsi="Times New Roman" w:eastAsia="黑体"/>
          <w:b/>
          <w:sz w:val="28"/>
        </w:rPr>
        <w:t>A.3  初始相位怎么摆</w:t>
      </w:r>
    </w:p>
    <w:p>
      <w:pPr>
        <w:spacing w:after="120" w:before="0" w:line="360" w:lineRule="auto"/>
        <w:ind w:firstLine="420"/>
        <w:jc w:val="both"/>
      </w:pPr>
      <w:r>
        <w:rPr>
          <w:rFonts w:ascii="Times New Roman" w:hAnsi="Times New Roman" w:eastAsia="宋体"/>
          <w:b w:val="0"/>
          <w:sz w:val="24"/>
        </w:rPr>
        <w:t>发送相位 10 与单星捕获读到的相位一致。0.15 chip 的超前量直接加在 48 位码相位的小数上，同时减去即将使用的码增量，使第一个有效样本的相位落在这个偏差上。码增量里已经含有初始多普勒 39360 对应的载波辅助项。</w:t>
      </w:r>
    </w:p>
    <w:p>
      <w:pPr>
        <w:spacing w:after="120" w:before="0" w:line="360" w:lineRule="auto"/>
        <w:ind w:firstLine="420"/>
        <w:jc w:val="both"/>
      </w:pPr>
      <w:r>
        <w:rPr>
          <w:rFonts w:ascii="Times New Roman" w:hAnsi="Times New Roman" w:eastAsia="宋体"/>
          <w:b w:val="0"/>
          <w:sz w:val="24"/>
        </w:rPr>
        <w:t>这样第一个完整积分就能看到 Early 与 Late 的不平衡，同时载波环要从约 150 Hz 拉向 250 Hz。初始多普勒字装在 facc 里，频率字从中频字 2^30 加上该字开始。</w:t>
      </w:r>
    </w:p>
    <w:p>
      <w:pPr>
        <w:spacing w:before="160" w:after="120" w:line="360" w:lineRule="auto"/>
      </w:pPr>
      <w:r>
        <w:rPr>
          <w:rFonts w:ascii="Times New Roman" w:hAnsi="Times New Roman" w:eastAsia="黑体"/>
          <w:b/>
          <w:sz w:val="28"/>
        </w:rPr>
        <w:t>A.4  观测量</w:t>
      </w:r>
    </w:p>
    <w:p>
      <w:pPr>
        <w:spacing w:after="120" w:before="0" w:line="360" w:lineRule="auto"/>
        <w:ind w:firstLine="420"/>
        <w:jc w:val="both"/>
      </w:pPr>
      <w:r>
        <w:rPr>
          <w:rFonts w:ascii="Times New Roman" w:hAnsi="Times New Roman" w:eastAsia="宋体"/>
          <w:b w:val="0"/>
          <w:sz w:val="24"/>
        </w:rPr>
        <w:t>环路内部的幅度仍是 |I| + |Q|／2，鉴别器仍是第 3、4 节的定点式。测试台另外用相关器原始 I、Q 做两组千分比，只用于观察和判定，不反馈回通道。</w:t>
      </w:r>
    </w:p>
    <w:p>
      <w:pPr>
        <w:spacing w:after="120" w:before="0" w:line="360" w:lineRule="auto"/>
        <w:jc w:val="both"/>
      </w:pPr>
      <w:r>
        <w:rPr>
          <w:rFonts w:ascii="Times New Roman" w:hAnsi="Times New Roman" w:eastAsia="宋体"/>
          <w:b w:val="0"/>
          <w:sz w:val="24"/>
        </w:rPr>
        <w:t>观察幅度取 |I| + |Q|。它和环路内部的近似模值不是同一个数。</w:t>
      </w:r>
    </w:p>
    <w:p>
      <w:pPr>
        <w:spacing w:after="120" w:before="0" w:line="360" w:lineRule="auto"/>
        <w:jc w:val="both"/>
      </w:pPr>
      <w:r>
        <w:rPr>
          <w:rFonts w:ascii="Times New Roman" w:hAnsi="Times New Roman" w:eastAsia="宋体"/>
          <w:b w:val="0"/>
          <w:sz w:val="24"/>
        </w:rPr>
        <w:t>el_permille = |E − L| × 1000 / (E + L)。100 表示两侧相差 10%。</w:t>
      </w:r>
    </w:p>
    <w:p>
      <w:pPr>
        <w:spacing w:after="120" w:before="0" w:line="360" w:lineRule="auto"/>
        <w:jc w:val="both"/>
      </w:pPr>
      <w:r>
        <w:rPr>
          <w:rFonts w:ascii="Times New Roman" w:hAnsi="Times New Roman" w:eastAsia="宋体"/>
          <w:b w:val="0"/>
          <w:sz w:val="24"/>
        </w:rPr>
        <w:t>iq_permille = |Q| × 1000 / (|I| + 1)。100 表示正交分量约为同相分量的 10%。</w:t>
      </w:r>
    </w:p>
    <w:p>
      <w:pPr>
        <w:spacing w:after="120" w:before="0" w:line="360" w:lineRule="auto"/>
        <w:jc w:val="both"/>
      </w:pPr>
      <w:r>
        <w:rPr>
          <w:rFonts w:ascii="Times New Roman" w:hAnsi="Times New Roman" w:eastAsia="宋体"/>
          <w:b w:val="0"/>
          <w:sz w:val="24"/>
        </w:rPr>
        <w:t>载波看多普勒字 facc。65600 对应约 249.99 Hz。把字截成整数赫兹时可能得到 249，判定以字为准，容差 3936，约 15 Hz。</w:t>
      </w:r>
    </w:p>
    <w:p>
      <w:pPr>
        <w:spacing w:after="120" w:before="0" w:line="360" w:lineRule="auto"/>
        <w:ind w:firstLine="420"/>
        <w:jc w:val="both"/>
      </w:pPr>
      <w:r>
        <w:rPr>
          <w:rFonts w:ascii="Times New Roman" w:hAnsi="Times New Roman" w:eastAsia="宋体"/>
          <w:b w:val="0"/>
          <w:sz w:val="24"/>
        </w:rPr>
        <w:t>同一 1 ms 里，Prompt 高于 Early 和 Late、el_permille 小于 100、iq_permille 小于 100、多普勒字落在容差内，才算这一毫秒跟踪到位。locked 可以同时显示，不能代替这四项。</w:t>
      </w:r>
    </w:p>
    <w:p>
      <w:pPr>
        <w:spacing w:after="120" w:before="0" w:line="360" w:lineRule="auto"/>
        <w:ind w:firstLine="420"/>
        <w:jc w:val="both"/>
      </w:pPr>
      <w:r>
        <w:rPr>
          <w:rFonts w:ascii="Times New Roman" w:hAnsi="Times New Roman" w:eastAsia="宋体"/>
          <w:b w:val="0"/>
          <w:sz w:val="24"/>
        </w:rPr>
        <w:t>Prompt 的 I 会随 NH 码和导航比特改变符号。Costas 和 FLL 都用符号校正，幅度和 iq_permille 不随这次翻转改变。</w:t>
      </w:r>
    </w:p>
    <w:p>
      <w:pPr>
        <w:spacing w:before="160" w:after="120" w:line="360" w:lineRule="auto"/>
      </w:pPr>
      <w:r>
        <w:rPr>
          <w:rFonts w:ascii="Times New Roman" w:hAnsi="Times New Roman" w:eastAsia="黑体"/>
          <w:b/>
          <w:sz w:val="28"/>
        </w:rPr>
        <w:t>A.5  接口与波形里看什么</w:t>
      </w:r>
    </w:p>
    <w:tbl>
      <w:tblPr>
        <w:tblW w:type="auto" w:w="0"/>
        <w:tblLayout w:type="autofit"/>
        <w:tblLook w:firstColumn="1" w:firstRow="1" w:lastColumn="0" w:lastRow="0" w:noHBand="0" w:noVBand="1" w:val="04A0"/>
      </w:tblPr>
      <w:tblGrid>
        <w:gridCol w:w="4536"/>
        <w:gridCol w:w="4536"/>
      </w:tblGrid>
      <w:tr>
        <w:tc>
          <w:tcPr>
            <w:tcW w:type="dxa" w:w="2948"/>
            <w:shd w:val="clear" w:color="auto" w:fill="E8EEF4"/>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黑体"/>
                <w:b/>
                <w:sz w:val="21"/>
              </w:rPr>
              <w:t>信号</w:t>
            </w:r>
          </w:p>
        </w:tc>
        <w:tc>
          <w:tcPr>
            <w:tcW w:type="dxa" w:w="5839"/>
            <w:shd w:val="clear" w:color="auto" w:fill="E8EEF4"/>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黑体"/>
                <w:b/>
                <w:sz w:val="21"/>
              </w:rPr>
              <w:t>含义</w:t>
            </w:r>
          </w:p>
        </w:tc>
      </w:tr>
      <w:tr>
        <w:tc>
          <w:tcPr>
            <w:tcW w:type="dxa" w:w="2948"/>
            <w:tcBorders>
              <w:top w:val="single" w:sz="4" w:space="0" w:color="666666"/>
              <w:left w:val="single" w:sz="4" w:space="0" w:color="666666"/>
              <w:bottom w:val="single" w:sz="4" w:space="0" w:color="666666"/>
              <w:right w:val="single" w:sz="4" w:space="0" w:color="666666"/>
            </w:tcBorders>
          </w:tcPr>
          <w:p>
            <w:pPr>
              <w:spacing w:after="40" w:before="40"/>
              <w:jc w:val="left"/>
            </w:pPr>
            <w:r/>
            <w:r>
              <w:rPr>
                <w:rFonts w:ascii="Times New Roman" w:hAnsi="Times New Roman" w:eastAsia="宋体"/>
                <w:b w:val="0"/>
                <w:sz w:val="21"/>
              </w:rPr>
              <w:t>if_sample、if_valid</w:t>
            </w:r>
          </w:p>
        </w:tc>
        <w:tc>
          <w:tcPr>
            <w:tcW w:type="dxa" w:w="5839"/>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宋体"/>
                <w:b w:val="0"/>
                <w:sz w:val="21"/>
              </w:rPr>
              <w:t>唯一进入通道的信号源输出</w:t>
            </w:r>
          </w:p>
        </w:tc>
      </w:tr>
      <w:tr>
        <w:tc>
          <w:tcPr>
            <w:tcW w:type="dxa" w:w="2948"/>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left"/>
            </w:pPr>
            <w:r/>
            <w:r>
              <w:rPr>
                <w:rFonts w:ascii="Times New Roman" w:hAnsi="Times New Roman" w:eastAsia="宋体"/>
                <w:b w:val="0"/>
                <w:sz w:val="21"/>
              </w:rPr>
              <w:t>dump_valid、dump_partial</w:t>
            </w:r>
          </w:p>
        </w:tc>
        <w:tc>
          <w:tcPr>
            <w:tcW w:type="dxa" w:w="5839"/>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center"/>
            </w:pPr>
            <w:r/>
            <w:r>
              <w:rPr>
                <w:rFonts w:ascii="Times New Roman" w:hAnsi="Times New Roman" w:eastAsia="宋体"/>
                <w:b w:val="0"/>
                <w:sz w:val="21"/>
              </w:rPr>
              <w:t>积分结束；dump_partial 为 1 的窗口不更新环路</w:t>
            </w:r>
          </w:p>
        </w:tc>
      </w:tr>
      <w:tr>
        <w:tc>
          <w:tcPr>
            <w:tcW w:type="dxa" w:w="2948"/>
            <w:tcBorders>
              <w:top w:val="single" w:sz="4" w:space="0" w:color="666666"/>
              <w:left w:val="single" w:sz="4" w:space="0" w:color="666666"/>
              <w:bottom w:val="single" w:sz="4" w:space="0" w:color="666666"/>
              <w:right w:val="single" w:sz="4" w:space="0" w:color="666666"/>
            </w:tcBorders>
          </w:tcPr>
          <w:p>
            <w:pPr>
              <w:spacing w:after="40" w:before="40"/>
              <w:jc w:val="left"/>
            </w:pPr>
            <w:r/>
            <w:r>
              <w:rPr>
                <w:rFonts w:ascii="Times New Roman" w:hAnsi="Times New Roman" w:eastAsia="宋体"/>
                <w:b w:val="0"/>
                <w:sz w:val="21"/>
              </w:rPr>
              <w:t>i_p、q_p 及 E／L 的 I、Q</w:t>
            </w:r>
          </w:p>
        </w:tc>
        <w:tc>
          <w:tcPr>
            <w:tcW w:type="dxa" w:w="5839"/>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宋体"/>
                <w:b w:val="0"/>
                <w:sz w:val="21"/>
              </w:rPr>
              <w:t>原始相关累加，观察幅度由它们取绝对值后相加</w:t>
            </w:r>
          </w:p>
        </w:tc>
      </w:tr>
      <w:tr>
        <w:tc>
          <w:tcPr>
            <w:tcW w:type="dxa" w:w="2948"/>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left"/>
            </w:pPr>
            <w:r/>
            <w:r>
              <w:rPr>
                <w:rFonts w:ascii="Times New Roman" w:hAnsi="Times New Roman" w:eastAsia="宋体"/>
                <w:b w:val="0"/>
                <w:sz w:val="21"/>
              </w:rPr>
              <w:t>d_dll、d_pll、d_fll</w:t>
            </w:r>
          </w:p>
        </w:tc>
        <w:tc>
          <w:tcPr>
            <w:tcW w:type="dxa" w:w="5839"/>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center"/>
            </w:pPr>
            <w:r/>
            <w:r>
              <w:rPr>
                <w:rFonts w:ascii="Times New Roman" w:hAnsi="Times New Roman" w:eastAsia="宋体"/>
                <w:b w:val="0"/>
                <w:sz w:val="21"/>
              </w:rPr>
              <w:t>三个鉴别器的 16 位定点输出</w:t>
            </w:r>
          </w:p>
        </w:tc>
      </w:tr>
      <w:tr>
        <w:tc>
          <w:tcPr>
            <w:tcW w:type="dxa" w:w="2948"/>
            <w:tcBorders>
              <w:top w:val="single" w:sz="4" w:space="0" w:color="666666"/>
              <w:left w:val="single" w:sz="4" w:space="0" w:color="666666"/>
              <w:bottom w:val="single" w:sz="4" w:space="0" w:color="666666"/>
              <w:right w:val="single" w:sz="4" w:space="0" w:color="666666"/>
            </w:tcBorders>
          </w:tcPr>
          <w:p>
            <w:pPr>
              <w:spacing w:after="40" w:before="40"/>
              <w:jc w:val="left"/>
            </w:pPr>
            <w:r/>
            <w:r>
              <w:rPr>
                <w:rFonts w:ascii="Times New Roman" w:hAnsi="Times New Roman" w:eastAsia="宋体"/>
                <w:b w:val="0"/>
                <w:sz w:val="21"/>
              </w:rPr>
              <w:t>dop_word、freq_word</w:t>
            </w:r>
          </w:p>
        </w:tc>
        <w:tc>
          <w:tcPr>
            <w:tcW w:type="dxa" w:w="5839"/>
            <w:tcBorders>
              <w:top w:val="single" w:sz="4" w:space="0" w:color="666666"/>
              <w:left w:val="single" w:sz="4" w:space="0" w:color="666666"/>
              <w:bottom w:val="single" w:sz="4" w:space="0" w:color="666666"/>
              <w:right w:val="single" w:sz="4" w:space="0" w:color="666666"/>
            </w:tcBorders>
          </w:tcPr>
          <w:p>
            <w:pPr>
              <w:spacing w:after="40" w:before="40"/>
              <w:jc w:val="center"/>
            </w:pPr>
            <w:r/>
            <w:r>
              <w:rPr>
                <w:rFonts w:ascii="Times New Roman" w:hAnsi="Times New Roman" w:eastAsia="宋体"/>
                <w:b w:val="0"/>
                <w:sz w:val="21"/>
              </w:rPr>
              <w:t>载波积分字，以及中频字加积分字再加 PLL 比例项</w:t>
            </w:r>
          </w:p>
        </w:tc>
      </w:tr>
      <w:tr>
        <w:tc>
          <w:tcPr>
            <w:tcW w:type="dxa" w:w="2948"/>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left"/>
            </w:pPr>
            <w:r/>
            <w:r>
              <w:rPr>
                <w:rFonts w:ascii="Times New Roman" w:hAnsi="Times New Roman" w:eastAsia="宋体"/>
                <w:b w:val="0"/>
                <w:sz w:val="21"/>
              </w:rPr>
              <w:t>locked</w:t>
            </w:r>
          </w:p>
        </w:tc>
        <w:tc>
          <w:tcPr>
            <w:tcW w:type="dxa" w:w="5839"/>
            <w:tcBorders>
              <w:top w:val="single" w:sz="4" w:space="0" w:color="666666"/>
              <w:left w:val="single" w:sz="4" w:space="0" w:color="666666"/>
              <w:bottom w:val="single" w:sz="4" w:space="0" w:color="666666"/>
              <w:right w:val="single" w:sz="4" w:space="0" w:color="666666"/>
            </w:tcBorders>
            <w:shd w:val="clear" w:color="auto" w:fill="F7F9FB"/>
          </w:tcPr>
          <w:p>
            <w:pPr>
              <w:spacing w:after="40" w:before="40"/>
              <w:jc w:val="center"/>
            </w:pPr>
            <w:r/>
            <w:r>
              <w:rPr>
                <w:rFonts w:ascii="Times New Roman" w:hAnsi="Times New Roman" w:eastAsia="宋体"/>
                <w:b w:val="0"/>
                <w:sz w:val="21"/>
              </w:rPr>
              <w:t>第 5 节的滞回标志，只作辅助</w:t>
            </w:r>
          </w:p>
        </w:tc>
      </w:tr>
    </w:tbl>
    <w:p>
      <w:pPr>
        <w:spacing w:after="40"/>
      </w:pPr>
    </w:p>
    <w:p>
      <w:pPr>
        <w:spacing w:after="120" w:before="0" w:line="360" w:lineRule="auto"/>
        <w:ind w:firstLine="420"/>
        <w:jc w:val="both"/>
      </w:pPr>
      <w:r>
        <w:rPr>
          <w:rFonts w:ascii="Times New Roman" w:hAnsi="Times New Roman" w:eastAsia="宋体"/>
          <w:b w:val="0"/>
          <w:sz w:val="24"/>
        </w:rPr>
        <w:t>freq_word 用十六进制看。它的主体是中频字 0x40000000，多普勒只占低位，换成模拟刻度后看不出 250 Hz。</w:t>
      </w:r>
    </w:p>
    <w:p>
      <w:pPr>
        <w:spacing w:before="160" w:after="120" w:line="360" w:lineRule="auto"/>
      </w:pPr>
      <w:r>
        <w:rPr>
          <w:rFonts w:ascii="Times New Roman" w:hAnsi="Times New Roman" w:eastAsia="黑体"/>
          <w:b/>
          <w:sz w:val="28"/>
        </w:rPr>
        <w:t>A.6  适用范围</w:t>
      </w:r>
    </w:p>
    <w:p>
      <w:pPr>
        <w:spacing w:after="120" w:before="0" w:line="360" w:lineRule="auto"/>
        <w:ind w:firstLine="420"/>
        <w:jc w:val="both"/>
      </w:pPr>
      <w:r>
        <w:rPr>
          <w:rFonts w:ascii="Times New Roman" w:hAnsi="Times New Roman" w:eastAsia="宋体"/>
          <w:b w:val="0"/>
          <w:sz w:val="24"/>
        </w:rPr>
        <w:t>本接入只覆盖 PRN 6、无噪声、载波多普勒固定为 +250 Hz 的一次输入。它说明现有通道能够从 0.15 chip 码误差和约 100 Hz 频率误差上闭合，不代替多星、低载噪比或动态多普勒下的统计。门限和容差写在测试台里，通道本身不做除法判决。</w:t>
      </w:r>
    </w:p>
    <w:p>
      <w:pPr>
        <w:spacing w:after="120" w:before="0" w:line="360" w:lineRule="auto"/>
        <w:ind w:firstLine="420"/>
        <w:jc w:val="both"/>
      </w:pPr>
      <w:r>
        <w:rPr>
          <w:rFonts w:ascii="Times New Roman" w:hAnsi="Times New Roman" w:eastAsia="宋体"/>
          <w:b w:val="0"/>
          <w:sz w:val="24"/>
        </w:rPr>
        <w:t>实现讲解可依次看 tracking_channel.sv 的装载与 dump_partial，track_loop.sv 的幅度、三个鉴别器和 pend_freq_word，以及 code_nco.sv 的回绕。仿真入口、通过条件和五张波形见 02_码跟踪实验报告。</w:t>
      </w:r>
    </w:p>
    <w:sectPr w:rsidR="00FC693F" w:rsidRPr="0006063C" w:rsidSect="00034616">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