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NEXUS 数据资产平台软件参数文档</w:t>
      </w:r>
    </w:p>
    <w:p>
      <w:r>
        <w:t xml:space="preserve">版本：V1.0  </w:t>
      </w:r>
    </w:p>
    <w:p>
      <w:r>
        <w:t xml:space="preserve">适用范围：NEXUS P0 单节点部署、试点环境建设及软件验收  </w:t>
      </w:r>
    </w:p>
    <w:p>
      <w:r>
        <w:t xml:space="preserve">产品形态：企业级 Web 数据与知识资产管理平台</w:t>
      </w:r>
    </w:p>
    <w:p>
      <w:pPr>
        <w:pStyle w:val="Heading1"/>
      </w:pPr>
      <w:r>
        <w:t xml:space="preserve">一、软件整体要求</w:t>
      </w:r>
    </w:p>
    <w:p>
      <w:pPr>
        <w:pStyle w:val="Heading2"/>
      </w:pPr>
      <w:r>
        <w:t xml:space="preserve">1.1 总体架构要求</w:t>
      </w:r>
    </w:p>
    <w:p>
      <w:r>
        <w:t xml:space="preserve">NEXUS 应采用前后端分离、服务化和适配器解耦的架构，形成“数据接入 → 接入校验 → 资产化 → 解析/标准化 → AI 治理 → 规则护栏 → 知识切片/索引 → 权限过滤检索”的完整链路。文档处理 Pipeline 和结构化记录处理 Pipeline 必须在作业创建时明确路由，Worker 不得根据运行时数据临时推断处理类型。</w:t>
      </w:r>
    </w:p>
    <w:p>
      <w:r>
        <w:t xml:space="preserve">平台应区分 `assetize` 与 `normalize` 两个阶段：前者创建资产和版本锚点，后者生成统一的 `normalized_document` 或 `normalized_record`。治理输入只能是 `normalized_asset_ref`，不得直接使用原始文件、原始 JSON 或 MinerU 原始输出；治理结果和知识切片均应能够回溯到标准化引用、版本和原始对象。</w:t>
      </w:r>
    </w:p>
    <w:p>
      <w:pPr>
        <w:pStyle w:val="Heading2"/>
      </w:pPr>
      <w:r>
        <w:t xml:space="preserve">1.2 软件与中间件基线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800" w:type="dxa"/>
          </w:tcPr>
          <w:p>
            <w:r>
              <w:rPr>
                <w:b/>
              </w:rPr>
              <w:t xml:space="preserve">软件层</w:t>
            </w:r>
          </w:p>
        </w:tc>
        <w:tc>
          <w:tcPr>
            <w:tcW w:w="4800" w:type="dxa"/>
          </w:tcPr>
          <w:p>
            <w:r>
              <w:rPr>
                <w:b/>
              </w:rPr>
              <w:t xml:space="preserve">要求</w:t>
            </w:r>
          </w:p>
        </w:tc>
      </w:tr>
      <w:tr>
        <w:tc>
          <w:tcPr>
            <w:tcW w:w="4800" w:type="dxa"/>
          </w:tcPr>
          <w:p>
            <w:r>
              <w:t xml:space="preserve">后端控制面</w:t>
            </w:r>
          </w:p>
        </w:tc>
        <w:tc>
          <w:tcPr>
            <w:tcW w:w="4800" w:type="dxa"/>
          </w:tcPr>
          <w:p>
            <w:r>
              <w:t xml:space="preserve">Python 3.11、FastAPI 0.115+、Pydantic v2、SQLAlchemy 2.x、Alembic</w:t>
            </w:r>
          </w:p>
        </w:tc>
      </w:tr>
      <w:tr>
        <w:tc>
          <w:tcPr>
            <w:tcW w:w="4800" w:type="dxa"/>
          </w:tcPr>
          <w:p>
            <w:r>
              <w:t xml:space="preserve">依赖管理</w:t>
            </w:r>
          </w:p>
        </w:tc>
        <w:tc>
          <w:tcPr>
            <w:tcW w:w="4800" w:type="dxa"/>
          </w:tcPr>
          <w:p>
            <w:r>
              <w:t xml:space="preserve">使用 `pyproject.toml` 和 `uv.lock`，通过 uv 管理 Python 依赖</w:t>
            </w:r>
          </w:p>
        </w:tc>
      </w:tr>
      <w:tr>
        <w:tc>
          <w:tcPr>
            <w:tcW w:w="4800" w:type="dxa"/>
          </w:tcPr>
          <w:p>
            <w:r>
              <w:t xml:space="preserve">前端控制台</w:t>
            </w:r>
          </w:p>
        </w:tc>
        <w:tc>
          <w:tcPr>
            <w:tcW w:w="4800" w:type="dxa"/>
          </w:tcPr>
          <w:p>
            <w:r>
              <w:t xml:space="preserve">React 19、Next.js 16 App Router、TypeScript</w:t>
            </w:r>
          </w:p>
        </w:tc>
      </w:tr>
      <w:tr>
        <w:tc>
          <w:tcPr>
            <w:tcW w:w="4800" w:type="dxa"/>
          </w:tcPr>
          <w:p>
            <w:r>
              <w:t xml:space="preserve">数据库</w:t>
            </w:r>
          </w:p>
        </w:tc>
        <w:tc>
          <w:tcPr>
            <w:tcW w:w="4800" w:type="dxa"/>
          </w:tcPr>
          <w:p>
            <w:r>
              <w:t xml:space="preserve">PostgreSQL 15+，启用 pgvector 扩展</w:t>
            </w:r>
          </w:p>
        </w:tc>
      </w:tr>
      <w:tr>
        <w:tc>
          <w:tcPr>
            <w:tcW w:w="4800" w:type="dxa"/>
          </w:tcPr>
          <w:p>
            <w:r>
              <w:t xml:space="preserve">对象存储</w:t>
            </w:r>
          </w:p>
        </w:tc>
        <w:tc>
          <w:tcPr>
            <w:tcW w:w="4800" w:type="dxa"/>
          </w:tcPr>
          <w:p>
            <w:r>
              <w:t xml:space="preserve">MinIO，保存原始对象、解析工件、图片和标准化文件</w:t>
            </w:r>
          </w:p>
        </w:tc>
      </w:tr>
      <w:tr>
        <w:tc>
          <w:tcPr>
            <w:tcW w:w="4800" w:type="dxa"/>
          </w:tcPr>
          <w:p>
            <w:r>
              <w:t xml:space="preserve">异步作业</w:t>
            </w:r>
          </w:p>
        </w:tc>
        <w:tc>
          <w:tcPr>
            <w:tcW w:w="4800" w:type="dxa"/>
          </w:tcPr>
          <w:p>
            <w:r>
              <w:t xml:space="preserve">PostgreSQL Job 表 + 后台 Worker 轮询；支持行级领取、锁租约、心跳、重试、退避和死信状态</w:t>
            </w:r>
          </w:p>
        </w:tc>
      </w:tr>
      <w:tr>
        <w:tc>
          <w:tcPr>
            <w:tcW w:w="4800" w:type="dxa"/>
          </w:tcPr>
          <w:p>
            <w:r>
              <w:t xml:space="preserve">文档解析</w:t>
            </w:r>
          </w:p>
        </w:tc>
        <w:tc>
          <w:tcPr>
            <w:tcW w:w="4800" w:type="dxa"/>
          </w:tcPr>
          <w:p>
            <w:r>
              <w:t xml:space="preserve">MinerU，按 MIME 类型自动选择 `pipeline`、`vlm` 或 `MinerU-HTML`；图片、PDF、TIFF 自动启用 OCR</w:t>
            </w:r>
          </w:p>
        </w:tc>
      </w:tr>
      <w:tr>
        <w:tc>
          <w:tcPr>
            <w:tcW w:w="4800" w:type="dxa"/>
          </w:tcPr>
          <w:p>
            <w:r>
              <w:t xml:space="preserve">AI 网关</w:t>
            </w:r>
          </w:p>
        </w:tc>
        <w:tc>
          <w:tcPr>
            <w:tcW w:w="4800" w:type="dxa"/>
          </w:tcPr>
          <w:p>
            <w:r>
              <w:t xml:space="preserve">使用既有 LiteLLM，负责模型路由、供应商适配、凭据和网关侧限制；NEXUS 不建设独立 AI 网关</w:t>
            </w:r>
          </w:p>
        </w:tc>
      </w:tr>
      <w:tr>
        <w:tc>
          <w:tcPr>
            <w:tcW w:w="4800" w:type="dxa"/>
          </w:tcPr>
          <w:p>
            <w:r>
              <w:t xml:space="preserve">检索服务</w:t>
            </w:r>
          </w:p>
        </w:tc>
        <w:tc>
          <w:tcPr>
            <w:tcW w:w="4800" w:type="dxa"/>
          </w:tcPr>
          <w:p>
            <w:r>
              <w:t xml:space="preserve">通过检索适配器接入；P0 默认采用 PostgreSQL pgvector，向量后端可按规模扩展替换</w:t>
            </w:r>
          </w:p>
        </w:tc>
      </w:tr>
      <w:tr>
        <w:tc>
          <w:tcPr>
            <w:tcW w:w="4800" w:type="dxa"/>
          </w:tcPr>
          <w:p>
            <w:r>
              <w:t xml:space="preserve">向量模型</w:t>
            </w:r>
          </w:p>
        </w:tc>
        <w:tc>
          <w:tcPr>
            <w:tcW w:w="4800" w:type="dxa"/>
          </w:tcPr>
          <w:p>
            <w:r>
              <w:t xml:space="preserve">`bge-large-zh-v1.5`，重排模型使用 `bge-reranker-large`</w:t>
            </w:r>
          </w:p>
        </w:tc>
      </w:tr>
      <w:tr>
        <w:tc>
          <w:tcPr>
            <w:tcW w:w="4800" w:type="dxa"/>
          </w:tcPr>
          <w:p>
            <w:r>
              <w:t xml:space="preserve">缓存</w:t>
            </w:r>
          </w:p>
        </w:tc>
        <w:tc>
          <w:tcPr>
            <w:tcW w:w="4800" w:type="dxa"/>
          </w:tcPr>
          <w:p>
            <w:r>
              <w:t xml:space="preserve">P0 使用进程内 TTL 缓存；Redis 为后续扩展组件，不作为 P0 必选依赖</w:t>
            </w:r>
          </w:p>
        </w:tc>
      </w:tr>
    </w:tbl>
    <w:p>
      <w:pPr>
        <w:pStyle w:val="Heading2"/>
      </w:pPr>
      <w:r>
        <w:t xml:space="preserve">1.3 数据、安全与审计要求</w:t>
      </w:r>
    </w:p>
    <w:p>
      <w:r>
        <w:t xml:space="preserve">平台应使用本地 `identity-org-service` 管理用户、角色、API Caller、API Key 和组织范围，钉钉组织同步为可选适配。访问控制采用 RBAC、组织范围和数据分级联合过滤，权限过滤必须发生在检索和 API 返回前。</w:t>
      </w:r>
    </w:p>
    <w:p>
      <w:r>
        <w:t xml:space="preserve">导入数据默认按 L1/L2 处理。L3/L4 仅在存在明确高敏感证据、审批和规则依据时启用复核、脱敏和授权控制。未经批准的 L3/L4 明文不得发送给外部模型。日志不得记录 API Key、敏感明文或大段原始内容。</w:t>
      </w:r>
    </w:p>
    <w:p>
      <w:r>
        <w:t xml:space="preserve">Prompt、规则、治理结果、版本状态、权限、API Key、AI 采纳和人工覆盖等变更必须记录审计事件。接入批次、原始对象持久化、接入校验完成、版本状态变化和 Pipeline 失败应具备标准事件和 `trace_id`。</w:t>
      </w:r>
    </w:p>
    <w:p>
      <w:pPr>
        <w:pStyle w:val="Heading2"/>
      </w:pPr>
      <w:r>
        <w:t xml:space="preserve">1.4 性能与质量指标</w:t>
      </w:r>
    </w:p>
    <w:p>
      <w:r>
        <w:t xml:space="preserve">在基准部署和正常负载下，资产列表接口 P95 应小于 200 ms，资产详情接口 P95 应小于 150 ms，检索接口 P95 应小于 1 s，问答接口 P95 应小于 5 s。小批量数据从接入到可检索目标小于 15 分钟，单资产 AI 治理 P95 小于 30 秒（不含解析和索引）。</w:t>
      </w:r>
    </w:p>
    <w:p>
      <w:r>
        <w:t xml:space="preserve">平台应达到标准化资产、治理决策、AI 运行、质量评分和关键操作审计 100% 可追溯；权限泄露率为 0；MinerU 解析成功率不低于 95%；问答结果引用覆盖率为 100%。</w:t>
      </w:r>
    </w:p>
    <w:p>
      <w:pPr>
        <w:pStyle w:val="Heading1"/>
      </w:pPr>
      <w:r>
        <w:t xml:space="preserve">二、功能模块要求</w:t>
      </w:r>
    </w:p>
    <w:p>
      <w:r>
        <w:t xml:space="preserve">功能模块以 `nexus-console` 实际导航为准，导航分为总览、数据工程、资产与治理、访问与审计、个人工作五组。</w:t>
      </w:r>
    </w:p>
    <w:p>
      <w:pPr>
        <w:pStyle w:val="Heading2"/>
      </w:pPr>
      <w:r>
        <w:t xml:space="preserve">2.1 总览</w:t>
      </w:r>
    </w:p>
    <w:p>
      <w:r>
        <w:t xml:space="preserve">工作台：展示接入批次、原始对象、标准化、AI 治理、待复核、作业和基础运行状态等概览，支持从异常或待办直接跳转到对应模块。</w:t>
      </w:r>
    </w:p>
    <w:p>
      <w:pPr>
        <w:pStyle w:val="Heading2"/>
      </w:pPr>
      <w:r>
        <w:t xml:space="preserve">2.2 数据工程</w:t>
      </w:r>
    </w:p>
    <w:p>
      <w:r>
        <w:t xml:space="preserve">数据源：支持本地文件、NAS、Crawler、数据库和 API 推送等数据源登记，维护来源信息和默认治理提示。  </w:t>
      </w:r>
    </w:p>
    <w:p>
      <w:r>
        <w:t xml:space="preserve">原始数据台账：查看接入批次、原始对象、校验摘要、校验和及追溯/回放入口。  </w:t>
      </w:r>
    </w:p>
    <w:p>
      <w:r>
        <w:t xml:space="preserve">作业中心：展示作业阶段、关联对象、失败原因和重试次数，支持重试、重处理、重治理和失败定位。</w:t>
      </w:r>
    </w:p>
    <w:p>
      <w:pPr>
        <w:pStyle w:val="Heading2"/>
      </w:pPr>
      <w:r>
        <w:t xml:space="preserve">2.3 资产与治理</w:t>
      </w:r>
    </w:p>
    <w:p>
      <w:r>
        <w:t xml:space="preserve">资产目录：提供资产列表、当前版本读模型、版本历史、标准化引用、标签、组织范围和索引状态查询。  </w:t>
      </w:r>
    </w:p>
    <w:p>
      <w:r>
        <w:t xml:space="preserve">治理审核：对 `review_required` 资产提交最终分类、分级、标签、质量处置、组织范围和复核原因。  </w:t>
      </w:r>
    </w:p>
    <w:p>
      <w:r>
        <w:t xml:space="preserve">治理追踪：查看 AI 治理运行、建议、置信度、质量评分、规则命中、决策轨迹和正式治理结果。  </w:t>
      </w:r>
    </w:p>
    <w:p>
      <w:r>
        <w:t xml:space="preserve">规则配置：维护分类、分级、标签、质量评分和知识类型规则；保存后对后续治理运行生效，并进行 Schema 校验、ETag 并发控制和审计。  </w:t>
      </w:r>
    </w:p>
    <w:p>
      <w:r>
        <w:t xml:space="preserve">治理 Prompt：维护治理流水线各任务类型的 Prompt 模板，编辑生成新版本并归档旧版本。  </w:t>
      </w:r>
    </w:p>
    <w:p>
      <w:r>
        <w:t xml:space="preserve">AI Prompt：维护 AI 治理和质量评分 Prompt 配置、LiteLLM 别名引用、输出 Schema 版本等，不提供模型密钥和网关路由管理。</w:t>
      </w:r>
    </w:p>
    <w:p>
      <w:pPr>
        <w:pStyle w:val="Heading2"/>
      </w:pPr>
      <w:r>
        <w:t xml:space="preserve">2.4 访问与审计</w:t>
      </w:r>
    </w:p>
    <w:p>
      <w:r>
        <w:t xml:space="preserve">权限与审计：维护本地用户、角色、组织范围、API Key、审批和审计日志。  </w:t>
      </w:r>
    </w:p>
    <w:p>
      <w:r>
        <w:t xml:space="preserve">API Caller：维护上层系统调用主体、凭据、接口权限和启停状态。  </w:t>
      </w:r>
    </w:p>
    <w:p>
      <w:r>
        <w:t xml:space="preserve">智能检索：提供权限范围内的资产检索和问答，结果必须返回来源资产、版本、标准化引用和知识切片定位。  </w:t>
      </w:r>
    </w:p>
    <w:p>
      <w:r>
        <w:t xml:space="preserve">检索联调：用于管理员和业务专家验证召回、过滤、重排、引用和调用方权限模拟，不改变正式治理结果。</w:t>
      </w:r>
    </w:p>
    <w:p>
      <w:pPr>
        <w:pStyle w:val="Heading2"/>
      </w:pPr>
      <w:r>
        <w:t xml:space="preserve">2.5 个人工作</w:t>
      </w:r>
    </w:p>
    <w:p>
      <w:r>
        <w:t xml:space="preserve">我的工作区：汇总当前用户的待办、复核任务、近期处理记录和个人关注内容。</w:t>
      </w:r>
    </w:p>
    <w:p>
      <w:pPr>
        <w:pStyle w:val="Heading1"/>
      </w:pPr>
      <w:r>
        <w:t xml:space="preserve">三、硬件配置要求</w:t>
      </w:r>
    </w:p>
    <w:p>
      <w:pPr>
        <w:pStyle w:val="Heading2"/>
      </w:pPr>
      <w:r>
        <w:t xml:space="preserve">3.1 P0 单节点推荐配置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800" w:type="dxa"/>
          </w:tcPr>
          <w:p>
            <w:r>
              <w:rPr>
                <w:b/>
              </w:rPr>
              <w:t xml:space="preserve">设备项</w:t>
            </w:r>
          </w:p>
        </w:tc>
        <w:tc>
          <w:tcPr>
            <w:tcW w:w="4800" w:type="dxa"/>
          </w:tcPr>
          <w:p>
            <w:r>
              <w:rPr>
                <w:b/>
              </w:rPr>
              <w:t xml:space="preserve">推荐配置</w:t>
            </w:r>
          </w:p>
        </w:tc>
        <w:tc>
          <w:tcPr>
            <w:tcW w:w="4800" w:type="dxa"/>
          </w:tcPr>
          <w:p>
            <w:r>
              <w:rPr>
                <w:b/>
              </w:rPr>
              <w:t xml:space="preserve">用途说明</w:t>
            </w:r>
          </w:p>
        </w:tc>
      </w:tr>
      <w:tr>
        <w:tc>
          <w:tcPr>
            <w:tcW w:w="4800" w:type="dxa"/>
          </w:tcPr>
          <w:p>
            <w:r>
              <w:t xml:space="preserve">CPU</w:t>
            </w:r>
          </w:p>
        </w:tc>
        <w:tc>
          <w:tcPr>
            <w:tcW w:w="4800" w:type="dxa"/>
          </w:tcPr>
          <w:p>
            <w:r>
              <w:t xml:space="preserve">16 核，主频不低于 2.4 GHz</w:t>
            </w:r>
          </w:p>
        </w:tc>
        <w:tc>
          <w:tcPr>
            <w:tcW w:w="4800" w:type="dxa"/>
          </w:tcPr>
          <w:p>
            <w:r>
              <w:t xml:space="preserve">API、Worker、标准化和索引任务的并行处理</w:t>
            </w:r>
          </w:p>
        </w:tc>
      </w:tr>
      <w:tr>
        <w:tc>
          <w:tcPr>
            <w:tcW w:w="4800" w:type="dxa"/>
          </w:tcPr>
          <w:p>
            <w:r>
              <w:t xml:space="preserve">内存</w:t>
            </w:r>
          </w:p>
        </w:tc>
        <w:tc>
          <w:tcPr>
            <w:tcW w:w="4800" w:type="dxa"/>
          </w:tcPr>
          <w:p>
            <w:r>
              <w:t xml:space="preserve">64 GB 及以上</w:t>
            </w:r>
          </w:p>
        </w:tc>
        <w:tc>
          <w:tcPr>
            <w:tcW w:w="4800" w:type="dxa"/>
          </w:tcPr>
          <w:p>
            <w:r>
              <w:t xml:space="preserve">PostgreSQL、应用服务、Worker 和解析任务运行</w:t>
            </w:r>
          </w:p>
        </w:tc>
      </w:tr>
      <w:tr>
        <w:tc>
          <w:tcPr>
            <w:tcW w:w="4800" w:type="dxa"/>
          </w:tcPr>
          <w:p>
            <w:r>
              <w:t xml:space="preserve">GPU</w:t>
            </w:r>
          </w:p>
        </w:tc>
        <w:tc>
          <w:tcPr>
            <w:tcW w:w="4800" w:type="dxa"/>
          </w:tcPr>
          <w:p>
            <w:r>
              <w:t xml:space="preserve">显存 48 GB 及以上</w:t>
            </w:r>
          </w:p>
        </w:tc>
        <w:tc>
          <w:tcPr>
            <w:tcW w:w="4800" w:type="dxa"/>
          </w:tcPr>
          <w:p>
            <w:r>
              <w:t xml:space="preserve">MinerU `vlm`/HTML 解析及需要 GPU 的文档任务；无复杂任务时可降配但会降低吞吐</w:t>
            </w:r>
          </w:p>
        </w:tc>
      </w:tr>
      <w:tr>
        <w:tc>
          <w:tcPr>
            <w:tcW w:w="4800" w:type="dxa"/>
          </w:tcPr>
          <w:p>
            <w:r>
              <w:t xml:space="preserve">系统盘</w:t>
            </w:r>
          </w:p>
        </w:tc>
        <w:tc>
          <w:tcPr>
            <w:tcW w:w="4800" w:type="dxa"/>
          </w:tcPr>
          <w:p>
            <w:r>
              <w:t xml:space="preserve">SSD 480 GB 及以上</w:t>
            </w:r>
          </w:p>
        </w:tc>
        <w:tc>
          <w:tcPr>
            <w:tcW w:w="4800" w:type="dxa"/>
          </w:tcPr>
          <w:p>
            <w:r>
              <w:t xml:space="preserve">操作系统、容器、日志和运行时文件</w:t>
            </w:r>
          </w:p>
        </w:tc>
      </w:tr>
      <w:tr>
        <w:tc>
          <w:tcPr>
            <w:tcW w:w="4800" w:type="dxa"/>
          </w:tcPr>
          <w:p>
            <w:r>
              <w:t xml:space="preserve">数据盘</w:t>
            </w:r>
          </w:p>
        </w:tc>
        <w:tc>
          <w:tcPr>
            <w:tcW w:w="4800" w:type="dxa"/>
          </w:tcPr>
          <w:p>
            <w:r>
              <w:t xml:space="preserve">企业级 SSD 2 TB 及以上，可扩展</w:t>
            </w:r>
          </w:p>
        </w:tc>
        <w:tc>
          <w:tcPr>
            <w:tcW w:w="4800" w:type="dxa"/>
          </w:tcPr>
          <w:p>
            <w:r>
              <w:t xml:space="preserve">PostgreSQL 数据、MinIO 对象、解析结果、图片和索引投影</w:t>
            </w:r>
          </w:p>
        </w:tc>
      </w:tr>
      <w:tr>
        <w:tc>
          <w:tcPr>
            <w:tcW w:w="4800" w:type="dxa"/>
          </w:tcPr>
          <w:p>
            <w:r>
              <w:t xml:space="preserve">网络</w:t>
            </w:r>
          </w:p>
        </w:tc>
        <w:tc>
          <w:tcPr>
            <w:tcW w:w="4800" w:type="dxa"/>
          </w:tcPr>
          <w:p>
            <w:r>
              <w:t xml:space="preserve">千兆以太网，建议万兆上联</w:t>
            </w:r>
          </w:p>
        </w:tc>
        <w:tc>
          <w:tcPr>
            <w:tcW w:w="4800" w:type="dxa"/>
          </w:tcPr>
          <w:p>
            <w:r>
              <w:t xml:space="preserve">文件上传、对象存储、模型服务和上层 API 访问</w:t>
            </w:r>
          </w:p>
        </w:tc>
      </w:tr>
      <w:tr>
        <w:tc>
          <w:tcPr>
            <w:tcW w:w="4800" w:type="dxa"/>
          </w:tcPr>
          <w:p>
            <w:r>
              <w:t xml:space="preserve">操作系统</w:t>
            </w:r>
          </w:p>
        </w:tc>
        <w:tc>
          <w:tcPr>
            <w:tcW w:w="4800" w:type="dxa"/>
          </w:tcPr>
          <w:p>
            <w:r>
              <w:t xml:space="preserve">64 位 Linux，建议 Ubuntu Server 22.04 LTS 或同等级发行版</w:t>
            </w:r>
          </w:p>
        </w:tc>
        <w:tc>
          <w:tcPr>
            <w:tcW w:w="4800" w:type="dxa"/>
          </w:tcPr>
          <w:p>
            <w:r>
              <w:t xml:space="preserve">运行数据库、容器、Worker 和 MinerU</w:t>
            </w:r>
          </w:p>
        </w:tc>
      </w:tr>
    </w:tbl>
    <w:p>
      <w:pPr>
        <w:pStyle w:val="Heading2"/>
      </w:pPr>
      <w:r>
        <w:t xml:space="preserve">3.2 单节点并发建议</w:t>
      </w:r>
    </w:p>
    <w:p>
      <w:r>
        <w:t xml:space="preserve">推荐同时运行 8-12 个 Pipeline 作业，P0 上限为 16 个；MinerU 文档解析建议并发 2-4 个、上限 4 个；结构化标准化建议并发 4-8 个；AI 治理/质量任务建议并发 2-4 个、上限 6 个；索引同步建议并发 2-4 个、上限 6 个。实际值应根据文档复杂度、模型响应时间和磁盘吞吐调整。</w:t>
      </w:r>
    </w:p>
    <w:p>
      <w:pPr>
        <w:pStyle w:val="Heading2"/>
      </w:pPr>
      <w:r>
        <w:t xml:space="preserve">3.3 部署与扩展要求</w:t>
      </w:r>
    </w:p>
    <w:p>
      <w:r>
        <w:t xml:space="preserve">PostgreSQL、MinIO、NEXUS API、Console、Worker、MinerU Router 和 LiteLLM 应支持容器化部署，并配置独立的数据卷、备份策略和日志保留策略。GPU Worker 应与 CPU Worker 隔离，避免解析任务争抢 API 和数据库资源。</w:t>
      </w:r>
    </w:p>
    <w:p>
      <w:r>
        <w:t xml:space="preserve">当活跃作业持续超过 16 个、队列等待 P95 连续三天超过 5 分钟，或 MinerU 解析队列 P95 连续三天超过 20 分钟时，应评估横向扩容。扩展阶段可引入 RabbitMQ/Celery、Redis、独立向量检索引擎和 MinerU 多节点集群，但这些组件不属于 P0 单节点必选配置。</w:t>
      </w:r>
    </w:p>
    <w:sectPr>
      <w:pgSz w:w="11906" w:h="16838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YaHei"/>
      <w:sz w:val="21"/>
    </w:rPr>
  </w:style>
  <w:style w:type="paragraph" w:styleId="Title">
    <w:name w:val="Title"/>
    <w:basedOn w:val="Normal"/>
    <w:next w:val="Normal"/>
    <w:rPr>
      <w:b/>
      <w:sz w:val="34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Heading3">
    <w:name w:val="Heading 3"/>
    <w:basedOn w:val="Normal"/>
    <w:rPr>
      <w:b/>
      <w:sz w:val="22"/>
    </w:rPr>
  </w:style>
  <w:style w:type="paragraph" w:styleId="ListBullet">
    <w:name w:val="List Bullet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