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54610</wp:posOffset>
            </wp:positionV>
            <wp:extent cx="1539240" cy="1009650"/>
            <wp:effectExtent l="0" t="0" r="0" b="11430"/>
            <wp:wrapNone/>
            <wp:docPr id="1" name="图片 2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015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《物联网数据存储与管理》课程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 验 报 告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胡瑞星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b/>
          <w:sz w:val="32"/>
          <w:szCs w:val="32"/>
          <w:u w:val="single"/>
        </w:rPr>
        <w:t>U2015148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79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物联网1501班 </w:t>
      </w:r>
      <w:r>
        <w:rPr>
          <w:b/>
          <w:sz w:val="32"/>
          <w:szCs w:val="32"/>
          <w:u w:val="single"/>
        </w:rPr>
        <w:t xml:space="preserve">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2018.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</w:rPr>
        <w:t>4.</w:t>
      </w:r>
      <w:r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7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="宋体" w:hAnsi="宋体" w:eastAsia="宋体"/>
          <w:b/>
          <w:bCs/>
          <w:sz w:val="84"/>
          <w:szCs w:val="84"/>
        </w:rPr>
        <w:id w:val="147459120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>
          <w:pPr>
            <w:jc w:val="center"/>
            <w:rPr>
              <w:b/>
              <w:bCs/>
              <w:sz w:val="84"/>
              <w:szCs w:val="84"/>
            </w:rPr>
          </w:pPr>
          <w:r>
            <w:rPr>
              <w:rFonts w:ascii="宋体" w:hAnsi="宋体" w:eastAsia="宋体"/>
              <w:b/>
              <w:bCs/>
              <w:sz w:val="84"/>
              <w:szCs w:val="84"/>
            </w:rPr>
            <w:t>目录</w:t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_Toc1204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725b6b01-a6b3-4c9a-b1a6-816cb00c45d7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一、实验目的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3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_Toc3552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f3c1eaed-540f-4855-b588-c31b0c815db2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二、实验背景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3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_Toc30880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990384e2-a1e9-4345-bfdc-bc8ffb85e44f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三、实验环境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3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_Toc5943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ca5f18ea-ac74-432c-9609-7f9507029b71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四、实验内容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4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_Toc9699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d061316f-13fb-41d4-9126-8806c621f056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五、实验过程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4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_Toc26043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aa901b3f-d895-4541-b0d3-7a7cd3ead124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六、实验总结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9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HYPERLINK \l _Toc8460 </w:instrText>
          </w:r>
          <w:r>
            <w:rPr>
              <w:sz w:val="44"/>
              <w:szCs w:val="44"/>
            </w:rPr>
            <w:fldChar w:fldCharType="separate"/>
          </w:r>
          <w:sdt>
            <w:sdtPr>
              <w:rPr>
                <w:kern w:val="2"/>
                <w:sz w:val="44"/>
                <w:szCs w:val="44"/>
                <w:lang w:val="en-US" w:eastAsia="zh-CN" w:bidi="ar-SA"/>
              </w:rPr>
              <w:id w:val="147459120"/>
              <w:placeholder>
                <w:docPart w:val="{a6c6454b-7b8c-4127-8ab6-faa8dc39fdf3}"/>
              </w:placeholder>
            </w:sdtPr>
            <w:sdtEndPr>
              <w:rPr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/>
                  <w:sz w:val="44"/>
                  <w:szCs w:val="44"/>
                </w:rPr>
                <w:t>参考文献</w:t>
              </w:r>
            </w:sdtContent>
          </w:sdt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10</w:t>
          </w:r>
          <w:r>
            <w:rPr>
              <w:sz w:val="44"/>
              <w:szCs w:val="44"/>
            </w:rPr>
            <w:fldChar w:fldCharType="end"/>
          </w:r>
        </w:p>
      </w:sdtContent>
    </w:sdt>
    <w:p>
      <w:pPr>
        <w:rPr>
          <w:rFonts w:hint="eastAsia"/>
        </w:r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pStyle w:val="2"/>
        <w:jc w:val="left"/>
        <w:rPr>
          <w:rFonts w:hint="eastAsia"/>
        </w:rPr>
      </w:pPr>
      <w:bookmarkStart w:id="0" w:name="_Toc509412095"/>
      <w:bookmarkStart w:id="1" w:name="_Toc1204"/>
      <w:r>
        <w:rPr>
          <w:rFonts w:hint="eastAsia"/>
        </w:rPr>
        <w:t>一、实验目的</w:t>
      </w:r>
      <w:bookmarkEnd w:id="0"/>
      <w:bookmarkEnd w:id="1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>
      <w:pPr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2" w:name="_Toc509412096"/>
      <w:bookmarkStart w:id="3" w:name="_Toc3552"/>
      <w:r>
        <w:rPr>
          <w:rFonts w:hint="eastAsia"/>
        </w:rPr>
        <w:t>二、实验背景</w:t>
      </w:r>
      <w:bookmarkEnd w:id="2"/>
      <w:bookmarkEnd w:id="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对象存储是一种计算机数据存储架构，它将数据管理为对象，而不是像文件系统那样管理数据作为文件层次结构的其他存储架构，以及将数据作为扇区和路径中的块来管理数据的块存储。每个对象通常包括数据本身、一个变量元数据和一个全局唯一标识符。对象存储可以在多个级别实现，包括设备级别、系统级别和接口级别。在每种情况下，对象存储都试图启用其他存储架构所没有处理的功能，比如可以通过应用程序直接编程的接口，一个可以跨越物理硬件多个实例的名称空间，以及数据管理功能，如数据复制和对象级粒度的数据分布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本次实验为对象存储入门实验，其中主要的部分有：基础环境搭建；对象存储服务器端准备；对象存储客户端准备；对象存储测评工具的使用。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对象存储服务端：Mi</w:t>
      </w:r>
      <w:r>
        <w:rPr>
          <w:sz w:val="24"/>
        </w:rPr>
        <w:t>nio server</w:t>
      </w:r>
      <w:r>
        <w:rPr>
          <w:rFonts w:hint="eastAsia"/>
          <w:sz w:val="24"/>
        </w:rPr>
        <w:t>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对象存储客户端：Minio</w:t>
      </w:r>
      <w:r>
        <w:rPr>
          <w:sz w:val="24"/>
        </w:rPr>
        <w:t xml:space="preserve"> client</w:t>
      </w:r>
      <w:r>
        <w:rPr>
          <w:rFonts w:hint="eastAsia"/>
          <w:sz w:val="24"/>
        </w:rPr>
        <w:t>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对象存储测评工具：</w:t>
      </w:r>
      <w:r>
        <w:rPr>
          <w:sz w:val="24"/>
        </w:rPr>
        <w:t>COSB</w:t>
      </w:r>
      <w:r>
        <w:rPr>
          <w:rFonts w:hint="eastAsia"/>
          <w:sz w:val="24"/>
        </w:rPr>
        <w:t>enc</w:t>
      </w:r>
      <w:r>
        <w:rPr>
          <w:sz w:val="24"/>
        </w:rPr>
        <w:t>h。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4" w:name="_Toc509412097"/>
      <w:bookmarkStart w:id="5" w:name="_Toc30880"/>
      <w:r>
        <w:rPr>
          <w:rFonts w:hint="eastAsia"/>
        </w:rPr>
        <w:t>三、实验环境</w:t>
      </w:r>
      <w:bookmarkEnd w:id="4"/>
      <w:bookmarkEnd w:id="5"/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操作系统：</w:t>
      </w:r>
    </w:p>
    <w:p>
      <w:r>
        <w:drawing>
          <wp:inline distT="0" distB="0" distL="114300" distR="114300">
            <wp:extent cx="5208905" cy="3706495"/>
            <wp:effectExtent l="0" t="0" r="317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ava：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2590" cy="607695"/>
            <wp:effectExtent l="0" t="0" r="381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/>
        <w:jc w:val="center"/>
        <w:rPr>
          <w:sz w:val="24"/>
        </w:rPr>
      </w:pPr>
    </w:p>
    <w:p>
      <w:pPr>
        <w:ind w:left="480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Python：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2670" cy="750570"/>
            <wp:effectExtent l="0" t="0" r="13970" b="1143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</w:rPr>
      </w:pPr>
    </w:p>
    <w:p>
      <w:pPr>
        <w:ind w:firstLine="480" w:firstLineChars="200"/>
        <w:jc w:val="center"/>
        <w:rPr>
          <w:rFonts w:hint="eastAsia"/>
          <w:sz w:val="24"/>
        </w:rPr>
      </w:pPr>
    </w:p>
    <w:p>
      <w:pPr>
        <w:pStyle w:val="2"/>
        <w:jc w:val="left"/>
      </w:pPr>
      <w:bookmarkStart w:id="6" w:name="_Toc509412098"/>
      <w:bookmarkStart w:id="7" w:name="_Toc5943"/>
      <w:r>
        <w:rPr>
          <w:rFonts w:hint="eastAsia"/>
        </w:rPr>
        <w:t>四、实验内容</w:t>
      </w:r>
      <w:bookmarkEnd w:id="6"/>
      <w:bookmarkEnd w:id="7"/>
    </w:p>
    <w:p>
      <w:pPr>
        <w:numPr>
          <w:numId w:val="0"/>
        </w:numPr>
        <w:ind w:left="480" w:leftChars="0" w:firstLine="480" w:firstLineChars="200"/>
        <w:rPr>
          <w:rFonts w:hint="eastAsia"/>
          <w:sz w:val="24"/>
        </w:rPr>
      </w:pPr>
      <w:bookmarkStart w:id="8" w:name="_Toc509412099"/>
      <w:r>
        <w:rPr>
          <w:rFonts w:hint="eastAsia"/>
          <w:sz w:val="24"/>
        </w:rPr>
        <w:t>本次实验是对象存储实验入门实践，准备工作有Git与GitH</w:t>
      </w:r>
      <w:r>
        <w:rPr>
          <w:rFonts w:hint="eastAsia"/>
          <w:sz w:val="24"/>
        </w:rPr>
        <w:t>ub的学习，linux虚拟机的安装以及Java或Python环境的准备。然后是选定对象存储服务端与客户端，选择Minio和MC作为第一阶段的尝试，在linux中运行Minio后用测试工具Cosbench进行测试。</w:t>
      </w:r>
    </w:p>
    <w:p>
      <w:pPr>
        <w:pStyle w:val="3"/>
        <w:spacing w:line="360" w:lineRule="auto"/>
        <w:jc w:val="left"/>
        <w:rPr>
          <w:rFonts w:hint="eastAsia"/>
        </w:rPr>
      </w:pPr>
      <w:r>
        <w:rPr>
          <w:rFonts w:hint="eastAsia"/>
        </w:rPr>
        <w:t>4.1 对象存储技术实践</w:t>
      </w:r>
      <w:bookmarkEnd w:id="8"/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在本机上搭建一个Minio服务器端，将本机作为一个服务器。服务器存储空间即为本机的存储空间。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在本机开启一个</w:t>
      </w:r>
      <w:r>
        <w:rPr>
          <w:sz w:val="24"/>
        </w:rPr>
        <w:t>M</w:t>
      </w:r>
      <w:r>
        <w:rPr>
          <w:rFonts w:hint="eastAsia"/>
          <w:sz w:val="24"/>
        </w:rPr>
        <w:t>inio客户端。可通过客户端对服务器内的文件进行操作。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运行COS</w:t>
      </w:r>
      <w:r>
        <w:rPr>
          <w:sz w:val="24"/>
        </w:rPr>
        <w:t>B</w:t>
      </w:r>
      <w:r>
        <w:rPr>
          <w:rFonts w:hint="eastAsia"/>
          <w:sz w:val="24"/>
        </w:rPr>
        <w:t>ench来对其进行测评。</w:t>
      </w:r>
    </w:p>
    <w:p>
      <w:pPr>
        <w:pStyle w:val="3"/>
        <w:spacing w:line="360" w:lineRule="auto"/>
        <w:jc w:val="left"/>
        <w:rPr>
          <w:rFonts w:hint="eastAsia"/>
        </w:rPr>
      </w:pPr>
      <w:bookmarkStart w:id="9" w:name="_Toc509412100"/>
      <w:r>
        <w:rPr>
          <w:rFonts w:hint="eastAsia"/>
        </w:rPr>
        <w:t>4.2 对象存储性能分析</w:t>
      </w:r>
      <w:bookmarkEnd w:id="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对Minio服务器运行COS</w:t>
      </w:r>
      <w:r>
        <w:rPr>
          <w:sz w:val="24"/>
        </w:rPr>
        <w:t>B</w:t>
      </w:r>
      <w:r>
        <w:rPr>
          <w:rFonts w:hint="eastAsia"/>
          <w:sz w:val="24"/>
        </w:rPr>
        <w:t>ench进行测试。观察各项性能数据指标，修改测试代码，反复测试。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10" w:name="_Toc509412101"/>
      <w:bookmarkStart w:id="11" w:name="_Toc9699"/>
      <w:r>
        <w:rPr>
          <w:rFonts w:hint="eastAsia"/>
        </w:rPr>
        <w:t>五、实验过程</w:t>
      </w:r>
      <w:bookmarkEnd w:id="10"/>
      <w:bookmarkEnd w:id="11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1）下载Minio作为服务端。首先在Minio官网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"https://www.minio.io/downloads.html</w:instrText>
      </w:r>
      <w:r>
        <w:rPr>
          <w:rFonts w:hint="eastAsia"/>
          <w:sz w:val="24"/>
        </w:rPr>
        <w:instrText xml:space="preserve">下载Minio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7"/>
          <w:sz w:val="24"/>
        </w:rPr>
        <w:t>https://www.minio.io/downloads.html下载</w:t>
      </w:r>
      <w:r>
        <w:rPr>
          <w:rStyle w:val="7"/>
          <w:rFonts w:hint="eastAsia"/>
          <w:sz w:val="24"/>
        </w:rPr>
        <w:t>Minio</w:t>
      </w:r>
      <w:r>
        <w:rPr>
          <w:sz w:val="24"/>
        </w:rPr>
        <w:fldChar w:fldCharType="end"/>
      </w:r>
      <w:r>
        <w:rPr>
          <w:rFonts w:hint="eastAsia"/>
          <w:sz w:val="24"/>
        </w:rPr>
        <w:t>和客户端MC，然后使用</w:t>
      </w:r>
      <w:r>
        <w:rPr>
          <w:sz w:val="24"/>
        </w:rPr>
        <w:t>chmod +x minio</w:t>
      </w:r>
      <w:r>
        <w:rPr>
          <w:rFonts w:hint="eastAsia"/>
          <w:sz w:val="24"/>
        </w:rPr>
        <w:t>命令行添加权限。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2）运行Minio。在linux打开终端，在root权限下运行：./minio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  <w:r>
        <w:rPr>
          <w:sz w:val="24"/>
        </w:rPr>
        <w:t xml:space="preserve"> /</w:t>
      </w:r>
      <w:r>
        <w:rPr>
          <w:rFonts w:hint="eastAsia"/>
          <w:sz w:val="24"/>
        </w:rPr>
        <w:t>data。如图4-</w:t>
      </w:r>
      <w:r>
        <w:rPr>
          <w:sz w:val="24"/>
        </w:rPr>
        <w:t>1</w:t>
      </w:r>
      <w:r>
        <w:rPr>
          <w:rFonts w:hint="eastAsia"/>
          <w:sz w:val="24"/>
        </w:rPr>
        <w:t>，可以看到服务器已经打开，并且可以通过端口9000访问。此时可以看到用户名为S73J8ZCFSBUPT0JHLUNH，密码为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zB+pUndhllIeugUbwXV1bctkaRuPjG749uKf1LYa，这是</w:t>
      </w:r>
      <w:r>
        <w:rPr>
          <w:rFonts w:hint="eastAsia"/>
          <w:sz w:val="24"/>
          <w:lang w:val="en-US" w:eastAsia="zh-CN"/>
        </w:rPr>
        <w:t>初始</w:t>
      </w:r>
      <w:r>
        <w:rPr>
          <w:rFonts w:hint="eastAsia"/>
          <w:sz w:val="24"/>
        </w:rPr>
        <w:t>的用户名与密码，</w:t>
      </w:r>
      <w:r>
        <w:rPr>
          <w:rFonts w:hint="eastAsia"/>
          <w:sz w:val="24"/>
          <w:lang w:val="en-US" w:eastAsia="zh-CN"/>
        </w:rPr>
        <w:t>可以登录修改</w:t>
      </w:r>
      <w:r>
        <w:rPr>
          <w:rFonts w:hint="eastAsia"/>
          <w:sz w:val="24"/>
        </w:rPr>
        <w:t>。</w:t>
      </w:r>
    </w:p>
    <w:p>
      <w:pPr>
        <w:jc w:val="center"/>
      </w:pPr>
      <w:r>
        <w:drawing>
          <wp:inline distT="0" distB="0" distL="114300" distR="114300">
            <wp:extent cx="5268595" cy="3383915"/>
            <wp:effectExtent l="0" t="0" r="4445" b="14605"/>
            <wp:docPr id="22" name="图片 22" descr="(@%[PPV6SAFT)2{R~6U31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(@%[PPV6SAFT)2{R~6U31K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1 </w:t>
      </w:r>
      <w:r>
        <w:rPr>
          <w:rFonts w:hint="eastAsia" w:ascii="黑体" w:hAnsi="黑体" w:eastAsia="黑体"/>
          <w:sz w:val="24"/>
        </w:rPr>
        <w:t>运行Minio</w:t>
      </w: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在浏览器访问服务器。在浏览器中输入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"http://127.0.0.1:9000" </w:instrText>
      </w:r>
      <w:r>
        <w:rPr>
          <w:sz w:val="24"/>
        </w:rPr>
        <w:fldChar w:fldCharType="separate"/>
      </w:r>
      <w:r>
        <w:rPr>
          <w:rStyle w:val="7"/>
          <w:sz w:val="24"/>
        </w:rPr>
        <w:t>http://127.0.0.1:9000</w:t>
      </w:r>
      <w:r>
        <w:rPr>
          <w:sz w:val="24"/>
        </w:rPr>
        <w:fldChar w:fldCharType="end"/>
      </w:r>
      <w:r>
        <w:rPr>
          <w:rFonts w:hint="eastAsia"/>
          <w:sz w:val="24"/>
        </w:rPr>
        <w:t>可以访问服务器，登录界面如图4-</w:t>
      </w:r>
      <w:r>
        <w:rPr>
          <w:sz w:val="24"/>
        </w:rPr>
        <w:t>2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图中密码已经修改为自设的账号密码。</w:t>
      </w:r>
      <w:r>
        <w:rPr>
          <w:rFonts w:hint="eastAsia"/>
          <w:sz w:val="24"/>
        </w:rPr>
        <w:t>确认登录后，可以看到界面如图4-</w:t>
      </w:r>
      <w:r>
        <w:rPr>
          <w:sz w:val="24"/>
        </w:rPr>
        <w:t>3</w:t>
      </w:r>
      <w:r>
        <w:rPr>
          <w:rFonts w:hint="eastAsia"/>
          <w:sz w:val="24"/>
        </w:rPr>
        <w:t>。</w:t>
      </w:r>
    </w:p>
    <w:p>
      <w:pPr>
        <w:jc w:val="center"/>
      </w:pPr>
      <w:r>
        <w:drawing>
          <wp:inline distT="0" distB="0" distL="114300" distR="114300">
            <wp:extent cx="5268595" cy="3234055"/>
            <wp:effectExtent l="0" t="0" r="4445" b="12065"/>
            <wp:docPr id="24" name="图片 24" descr="P`J{L}`SWJF5~R2{`}RKP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P`J{L}`SWJF5~R2{`}RKP8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登录服务器</w:t>
      </w:r>
    </w:p>
    <w:p>
      <w:pPr>
        <w:jc w:val="center"/>
      </w:pPr>
      <w:r>
        <w:drawing>
          <wp:inline distT="0" distB="0" distL="114300" distR="114300">
            <wp:extent cx="5268595" cy="2988945"/>
            <wp:effectExtent l="0" t="0" r="4445" b="13335"/>
            <wp:docPr id="25" name="图片 25" descr="6180[5TQ1])5X4{GW[F{J@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180[5TQ1])5X4{GW[F{J@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3 </w:t>
      </w:r>
      <w:r>
        <w:rPr>
          <w:rFonts w:hint="eastAsia" w:ascii="黑体" w:hAnsi="黑体" w:eastAsia="黑体"/>
          <w:sz w:val="24"/>
        </w:rPr>
        <w:t>在浏览器中访问服务器</w:t>
      </w:r>
    </w:p>
    <w:p>
      <w:pPr>
        <w:rPr>
          <w:sz w:val="24"/>
        </w:rPr>
      </w:pPr>
      <w:r>
        <w:rPr>
          <w:rFonts w:hint="eastAsia"/>
          <w:sz w:val="24"/>
        </w:rPr>
        <w:t>4）在浏览器中可以添加存储对象。点击页面的+号按钮，可以选择新建一个仓库或者上传一个新的存储文件。在这里我们展示上传一个新的存储对象，如图4-</w:t>
      </w:r>
      <w:r>
        <w:rPr>
          <w:sz w:val="24"/>
        </w:rPr>
        <w:t>4.</w:t>
      </w:r>
    </w:p>
    <w:p>
      <w:pPr>
        <w:jc w:val="center"/>
      </w:pPr>
      <w:r>
        <w:drawing>
          <wp:inline distT="0" distB="0" distL="114300" distR="114300">
            <wp:extent cx="4772025" cy="4745355"/>
            <wp:effectExtent l="0" t="0" r="13335" b="9525"/>
            <wp:docPr id="27" name="图片 27" descr="FWXN53UAJ0P{7_$[A3LLI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WXN53UAJ0P{7_$[A3LLIJ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4 </w:t>
      </w:r>
      <w:r>
        <w:rPr>
          <w:rFonts w:hint="eastAsia" w:ascii="黑体" w:hAnsi="黑体" w:eastAsia="黑体"/>
          <w:sz w:val="24"/>
        </w:rPr>
        <w:t>添加存储对象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）使用测试工具cosbench进行测试。首先使用命令行unset</w:t>
      </w:r>
      <w:r>
        <w:rPr>
          <w:sz w:val="24"/>
        </w:rPr>
        <w:t xml:space="preserve"> </w:t>
      </w:r>
      <w:r>
        <w:rPr>
          <w:rFonts w:hint="eastAsia"/>
          <w:sz w:val="24"/>
        </w:rPr>
        <w:t>http_pro</w:t>
      </w:r>
      <w:r>
        <w:rPr>
          <w:sz w:val="24"/>
        </w:rPr>
        <w:t>xy</w:t>
      </w:r>
      <w:r>
        <w:rPr>
          <w:rFonts w:hint="eastAsia"/>
          <w:sz w:val="24"/>
        </w:rPr>
        <w:t>绕过代理设置，使得控制器和驱动程序可以进行交互；然后运行脚本启动驱动程序和控制器，使用端口19088进行监听，如图4-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。</w:t>
      </w:r>
    </w:p>
    <w:p>
      <w:pPr>
        <w:jc w:val="center"/>
      </w:pPr>
      <w:r>
        <w:drawing>
          <wp:inline distT="0" distB="0" distL="114300" distR="114300">
            <wp:extent cx="2745740" cy="3370580"/>
            <wp:effectExtent l="0" t="0" r="1270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hint="eastAsia" w:ascii="黑体" w:hAnsi="黑体" w:eastAsia="黑体"/>
          <w:sz w:val="24"/>
          <w:lang w:val="en-US" w:eastAsia="zh-CN"/>
        </w:rPr>
        <w:t>5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启动驱动程序与控制器</w:t>
      </w:r>
    </w:p>
    <w:p>
      <w:pPr>
        <w:rPr>
          <w:sz w:val="24"/>
        </w:rPr>
      </w:pPr>
      <w:r>
        <w:rPr>
          <w:rFonts w:hint="eastAsia"/>
          <w:sz w:val="24"/>
        </w:rPr>
        <w:t>然后用浏览器访问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"http://127.0.0.1:19088/controller/index.html</w:instrText>
      </w:r>
      <w:r>
        <w:rPr>
          <w:rFonts w:hint="eastAsia"/>
          <w:sz w:val="24"/>
        </w:rPr>
        <w:instrText xml:space="preserve">可以进入cosbench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7"/>
          <w:sz w:val="24"/>
        </w:rPr>
        <w:t>http://127.0.0.1:19088/controller/index.html</w:t>
      </w:r>
      <w:r>
        <w:rPr>
          <w:rFonts w:hint="eastAsia"/>
          <w:sz w:val="24"/>
        </w:rPr>
        <w:t>可以进入cosbench</w:t>
      </w:r>
      <w:r>
        <w:rPr>
          <w:sz w:val="24"/>
        </w:rPr>
        <w:fldChar w:fldCharType="end"/>
      </w:r>
      <w:r>
        <w:rPr>
          <w:rFonts w:hint="eastAsia"/>
          <w:sz w:val="24"/>
        </w:rPr>
        <w:t>的测试页面，如图4-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。</w:t>
      </w:r>
    </w:p>
    <w:p>
      <w:pPr>
        <w:jc w:val="center"/>
      </w:pPr>
      <w:r>
        <w:drawing>
          <wp:inline distT="0" distB="0" distL="114300" distR="114300">
            <wp:extent cx="5549265" cy="3035935"/>
            <wp:effectExtent l="0" t="0" r="13335" b="1206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hint="eastAsia" w:ascii="黑体" w:hAnsi="黑体" w:eastAsia="黑体"/>
          <w:sz w:val="24"/>
          <w:lang w:val="en-US" w:eastAsia="zh-CN"/>
        </w:rPr>
        <w:t>6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cosbench测试页面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然后利用标准的测试样例，进行对服务器的标准测试，测试结果如图4-</w:t>
      </w:r>
      <w:r>
        <w:rPr>
          <w:rFonts w:hint="eastAsia"/>
          <w:sz w:val="24"/>
          <w:lang w:val="en-US" w:eastAsia="zh-CN"/>
        </w:rPr>
        <w:t>7</w:t>
      </w:r>
    </w:p>
    <w:p>
      <w:pPr>
        <w:jc w:val="center"/>
      </w:pPr>
      <w:r>
        <w:drawing>
          <wp:inline distT="0" distB="0" distL="114300" distR="114300">
            <wp:extent cx="3970655" cy="3217545"/>
            <wp:effectExtent l="0" t="0" r="6985" b="13335"/>
            <wp:docPr id="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rcRect l="24131" t="25047" r="24166" b="42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hint="eastAsia" w:ascii="黑体" w:hAnsi="黑体" w:eastAsia="黑体"/>
          <w:sz w:val="24"/>
          <w:lang w:val="en-US" w:eastAsia="zh-CN"/>
        </w:rPr>
        <w:t>7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cosbench测试结果</w:t>
      </w:r>
    </w:p>
    <w:p>
      <w:pPr>
        <w:rPr>
          <w:sz w:val="24"/>
        </w:rPr>
      </w:pPr>
      <w:r>
        <w:rPr>
          <w:rFonts w:hint="eastAsia"/>
          <w:sz w:val="24"/>
        </w:rPr>
        <w:t>测试标准的cosbench结果如图4-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。可以看到全部12个任务都完成了。</w:t>
      </w:r>
    </w:p>
    <w:p>
      <w:r>
        <w:rPr>
          <w:sz w:val="24"/>
        </w:rPr>
        <w:drawing>
          <wp:inline distT="0" distB="0" distL="114300" distR="114300">
            <wp:extent cx="5385435" cy="1913255"/>
            <wp:effectExtent l="0" t="0" r="9525" b="6985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8 </w:t>
      </w:r>
      <w:r>
        <w:rPr>
          <w:rFonts w:hint="eastAsia" w:ascii="黑体" w:hAnsi="黑体" w:eastAsia="黑体"/>
          <w:sz w:val="24"/>
        </w:rPr>
        <w:t>cosbench测试结果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我们可以看到：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写入的成功率一直都是100%，而读取的成功率基本在90%-</w:t>
      </w:r>
      <w:r>
        <w:rPr>
          <w:rFonts w:ascii="宋体" w:hAnsi="宋体"/>
          <w:sz w:val="24"/>
        </w:rPr>
        <w:t>100</w:t>
      </w:r>
      <w:r>
        <w:rPr>
          <w:rFonts w:hint="eastAsia" w:ascii="宋体" w:hAnsi="宋体"/>
          <w:sz w:val="24"/>
        </w:rPr>
        <w:t>%之间，在size较小的时候，成功率基本在90%左右，而随着size的增加，读取成功率一直保持在100%；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rPr>
          <w:rFonts w:hint="eastAsia" w:ascii="宋体" w:hAnsi="宋体"/>
          <w:sz w:val="24"/>
        </w:rPr>
      </w:pPr>
    </w:p>
    <w:p>
      <w:pPr>
        <w:pStyle w:val="2"/>
        <w:numPr>
          <w:ilvl w:val="0"/>
          <w:numId w:val="4"/>
        </w:numPr>
        <w:jc w:val="left"/>
        <w:rPr>
          <w:rFonts w:hint="eastAsia"/>
        </w:rPr>
      </w:pPr>
      <w:bookmarkStart w:id="12" w:name="_Toc26043"/>
      <w:r>
        <w:rPr>
          <w:rFonts w:hint="eastAsia"/>
        </w:rPr>
        <w:t>实验总结</w:t>
      </w:r>
      <w:bookmarkEnd w:id="12"/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此次试验是面向对象存储的入门实验，在实验中我了解了对象存储技术，明白了在已有基于块和基于文件的存储系统的情况下，我们仍然需要面向对象存储系统的原因</w:t>
      </w:r>
      <w:r>
        <w:rPr>
          <w:rFonts w:hint="eastAsia"/>
          <w:sz w:val="24"/>
          <w:lang w:eastAsia="zh-CN"/>
        </w:rPr>
        <w:t>。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一次co's'bench测试的时候发现了当读写数据较小的时候，比较容易出错，但当测试的数据变大的时候，正确率反而提高了，但是我们测试的时候使用的数据量太少，不足以模拟当读写数据超过100m甚至tb级之上的情况，但也很好的揭示了当数据量偏小的时候的试验情况。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numPr>
          <w:numId w:val="0"/>
        </w:numPr>
        <w:rPr>
          <w:rFonts w:hint="eastAsia" w:ascii="宋体" w:hAnsi="宋体"/>
          <w:sz w:val="24"/>
        </w:rPr>
      </w:pPr>
      <w:bookmarkStart w:id="14" w:name="_GoBack"/>
      <w:bookmarkEnd w:id="14"/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p>
      <w:pPr>
        <w:pStyle w:val="2"/>
        <w:jc w:val="left"/>
      </w:pPr>
      <w:bookmarkStart w:id="13" w:name="_Toc8460"/>
      <w:r>
        <w:rPr>
          <w:rFonts w:hint="eastAsia"/>
        </w:rPr>
        <w:t>参考文献</w:t>
      </w:r>
      <w:bookmarkEnd w:id="13"/>
    </w:p>
    <w:p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[1] ARNOLD J. OpenStack Swift[M]. O’Reilly Media, 2014.</w:t>
      </w:r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[2] ZHENG Q, CHEN H, WANG Y等. COSBench: A Benchmark Tool for Cloud Object Storage Services[C]//2012 IEEE Fifth International Conference on Cloud Computing. 2012: 998–999.</w:t>
      </w:r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[3] WEIL S A, BRANDT S A, MILLER E L等. Ceph: A Scalable, High-performance Distributed File System[C]//Proceedings of the 7th Symposium on Operating Systems Design and Implementation. Berkeley, CA, USA: USENIX Association, 2006: 307–320.</w:t>
      </w:r>
    </w:p>
    <w:p>
      <w:pPr>
        <w:rPr>
          <w:sz w:val="24"/>
        </w:rPr>
      </w:pPr>
      <w:r>
        <w:rPr>
          <w:rFonts w:hint="eastAsia"/>
          <w:sz w:val="24"/>
        </w:rPr>
        <w:t>（可以根据实际需要更新调整）</w:t>
      </w:r>
    </w:p>
    <w:p>
      <w:pPr>
        <w:rPr>
          <w:rFonts w:hint="eastAsia"/>
          <w:sz w:val="24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C99F"/>
    <w:multiLevelType w:val="singleLevel"/>
    <w:tmpl w:val="102CC99F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471820"/>
    <w:multiLevelType w:val="multilevel"/>
    <w:tmpl w:val="5E47182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63553160"/>
    <w:multiLevelType w:val="singleLevel"/>
    <w:tmpl w:val="63553160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7B8445FA"/>
    <w:multiLevelType w:val="multilevel"/>
    <w:tmpl w:val="7B8445FA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92D91"/>
    <w:rsid w:val="26D92D91"/>
    <w:rsid w:val="29E317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/>
      <w:b/>
      <w:bCs/>
      <w:color w:val="000000"/>
      <w:kern w:val="2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 w:cs="Times New Roman"/>
      <w:bCs/>
      <w:kern w:val="2"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styleId="7">
    <w:name w:val="Hyperlink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5b6b01-a6b3-4c9a-b1a6-816cb00c45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b6b01-a6b3-4c9a-b1a6-816cb00c45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c1eaed-540f-4855-b588-c31b0c815d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1eaed-540f-4855-b588-c31b0c815d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0384e2-a1e9-4345-bfdc-bc8ffb85e4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0384e2-a1e9-4345-bfdc-bc8ffb85e4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18ea-ac74-432c-9609-7f9507029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18ea-ac74-432c-9609-7f9507029b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61316f-13fb-41d4-9126-8806c621f0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61316f-13fb-41d4-9126-8806c621f0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901b3f-d895-4541-b0d3-7a7cd3ead1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901b3f-d895-4541-b0d3-7a7cd3ead1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c6454b-7b8c-4127-8ab6-faa8dc39f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c6454b-7b8c-4127-8ab6-faa8dc39f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2018-04-27T15:16:00Z</dcterms:created>
  <dc:creator>★</dc:creator>
  <cp:lastModifiedBy>★</cp:lastModifiedBy>
  <dcterms:modified xsi:type="dcterms:W3CDTF">2018-04-28T01:33:28Z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