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20" w:lineRule="auto"/>
        <w:rPr/>
      </w:pPr>
      <w:bookmarkStart w:colFirst="0" w:colLast="0" w:name="_wz31n5n7fc97" w:id="0"/>
      <w:bookmarkEnd w:id="0"/>
      <w:r w:rsidDel="00000000" w:rsidR="00000000" w:rsidRPr="00000000">
        <w:rPr>
          <w:rtl w:val="0"/>
        </w:rPr>
        <w:t xml:space="preserve">Wallet Risk Score Explained: What the Numbers Actually Mean (And What Most Tools Don't Tell You)</w:t>
      </w:r>
    </w:p>
    <w:p w:rsidR="00000000" w:rsidDel="00000000" w:rsidP="00000000" w:rsidRDefault="00000000" w:rsidRPr="00000000" w14:paraId="00000002">
      <w:pPr>
        <w:spacing w:after="240" w:before="240" w:line="320" w:lineRule="auto"/>
        <w:rPr/>
      </w:pPr>
      <w:r w:rsidDel="00000000" w:rsidR="00000000" w:rsidRPr="00000000">
        <w:rPr>
          <w:rtl w:val="0"/>
        </w:rPr>
        <w:t xml:space="preserve">In 2024, illicit crypto activity reached an estimated $40.9 billion. That is a staggering number. But here is the one that actually matters for risk intelligence: it represents just 0.14% of total on-chain volume.</w:t>
      </w:r>
    </w:p>
    <w:p w:rsidR="00000000" w:rsidDel="00000000" w:rsidP="00000000" w:rsidRDefault="00000000" w:rsidRPr="00000000" w14:paraId="00000003">
      <w:pPr>
        <w:spacing w:after="240" w:before="240" w:line="320" w:lineRule="auto"/>
        <w:rPr/>
      </w:pPr>
      <w:r w:rsidDel="00000000" w:rsidR="00000000" w:rsidRPr="00000000">
        <w:rPr>
          <w:rtl w:val="0"/>
        </w:rPr>
        <w:t xml:space="preserve">The other 99.86% is legitimate. And most risk tools cannot reliably tell the difference.</w:t>
      </w:r>
    </w:p>
    <w:p w:rsidR="00000000" w:rsidDel="00000000" w:rsidP="00000000" w:rsidRDefault="00000000" w:rsidRPr="00000000" w14:paraId="00000004">
      <w:pPr>
        <w:spacing w:after="240" w:before="240" w:line="320" w:lineRule="auto"/>
        <w:rPr/>
      </w:pPr>
      <w:r w:rsidDel="00000000" w:rsidR="00000000" w:rsidRPr="00000000">
        <w:rPr>
          <w:rtl w:val="0"/>
        </w:rPr>
        <w:t xml:space="preserve">On-chain laundering has since grown to over $82 billion in 2025 alone, an eightfold increase from 2020, according to Chainalysis. The problem is not a shortage of risk scores. The problem is that most scores are not built to keep up.</w:t>
      </w:r>
    </w:p>
    <w:p w:rsidR="00000000" w:rsidDel="00000000" w:rsidP="00000000" w:rsidRDefault="00000000" w:rsidRPr="00000000" w14:paraId="00000005">
      <w:pPr>
        <w:spacing w:after="240" w:before="240" w:line="320" w:lineRule="auto"/>
        <w:rPr/>
      </w:pPr>
      <w:r w:rsidDel="00000000" w:rsidR="00000000" w:rsidRPr="00000000">
        <w:rPr>
          <w:rtl w:val="0"/>
        </w:rPr>
        <w:t xml:space="preserve">A wallet risk score is supposed to solve that. In practice, it often creates a new problem. Compliance teams block legitimate users based on numbers they cannot explain. Exchanges flag DeFi traders for transactions that happened three counterparties ago. And scores get handed to decision-makers with no breakdown of what is actually driving them.</w:t>
      </w:r>
    </w:p>
    <w:p w:rsidR="00000000" w:rsidDel="00000000" w:rsidP="00000000" w:rsidRDefault="00000000" w:rsidRPr="00000000" w14:paraId="00000006">
      <w:pPr>
        <w:spacing w:after="240" w:before="240" w:line="320" w:lineRule="auto"/>
        <w:rPr/>
      </w:pPr>
      <w:r w:rsidDel="00000000" w:rsidR="00000000" w:rsidRPr="00000000">
        <w:rPr>
          <w:rtl w:val="0"/>
        </w:rPr>
        <w:t xml:space="preserve">This article covers how scores are built, where they fail, and what genuine omnichain risk intelligence looks like when done right.</w:t>
      </w:r>
    </w:p>
    <w:p w:rsidR="00000000" w:rsidDel="00000000" w:rsidP="00000000" w:rsidRDefault="00000000" w:rsidRPr="00000000" w14:paraId="00000007">
      <w:pPr>
        <w:pStyle w:val="Heading2"/>
        <w:spacing w:after="80" w:before="360" w:line="320" w:lineRule="auto"/>
        <w:rPr>
          <w:sz w:val="34"/>
          <w:szCs w:val="34"/>
        </w:rPr>
      </w:pPr>
      <w:bookmarkStart w:colFirst="0" w:colLast="0" w:name="_2bh2m8l1p8la" w:id="1"/>
      <w:bookmarkEnd w:id="1"/>
      <w:r w:rsidDel="00000000" w:rsidR="00000000" w:rsidRPr="00000000">
        <w:rPr>
          <w:sz w:val="34"/>
          <w:szCs w:val="34"/>
          <w:rtl w:val="0"/>
        </w:rPr>
        <w:t xml:space="preserve">What a Wallet Risk Score Actually Is</w:t>
      </w:r>
    </w:p>
    <w:p w:rsidR="00000000" w:rsidDel="00000000" w:rsidP="00000000" w:rsidRDefault="00000000" w:rsidRPr="00000000" w14:paraId="00000008">
      <w:pPr>
        <w:spacing w:after="240" w:before="240" w:line="320" w:lineRule="auto"/>
        <w:rPr/>
      </w:pPr>
      <w:r w:rsidDel="00000000" w:rsidR="00000000" w:rsidRPr="00000000">
        <w:rPr>
          <w:rtl w:val="0"/>
        </w:rPr>
        <w:t xml:space="preserve">Think of it like a credit score for onchain behavior. A credit score compresses payment history, debt levels, and account age into one number. A wallet risk score does the same with blockchain data: transaction history, counterparty exposure, behavioral patterns, and proximity to flagged entities.</w:t>
      </w:r>
    </w:p>
    <w:p w:rsidR="00000000" w:rsidDel="00000000" w:rsidP="00000000" w:rsidRDefault="00000000" w:rsidRPr="00000000" w14:paraId="00000009">
      <w:pPr>
        <w:spacing w:after="240" w:before="240" w:line="320" w:lineRule="auto"/>
        <w:rPr/>
      </w:pPr>
      <w:r w:rsidDel="00000000" w:rsidR="00000000" w:rsidRPr="00000000">
        <w:rPr>
          <w:rtl w:val="0"/>
        </w:rPr>
        <w:t xml:space="preserve">One important difference: a credit score predicts future behavior. A wallet risk score reflects what has already happened onchain. It is backward-looking by design.</w:t>
      </w:r>
    </w:p>
    <w:p w:rsidR="00000000" w:rsidDel="00000000" w:rsidP="00000000" w:rsidRDefault="00000000" w:rsidRPr="00000000" w14:paraId="0000000A">
      <w:pPr>
        <w:pStyle w:val="Heading3"/>
        <w:spacing w:after="80" w:before="280" w:lineRule="auto"/>
        <w:rPr>
          <w:color w:val="1a1a1a"/>
          <w:sz w:val="26"/>
          <w:szCs w:val="26"/>
        </w:rPr>
      </w:pPr>
      <w:bookmarkStart w:colFirst="0" w:colLast="0" w:name="_4lu42ykjobq" w:id="2"/>
      <w:bookmarkEnd w:id="2"/>
      <w:r w:rsidDel="00000000" w:rsidR="00000000" w:rsidRPr="00000000">
        <w:rPr>
          <w:color w:val="1a1a1a"/>
          <w:sz w:val="26"/>
          <w:szCs w:val="26"/>
          <w:rtl w:val="0"/>
        </w:rPr>
        <w:t xml:space="preserve">What the Number Range Means</w:t>
      </w:r>
    </w:p>
    <w:p w:rsidR="00000000" w:rsidDel="00000000" w:rsidP="00000000" w:rsidRDefault="00000000" w:rsidRPr="00000000" w14:paraId="0000000B">
      <w:pPr>
        <w:spacing w:after="240" w:before="240" w:line="320" w:lineRule="auto"/>
        <w:rPr/>
      </w:pPr>
      <w:r w:rsidDel="00000000" w:rsidR="00000000" w:rsidRPr="00000000">
        <w:rPr>
          <w:rtl w:val="0"/>
        </w:rPr>
        <w:t xml:space="preserve">Most platforms use a 0 to 100 scale. General benchmarks across the industry look like this:</w:t>
      </w:r>
    </w:p>
    <w:p w:rsidR="00000000" w:rsidDel="00000000" w:rsidP="00000000" w:rsidRDefault="00000000" w:rsidRPr="00000000" w14:paraId="0000000C">
      <w:pPr>
        <w:numPr>
          <w:ilvl w:val="0"/>
          <w:numId w:val="1"/>
        </w:numPr>
        <w:spacing w:after="0" w:afterAutospacing="0" w:before="240" w:line="320" w:lineRule="auto"/>
        <w:ind w:left="720" w:hanging="360"/>
      </w:pPr>
      <w:r w:rsidDel="00000000" w:rsidR="00000000" w:rsidRPr="00000000">
        <w:rPr>
          <w:rtl w:val="0"/>
        </w:rPr>
        <w:t xml:space="preserve">0 to 25: Low risk. No direct or indirect ties to flagged entities or illicit services.</w:t>
      </w:r>
    </w:p>
    <w:p w:rsidR="00000000" w:rsidDel="00000000" w:rsidP="00000000" w:rsidRDefault="00000000" w:rsidRPr="00000000" w14:paraId="0000000D">
      <w:pPr>
        <w:numPr>
          <w:ilvl w:val="0"/>
          <w:numId w:val="1"/>
        </w:numPr>
        <w:spacing w:after="0" w:afterAutospacing="0" w:before="0" w:beforeAutospacing="0" w:line="320" w:lineRule="auto"/>
        <w:ind w:left="720" w:hanging="360"/>
      </w:pPr>
      <w:r w:rsidDel="00000000" w:rsidR="00000000" w:rsidRPr="00000000">
        <w:rPr>
          <w:rtl w:val="0"/>
        </w:rPr>
        <w:t xml:space="preserve">25 to 60: Medium risk. Gray zone. Possible indirect exposure, privacy tool usage, or weak counterparty signals.</w:t>
      </w:r>
    </w:p>
    <w:p w:rsidR="00000000" w:rsidDel="00000000" w:rsidP="00000000" w:rsidRDefault="00000000" w:rsidRPr="00000000" w14:paraId="0000000E">
      <w:pPr>
        <w:numPr>
          <w:ilvl w:val="0"/>
          <w:numId w:val="1"/>
        </w:numPr>
        <w:spacing w:after="240" w:before="0" w:beforeAutospacing="0" w:line="320" w:lineRule="auto"/>
        <w:ind w:left="720" w:hanging="360"/>
      </w:pPr>
      <w:r w:rsidDel="00000000" w:rsidR="00000000" w:rsidRPr="00000000">
        <w:rPr>
          <w:rtl w:val="0"/>
        </w:rPr>
        <w:t xml:space="preserve">60 and above: High risk. Triggers enhanced review, documentation requests, or transaction blocks.</w:t>
      </w:r>
    </w:p>
    <w:p w:rsidR="00000000" w:rsidDel="00000000" w:rsidP="00000000" w:rsidRDefault="00000000" w:rsidRPr="00000000" w14:paraId="0000000F">
      <w:pPr>
        <w:spacing w:after="240" w:before="240" w:line="320" w:lineRule="auto"/>
        <w:rPr/>
      </w:pPr>
      <w:r w:rsidDel="00000000" w:rsidR="00000000" w:rsidRPr="00000000">
        <w:rPr>
          <w:rtl w:val="0"/>
        </w:rPr>
        <w:t xml:space="preserve">The ranges tell you what tier a wallet lands in. They do not tell you why. And that is the most important question.</w:t>
      </w:r>
    </w:p>
    <w:p w:rsidR="00000000" w:rsidDel="00000000" w:rsidP="00000000" w:rsidRDefault="00000000" w:rsidRPr="00000000" w14:paraId="00000010">
      <w:pPr>
        <w:pStyle w:val="Heading2"/>
        <w:spacing w:after="80" w:before="360" w:line="320" w:lineRule="auto"/>
        <w:rPr>
          <w:sz w:val="34"/>
          <w:szCs w:val="34"/>
        </w:rPr>
      </w:pPr>
      <w:bookmarkStart w:colFirst="0" w:colLast="0" w:name="_qs92mugfxxsa" w:id="3"/>
      <w:bookmarkEnd w:id="3"/>
      <w:r w:rsidDel="00000000" w:rsidR="00000000" w:rsidRPr="00000000">
        <w:rPr>
          <w:sz w:val="34"/>
          <w:szCs w:val="34"/>
          <w:rtl w:val="0"/>
        </w:rPr>
        <w:t xml:space="preserve">How Wallet Risk Scores Are Actually Calculated</w:t>
      </w:r>
    </w:p>
    <w:p w:rsidR="00000000" w:rsidDel="00000000" w:rsidP="00000000" w:rsidRDefault="00000000" w:rsidRPr="00000000" w14:paraId="00000011">
      <w:pPr>
        <w:spacing w:after="240" w:before="240" w:line="320" w:lineRule="auto"/>
        <w:rPr/>
      </w:pPr>
      <w:r w:rsidDel="00000000" w:rsidR="00000000" w:rsidRPr="00000000">
        <w:rPr>
          <w:rtl w:val="0"/>
        </w:rPr>
        <w:t xml:space="preserve">Every blockchain transaction is public and permanent. When a wallet interacts directly with a darknet marketplace or receives funds from a known ransomware address, that connection shows up in any tool with a current labeled-address database. Most tools handle this part well.</w:t>
      </w:r>
    </w:p>
    <w:p w:rsidR="00000000" w:rsidDel="00000000" w:rsidP="00000000" w:rsidRDefault="00000000" w:rsidRPr="00000000" w14:paraId="00000012">
      <w:pPr>
        <w:spacing w:after="240" w:before="240" w:line="320" w:lineRule="auto"/>
        <w:rPr/>
      </w:pPr>
      <w:r w:rsidDel="00000000" w:rsidR="00000000" w:rsidRPr="00000000">
        <w:rPr>
          <w:rtl w:val="0"/>
        </w:rPr>
        <w:t xml:space="preserve">But direct exposure is the least common scenario. Most risk lives further back in the transaction graph.</w:t>
      </w:r>
    </w:p>
    <w:p w:rsidR="00000000" w:rsidDel="00000000" w:rsidP="00000000" w:rsidRDefault="00000000" w:rsidRPr="00000000" w14:paraId="00000013">
      <w:pPr>
        <w:pStyle w:val="Heading3"/>
        <w:spacing w:after="80" w:before="280" w:lineRule="auto"/>
        <w:rPr>
          <w:color w:val="1a1a1a"/>
          <w:sz w:val="26"/>
          <w:szCs w:val="26"/>
        </w:rPr>
      </w:pPr>
      <w:bookmarkStart w:colFirst="0" w:colLast="0" w:name="_wmptj0oti5po" w:id="4"/>
      <w:bookmarkEnd w:id="4"/>
      <w:r w:rsidDel="00000000" w:rsidR="00000000" w:rsidRPr="00000000">
        <w:rPr>
          <w:color w:val="1a1a1a"/>
          <w:sz w:val="26"/>
          <w:szCs w:val="26"/>
          <w:rtl w:val="0"/>
        </w:rPr>
        <w:t xml:space="preserve">The Hop Problem</w:t>
      </w:r>
    </w:p>
    <w:p w:rsidR="00000000" w:rsidDel="00000000" w:rsidP="00000000" w:rsidRDefault="00000000" w:rsidRPr="00000000" w14:paraId="00000014">
      <w:pPr>
        <w:spacing w:after="240" w:before="240" w:line="320" w:lineRule="auto"/>
        <w:rPr/>
      </w:pPr>
      <w:r w:rsidDel="00000000" w:rsidR="00000000" w:rsidRPr="00000000">
        <w:rPr>
          <w:rtl w:val="0"/>
        </w:rPr>
        <w:t xml:space="preserve">Indirect exposure is where a wallet did not interact with a flagged entity directly. One of its counterparties did. Each step between the wallet and the flagged entity is called a hop.</w:t>
      </w:r>
    </w:p>
    <w:p w:rsidR="00000000" w:rsidDel="00000000" w:rsidP="00000000" w:rsidRDefault="00000000" w:rsidRPr="00000000" w14:paraId="00000015">
      <w:pPr>
        <w:spacing w:after="240" w:before="240" w:line="320" w:lineRule="auto"/>
        <w:rPr/>
      </w:pPr>
      <w:r w:rsidDel="00000000" w:rsidR="00000000" w:rsidRPr="00000000">
        <w:rPr>
          <w:rtl w:val="0"/>
        </w:rPr>
        <w:t xml:space="preserve">The standard assumption is that more hops equal less risk. That assumption is wrong. NYDFS penalized Block Inc. for just one percent indirect exposure to terrorism-linked wallets. OFAC has never published a safe hop threshold. Distance is one factor, not a verdict.</w:t>
      </w:r>
    </w:p>
    <w:p w:rsidR="00000000" w:rsidDel="00000000" w:rsidP="00000000" w:rsidRDefault="00000000" w:rsidRPr="00000000" w14:paraId="00000016">
      <w:pPr>
        <w:pStyle w:val="Heading3"/>
        <w:spacing w:after="80" w:before="280" w:lineRule="auto"/>
        <w:rPr>
          <w:color w:val="1a1a1a"/>
          <w:sz w:val="26"/>
          <w:szCs w:val="26"/>
        </w:rPr>
      </w:pPr>
      <w:bookmarkStart w:colFirst="0" w:colLast="0" w:name="_yg2gjchyhass" w:id="5"/>
      <w:bookmarkEnd w:id="5"/>
      <w:r w:rsidDel="00000000" w:rsidR="00000000" w:rsidRPr="00000000">
        <w:rPr>
          <w:color w:val="1a1a1a"/>
          <w:sz w:val="26"/>
          <w:szCs w:val="26"/>
          <w:rtl w:val="0"/>
        </w:rPr>
        <w:t xml:space="preserve">Behavioral Signals That Elevate a Score</w:t>
      </w:r>
    </w:p>
    <w:p w:rsidR="00000000" w:rsidDel="00000000" w:rsidP="00000000" w:rsidRDefault="00000000" w:rsidRPr="00000000" w14:paraId="00000017">
      <w:pPr>
        <w:spacing w:after="240" w:before="240" w:line="320" w:lineRule="auto"/>
        <w:rPr/>
      </w:pPr>
      <w:r w:rsidDel="00000000" w:rsidR="00000000" w:rsidRPr="00000000">
        <w:rPr>
          <w:rtl w:val="0"/>
        </w:rPr>
        <w:t xml:space="preserve">Beyond counterparty exposure, scoring engines also read how funds move:</w:t>
      </w:r>
    </w:p>
    <w:p w:rsidR="00000000" w:rsidDel="00000000" w:rsidP="00000000" w:rsidRDefault="00000000" w:rsidRPr="00000000" w14:paraId="00000018">
      <w:pPr>
        <w:numPr>
          <w:ilvl w:val="0"/>
          <w:numId w:val="2"/>
        </w:numPr>
        <w:spacing w:after="0" w:afterAutospacing="0" w:before="240" w:line="320" w:lineRule="auto"/>
        <w:ind w:left="720" w:hanging="360"/>
      </w:pPr>
      <w:r w:rsidDel="00000000" w:rsidR="00000000" w:rsidRPr="00000000">
        <w:rPr>
          <w:rtl w:val="0"/>
        </w:rPr>
        <w:t xml:space="preserve">Peel chains: Large balances split into hundreds of micro-transactions across sequential new addresses to obscure origin</w:t>
      </w:r>
    </w:p>
    <w:p w:rsidR="00000000" w:rsidDel="00000000" w:rsidP="00000000" w:rsidRDefault="00000000" w:rsidRPr="00000000" w14:paraId="00000019">
      <w:pPr>
        <w:numPr>
          <w:ilvl w:val="0"/>
          <w:numId w:val="2"/>
        </w:numPr>
        <w:spacing w:after="0" w:afterAutospacing="0" w:before="0" w:beforeAutospacing="0" w:line="320" w:lineRule="auto"/>
        <w:ind w:left="720" w:hanging="360"/>
      </w:pPr>
      <w:r w:rsidDel="00000000" w:rsidR="00000000" w:rsidRPr="00000000">
        <w:rPr>
          <w:rtl w:val="0"/>
        </w:rPr>
        <w:t xml:space="preserve">Structuring: Breaking transfers into smaller amounts to stay below automated reporting thresholds</w:t>
      </w:r>
    </w:p>
    <w:p w:rsidR="00000000" w:rsidDel="00000000" w:rsidP="00000000" w:rsidRDefault="00000000" w:rsidRPr="00000000" w14:paraId="0000001A">
      <w:pPr>
        <w:numPr>
          <w:ilvl w:val="0"/>
          <w:numId w:val="2"/>
        </w:numPr>
        <w:spacing w:after="0" w:afterAutospacing="0" w:before="0" w:beforeAutospacing="0" w:line="320" w:lineRule="auto"/>
        <w:ind w:left="720" w:hanging="360"/>
      </w:pPr>
      <w:r w:rsidDel="00000000" w:rsidR="00000000" w:rsidRPr="00000000">
        <w:rPr>
          <w:rtl w:val="0"/>
        </w:rPr>
        <w:t xml:space="preserve">Unusual velocity: Withdrawing most of a balance within minutes of a large inflow</w:t>
      </w:r>
    </w:p>
    <w:p w:rsidR="00000000" w:rsidDel="00000000" w:rsidP="00000000" w:rsidRDefault="00000000" w:rsidRPr="00000000" w14:paraId="0000001B">
      <w:pPr>
        <w:numPr>
          <w:ilvl w:val="0"/>
          <w:numId w:val="2"/>
        </w:numPr>
        <w:spacing w:after="240" w:before="0" w:beforeAutospacing="0" w:line="320" w:lineRule="auto"/>
        <w:ind w:left="720" w:hanging="360"/>
      </w:pPr>
      <w:r w:rsidDel="00000000" w:rsidR="00000000" w:rsidRPr="00000000">
        <w:rPr>
          <w:rtl w:val="0"/>
        </w:rPr>
        <w:t xml:space="preserve">Mixer usage: Legal for privacy purposes, but repeated use flags the wallet regardless of intent</w:t>
      </w:r>
    </w:p>
    <w:p w:rsidR="00000000" w:rsidDel="00000000" w:rsidP="00000000" w:rsidRDefault="00000000" w:rsidRPr="00000000" w14:paraId="0000001C">
      <w:pPr>
        <w:spacing w:after="240" w:before="240" w:line="320" w:lineRule="auto"/>
        <w:rPr/>
      </w:pPr>
      <w:r w:rsidDel="00000000" w:rsidR="00000000" w:rsidRPr="00000000">
        <w:rPr>
          <w:rtl w:val="0"/>
        </w:rPr>
        <w:t xml:space="preserve">A clean counterparty list is not enough. A wallet that has never touched a flagged address can still score high if its transaction patterns match known laundering signatures.</w:t>
      </w:r>
    </w:p>
    <w:p w:rsidR="00000000" w:rsidDel="00000000" w:rsidP="00000000" w:rsidRDefault="00000000" w:rsidRPr="00000000" w14:paraId="0000001D">
      <w:pPr>
        <w:pStyle w:val="Heading2"/>
        <w:spacing w:after="80" w:before="360" w:line="320" w:lineRule="auto"/>
        <w:rPr>
          <w:sz w:val="34"/>
          <w:szCs w:val="34"/>
        </w:rPr>
      </w:pPr>
      <w:bookmarkStart w:colFirst="0" w:colLast="0" w:name="_6vf59egjf6kd" w:id="6"/>
      <w:bookmarkEnd w:id="6"/>
      <w:r w:rsidDel="00000000" w:rsidR="00000000" w:rsidRPr="00000000">
        <w:rPr>
          <w:sz w:val="34"/>
          <w:szCs w:val="34"/>
          <w:rtl w:val="0"/>
        </w:rPr>
        <w:t xml:space="preserve">What Most Tools Don't Tell You</w:t>
      </w:r>
    </w:p>
    <w:p w:rsidR="00000000" w:rsidDel="00000000" w:rsidP="00000000" w:rsidRDefault="00000000" w:rsidRPr="00000000" w14:paraId="0000001E">
      <w:pPr>
        <w:spacing w:after="240" w:before="240" w:line="320" w:lineRule="auto"/>
        <w:rPr/>
      </w:pPr>
      <w:r w:rsidDel="00000000" w:rsidR="00000000" w:rsidRPr="00000000">
        <w:rPr>
          <w:rtl w:val="0"/>
        </w:rPr>
        <w:t xml:space="preserve">Wallet risk scores are only as useful as the data behind them. Most tools share the same four blind spots. Understanding them is the difference between informed risk decisions and expensive mistakes.</w:t>
      </w:r>
    </w:p>
    <w:p w:rsidR="00000000" w:rsidDel="00000000" w:rsidP="00000000" w:rsidRDefault="00000000" w:rsidRPr="00000000" w14:paraId="0000001F">
      <w:pPr>
        <w:pStyle w:val="Heading3"/>
        <w:spacing w:after="80" w:before="280" w:lineRule="auto"/>
        <w:rPr>
          <w:color w:val="1a1a1a"/>
          <w:sz w:val="26"/>
          <w:szCs w:val="26"/>
        </w:rPr>
      </w:pPr>
      <w:bookmarkStart w:colFirst="0" w:colLast="0" w:name="_op7z7dulu9q9" w:id="7"/>
      <w:bookmarkEnd w:id="7"/>
      <w:r w:rsidDel="00000000" w:rsidR="00000000" w:rsidRPr="00000000">
        <w:rPr>
          <w:color w:val="1a1a1a"/>
          <w:sz w:val="26"/>
          <w:szCs w:val="26"/>
          <w:rtl w:val="0"/>
        </w:rPr>
        <w:t xml:space="preserve">Gap 1: The Number Without the Story</w:t>
      </w:r>
    </w:p>
    <w:p w:rsidR="00000000" w:rsidDel="00000000" w:rsidP="00000000" w:rsidRDefault="00000000" w:rsidRPr="00000000" w14:paraId="00000020">
      <w:pPr>
        <w:spacing w:after="240" w:before="240" w:line="320" w:lineRule="auto"/>
        <w:rPr/>
      </w:pPr>
      <w:r w:rsidDel="00000000" w:rsidR="00000000" w:rsidRPr="00000000">
        <w:rPr>
          <w:rtl w:val="0"/>
        </w:rPr>
        <w:t xml:space="preserve">Most tools return a score. No category breakdown. No context. No explanation of what is actually driving it.</w:t>
      </w:r>
    </w:p>
    <w:p w:rsidR="00000000" w:rsidDel="00000000" w:rsidP="00000000" w:rsidRDefault="00000000" w:rsidRPr="00000000" w14:paraId="00000021">
      <w:pPr>
        <w:spacing w:after="240" w:before="240" w:line="320" w:lineRule="auto"/>
        <w:rPr/>
      </w:pPr>
      <w:r w:rsidDel="00000000" w:rsidR="00000000" w:rsidRPr="00000000">
        <w:rPr>
          <w:rtl w:val="0"/>
        </w:rPr>
        <w:t xml:space="preserve">A wallet scoring 68 because of one direct darknet interaction is completely different from a wallet scoring 68 because of forty indirect hops through a mixer two years ago. Both require completely different responses. But the number looks the same.</w:t>
      </w:r>
    </w:p>
    <w:p w:rsidR="00000000" w:rsidDel="00000000" w:rsidP="00000000" w:rsidRDefault="00000000" w:rsidRPr="00000000" w14:paraId="00000022">
      <w:pPr>
        <w:spacing w:after="240" w:before="240" w:line="320" w:lineRule="auto"/>
        <w:rPr/>
      </w:pPr>
      <w:r w:rsidDel="00000000" w:rsidR="00000000" w:rsidRPr="00000000">
        <w:rPr>
          <w:rtl w:val="0"/>
        </w:rPr>
        <w:t xml:space="preserve">A score you cannot explain to a regulator is a score you cannot act on.</w:t>
      </w:r>
    </w:p>
    <w:p w:rsidR="00000000" w:rsidDel="00000000" w:rsidP="00000000" w:rsidRDefault="00000000" w:rsidRPr="00000000" w14:paraId="00000023">
      <w:pPr>
        <w:pStyle w:val="Heading3"/>
        <w:spacing w:after="80" w:before="280" w:lineRule="auto"/>
        <w:rPr>
          <w:color w:val="1a1a1a"/>
          <w:sz w:val="26"/>
          <w:szCs w:val="26"/>
        </w:rPr>
      </w:pPr>
      <w:bookmarkStart w:colFirst="0" w:colLast="0" w:name="_ws6l9ninfoe2" w:id="8"/>
      <w:bookmarkEnd w:id="8"/>
      <w:r w:rsidDel="00000000" w:rsidR="00000000" w:rsidRPr="00000000">
        <w:rPr>
          <w:color w:val="1a1a1a"/>
          <w:sz w:val="26"/>
          <w:szCs w:val="26"/>
          <w:rtl w:val="0"/>
        </w:rPr>
        <w:t xml:space="preserve">Gap 2: Cross-Chain Blindness</w:t>
      </w:r>
    </w:p>
    <w:p w:rsidR="00000000" w:rsidDel="00000000" w:rsidP="00000000" w:rsidRDefault="00000000" w:rsidRPr="00000000" w14:paraId="00000024">
      <w:pPr>
        <w:spacing w:after="240" w:before="240" w:line="320" w:lineRule="auto"/>
        <w:rPr/>
      </w:pPr>
      <w:r w:rsidDel="00000000" w:rsidR="00000000" w:rsidRPr="00000000">
        <w:rPr>
          <w:rtl w:val="0"/>
        </w:rPr>
        <w:t xml:space="preserve">This is the most dangerous gap in the industry right now.</w:t>
      </w:r>
    </w:p>
    <w:p w:rsidR="00000000" w:rsidDel="00000000" w:rsidP="00000000" w:rsidRDefault="00000000" w:rsidRPr="00000000" w14:paraId="00000025">
      <w:pPr>
        <w:spacing w:after="240" w:before="240" w:line="320" w:lineRule="auto"/>
        <w:rPr/>
      </w:pPr>
      <w:r w:rsidDel="00000000" w:rsidR="00000000" w:rsidRPr="00000000">
        <w:rPr>
          <w:rtl w:val="0"/>
        </w:rPr>
        <w:t xml:space="preserve">Elliptic's 2025 State of Cross-Chain Crime report found more than $21.8 billion laundered through cross-chain bridges and DEXs. That is a fivefold increase since 2022. Criminal actors move funds from Ethereum to Solana, swap on a DEX, splinter across Polygon and Avalanche, then exit through a low-KYC service. The entire sequence takes hours.</w:t>
      </w:r>
    </w:p>
    <w:p w:rsidR="00000000" w:rsidDel="00000000" w:rsidP="00000000" w:rsidRDefault="00000000" w:rsidRPr="00000000" w14:paraId="00000026">
      <w:pPr>
        <w:spacing w:after="240" w:before="240" w:line="320" w:lineRule="auto"/>
        <w:rPr/>
      </w:pPr>
      <w:r w:rsidDel="00000000" w:rsidR="00000000" w:rsidRPr="00000000">
        <w:rPr>
          <w:rtl w:val="0"/>
        </w:rPr>
        <w:t xml:space="preserve">Single-chain tools register each hop as an unrelated, low-risk event. By the time an analyst connects the dots manually, the funds are gone. The Lazarus Group laundered over $160 million from the $1.5 billion Bybit hack within 48 hours using exactly this playbook: cross-chain bridges, DeFi protocols, and rapid fragmentation across hundreds of wallets.</w:t>
      </w:r>
    </w:p>
    <w:p w:rsidR="00000000" w:rsidDel="00000000" w:rsidP="00000000" w:rsidRDefault="00000000" w:rsidRPr="00000000" w14:paraId="00000027">
      <w:pPr>
        <w:spacing w:after="240" w:before="240" w:line="320" w:lineRule="auto"/>
        <w:rPr/>
      </w:pPr>
      <w:r w:rsidDel="00000000" w:rsidR="00000000" w:rsidRPr="00000000">
        <w:rPr>
          <w:rtl w:val="0"/>
        </w:rPr>
        <w:t xml:space="preserve">Solana compounds the problem further. Unlike Ethereum, where tokens sit inside the wallet address itself, Solana uses program-derived token accounts separate from the main wallet. A user's SOL balance and their SPL token holdings live at different addresses entirely. Most scoring engines built for EVM chains treat each of those addresses as unrelated. A single Solana user's risk ends up scattered across accounts that never get stitched together.</w:t>
      </w:r>
    </w:p>
    <w:p w:rsidR="00000000" w:rsidDel="00000000" w:rsidP="00000000" w:rsidRDefault="00000000" w:rsidRPr="00000000" w14:paraId="00000028">
      <w:pPr>
        <w:spacing w:after="240" w:before="240" w:line="320" w:lineRule="auto"/>
        <w:rPr/>
      </w:pPr>
      <w:r w:rsidDel="00000000" w:rsidR="00000000" w:rsidRPr="00000000">
        <w:rPr>
          <w:rtl w:val="0"/>
        </w:rPr>
        <w:t xml:space="preserve">Compliance programs that cannot trace across chains are not doing cross-chain compliance. They are doing single-chain compliance and calling it complete.</w:t>
      </w:r>
    </w:p>
    <w:p w:rsidR="00000000" w:rsidDel="00000000" w:rsidP="00000000" w:rsidRDefault="00000000" w:rsidRPr="00000000" w14:paraId="00000029">
      <w:pPr>
        <w:pStyle w:val="Heading3"/>
        <w:spacing w:after="80" w:before="280" w:lineRule="auto"/>
        <w:rPr>
          <w:color w:val="1a1a1a"/>
          <w:sz w:val="26"/>
          <w:szCs w:val="26"/>
        </w:rPr>
      </w:pPr>
      <w:bookmarkStart w:colFirst="0" w:colLast="0" w:name="_w1p6wloeng7m" w:id="9"/>
      <w:bookmarkEnd w:id="9"/>
      <w:r w:rsidDel="00000000" w:rsidR="00000000" w:rsidRPr="00000000">
        <w:rPr>
          <w:color w:val="1a1a1a"/>
          <w:sz w:val="26"/>
          <w:szCs w:val="26"/>
          <w:rtl w:val="0"/>
        </w:rPr>
        <w:t xml:space="preserve">Gap 3: Point-in-Time Checks</w:t>
      </w:r>
    </w:p>
    <w:p w:rsidR="00000000" w:rsidDel="00000000" w:rsidP="00000000" w:rsidRDefault="00000000" w:rsidRPr="00000000" w14:paraId="0000002A">
      <w:pPr>
        <w:spacing w:after="240" w:before="240" w:line="320" w:lineRule="auto"/>
        <w:rPr/>
      </w:pPr>
      <w:r w:rsidDel="00000000" w:rsidR="00000000" w:rsidRPr="00000000">
        <w:rPr>
          <w:rtl w:val="0"/>
        </w:rPr>
        <w:t xml:space="preserve">A wallet verified as clean six months ago is not necessarily clean today. Risk is dynamic. A counterparty that looked legitimate at onboarding can interact with a sanctioned mixer tomorrow, retroactively raising the exposure of every wallet connected to it.</w:t>
      </w:r>
    </w:p>
    <w:p w:rsidR="00000000" w:rsidDel="00000000" w:rsidP="00000000" w:rsidRDefault="00000000" w:rsidRPr="00000000" w14:paraId="0000002B">
      <w:pPr>
        <w:spacing w:after="240" w:before="240" w:line="320" w:lineRule="auto"/>
        <w:rPr/>
      </w:pPr>
      <w:r w:rsidDel="00000000" w:rsidR="00000000" w:rsidRPr="00000000">
        <w:rPr>
          <w:rtl w:val="0"/>
        </w:rPr>
        <w:t xml:space="preserve">The $4.3 billion Binance settlement made this clear. Continuous monitoring is not optional infrastructure. It is the baseline expectation.</w:t>
      </w:r>
    </w:p>
    <w:p w:rsidR="00000000" w:rsidDel="00000000" w:rsidP="00000000" w:rsidRDefault="00000000" w:rsidRPr="00000000" w14:paraId="0000002C">
      <w:pPr>
        <w:pStyle w:val="Heading3"/>
        <w:spacing w:after="80" w:before="280" w:lineRule="auto"/>
        <w:rPr>
          <w:color w:val="1a1a1a"/>
          <w:sz w:val="26"/>
          <w:szCs w:val="26"/>
        </w:rPr>
      </w:pPr>
      <w:bookmarkStart w:colFirst="0" w:colLast="0" w:name="_qjkcqrcol2by" w:id="10"/>
      <w:bookmarkEnd w:id="10"/>
      <w:r w:rsidDel="00000000" w:rsidR="00000000" w:rsidRPr="00000000">
        <w:rPr>
          <w:color w:val="1a1a1a"/>
          <w:sz w:val="26"/>
          <w:szCs w:val="26"/>
          <w:rtl w:val="0"/>
        </w:rPr>
        <w:t xml:space="preserve">Gap 4: False Positives Burning Out Analysts</w:t>
      </w:r>
    </w:p>
    <w:p w:rsidR="00000000" w:rsidDel="00000000" w:rsidP="00000000" w:rsidRDefault="00000000" w:rsidRPr="00000000" w14:paraId="0000002D">
      <w:pPr>
        <w:spacing w:after="240" w:before="240" w:line="320" w:lineRule="auto"/>
        <w:rPr/>
      </w:pPr>
      <w:r w:rsidDel="00000000" w:rsidR="00000000" w:rsidRPr="00000000">
        <w:rPr>
          <w:rtl w:val="0"/>
        </w:rPr>
        <w:t xml:space="preserve">Legacy systems produce false positive rates as high as 95%. One Director of Financial Crime at a major traditional bank described it plainly: analysts reviewing over 200 alerts a day hit decision fatigue by early afternoon. The fear is not the volume. The fear is that a critical alert gets dismissed because the previous fifty were noise.</w:t>
      </w:r>
    </w:p>
    <w:p w:rsidR="00000000" w:rsidDel="00000000" w:rsidP="00000000" w:rsidRDefault="00000000" w:rsidRPr="00000000" w14:paraId="0000002E">
      <w:pPr>
        <w:spacing w:after="240" w:before="240" w:line="320" w:lineRule="auto"/>
        <w:rPr/>
      </w:pPr>
      <w:r w:rsidDel="00000000" w:rsidR="00000000" w:rsidRPr="00000000">
        <w:rPr>
          <w:rtl w:val="0"/>
        </w:rPr>
        <w:t xml:space="preserve">When every alert looks like noise, the real threats hide inside it.</w:t>
      </w:r>
    </w:p>
    <w:p w:rsidR="00000000" w:rsidDel="00000000" w:rsidP="00000000" w:rsidRDefault="00000000" w:rsidRPr="00000000" w14:paraId="0000002F">
      <w:pPr>
        <w:pStyle w:val="Heading2"/>
        <w:spacing w:after="80" w:before="360" w:line="320" w:lineRule="auto"/>
        <w:rPr>
          <w:sz w:val="34"/>
          <w:szCs w:val="34"/>
        </w:rPr>
      </w:pPr>
      <w:bookmarkStart w:colFirst="0" w:colLast="0" w:name="_brtouozelcx" w:id="11"/>
      <w:bookmarkEnd w:id="11"/>
      <w:r w:rsidDel="00000000" w:rsidR="00000000" w:rsidRPr="00000000">
        <w:rPr>
          <w:sz w:val="34"/>
          <w:szCs w:val="34"/>
          <w:rtl w:val="0"/>
        </w:rPr>
        <w:t xml:space="preserve">What a Good Risk Score Actually Looks Like</w:t>
      </w:r>
    </w:p>
    <w:p w:rsidR="00000000" w:rsidDel="00000000" w:rsidP="00000000" w:rsidRDefault="00000000" w:rsidRPr="00000000" w14:paraId="00000030">
      <w:pPr>
        <w:spacing w:after="240" w:before="240" w:line="320" w:lineRule="auto"/>
        <w:rPr/>
      </w:pPr>
      <w:r w:rsidDel="00000000" w:rsidR="00000000" w:rsidRPr="00000000">
        <w:rPr>
          <w:rtl w:val="0"/>
        </w:rPr>
        <w:t xml:space="preserve">A good risk score is not a number. It is a risk narrative you can audit, explain, and defend.</w:t>
      </w:r>
    </w:p>
    <w:p w:rsidR="00000000" w:rsidDel="00000000" w:rsidP="00000000" w:rsidRDefault="00000000" w:rsidRPr="00000000" w14:paraId="00000031">
      <w:pPr>
        <w:spacing w:after="240" w:before="240" w:line="320" w:lineRule="auto"/>
        <w:rPr/>
      </w:pPr>
      <w:r w:rsidDel="00000000" w:rsidR="00000000" w:rsidRPr="00000000">
        <w:rPr>
          <w:rtl w:val="0"/>
        </w:rPr>
        <w:t xml:space="preserve">It covers:</w:t>
      </w:r>
    </w:p>
    <w:p w:rsidR="00000000" w:rsidDel="00000000" w:rsidP="00000000" w:rsidRDefault="00000000" w:rsidRPr="00000000" w14:paraId="00000032">
      <w:pPr>
        <w:numPr>
          <w:ilvl w:val="0"/>
          <w:numId w:val="4"/>
        </w:numPr>
        <w:spacing w:after="0" w:afterAutospacing="0" w:before="240" w:line="320" w:lineRule="auto"/>
        <w:ind w:left="720" w:hanging="360"/>
      </w:pPr>
      <w:r w:rsidDel="00000000" w:rsidR="00000000" w:rsidRPr="00000000">
        <w:rPr>
          <w:rtl w:val="0"/>
        </w:rPr>
        <w:t xml:space="preserve">Score composition: Exactly which categories are driving the number and by how much</w:t>
      </w:r>
    </w:p>
    <w:p w:rsidR="00000000" w:rsidDel="00000000" w:rsidP="00000000" w:rsidRDefault="00000000" w:rsidRPr="00000000" w14:paraId="00000033">
      <w:pPr>
        <w:numPr>
          <w:ilvl w:val="0"/>
          <w:numId w:val="4"/>
        </w:numPr>
        <w:spacing w:after="0" w:afterAutospacing="0" w:before="0" w:beforeAutospacing="0" w:line="320" w:lineRule="auto"/>
        <w:ind w:left="720" w:hanging="360"/>
      </w:pPr>
      <w:r w:rsidDel="00000000" w:rsidR="00000000" w:rsidRPr="00000000">
        <w:rPr>
          <w:rtl w:val="0"/>
        </w:rPr>
        <w:t xml:space="preserve">Hop distance and volume: Not just that indirect exposure exists, but how far and how much</w:t>
      </w:r>
    </w:p>
    <w:p w:rsidR="00000000" w:rsidDel="00000000" w:rsidP="00000000" w:rsidRDefault="00000000" w:rsidRPr="00000000" w14:paraId="00000034">
      <w:pPr>
        <w:numPr>
          <w:ilvl w:val="0"/>
          <w:numId w:val="4"/>
        </w:numPr>
        <w:spacing w:after="0" w:afterAutospacing="0" w:before="0" w:beforeAutospacing="0" w:line="320" w:lineRule="auto"/>
        <w:ind w:left="720" w:hanging="360"/>
      </w:pPr>
      <w:r w:rsidDel="00000000" w:rsidR="00000000" w:rsidRPr="00000000">
        <w:rPr>
          <w:rtl w:val="0"/>
        </w:rPr>
        <w:t xml:space="preserve">Recency weighting: A mixer interaction from three years ago is not the same risk as one from last week</w:t>
      </w:r>
    </w:p>
    <w:p w:rsidR="00000000" w:rsidDel="00000000" w:rsidP="00000000" w:rsidRDefault="00000000" w:rsidRPr="00000000" w14:paraId="00000035">
      <w:pPr>
        <w:numPr>
          <w:ilvl w:val="0"/>
          <w:numId w:val="4"/>
        </w:numPr>
        <w:spacing w:after="0" w:afterAutospacing="0" w:before="0" w:beforeAutospacing="0" w:line="320" w:lineRule="auto"/>
        <w:ind w:left="720" w:hanging="360"/>
      </w:pPr>
      <w:r w:rsidDel="00000000" w:rsidR="00000000" w:rsidRPr="00000000">
        <w:rPr>
          <w:rtl w:val="0"/>
        </w:rPr>
        <w:t xml:space="preserve">Behavioral pattern analysis: Transaction velocity, fragmentation patterns, cross-chain movement sequences</w:t>
      </w:r>
    </w:p>
    <w:p w:rsidR="00000000" w:rsidDel="00000000" w:rsidP="00000000" w:rsidRDefault="00000000" w:rsidRPr="00000000" w14:paraId="00000036">
      <w:pPr>
        <w:numPr>
          <w:ilvl w:val="0"/>
          <w:numId w:val="4"/>
        </w:numPr>
        <w:spacing w:after="240" w:before="0" w:beforeAutospacing="0" w:line="320" w:lineRule="auto"/>
        <w:ind w:left="720" w:hanging="360"/>
      </w:pPr>
      <w:r w:rsidDel="00000000" w:rsidR="00000000" w:rsidRPr="00000000">
        <w:rPr>
          <w:rtl w:val="0"/>
        </w:rPr>
        <w:t xml:space="preserve">Omnichain coverage: EVM chains, Solana, and cross-chain activity in one unified view, not separate dashboards</w:t>
      </w:r>
    </w:p>
    <w:p w:rsidR="00000000" w:rsidDel="00000000" w:rsidP="00000000" w:rsidRDefault="00000000" w:rsidRPr="00000000" w14:paraId="00000037">
      <w:pPr>
        <w:spacing w:after="240" w:before="240" w:line="320" w:lineRule="auto"/>
        <w:rPr/>
      </w:pPr>
      <w:r w:rsidDel="00000000" w:rsidR="00000000" w:rsidRPr="00000000">
        <w:rPr>
          <w:rtl w:val="0"/>
        </w:rPr>
        <w:t xml:space="preserve">The wallet risk scoring market reached $2.15 billion in 2024 and is growing at 18.7% annually. That growth is not driven by demand for more scores. It is driven by demand for scores that actually mean something.</w:t>
      </w:r>
    </w:p>
    <w:p w:rsidR="00000000" w:rsidDel="00000000" w:rsidP="00000000" w:rsidRDefault="00000000" w:rsidRPr="00000000" w14:paraId="00000038">
      <w:pPr>
        <w:pStyle w:val="Heading2"/>
        <w:spacing w:after="80" w:before="360" w:line="320" w:lineRule="auto"/>
        <w:rPr>
          <w:sz w:val="34"/>
          <w:szCs w:val="34"/>
        </w:rPr>
      </w:pPr>
      <w:bookmarkStart w:colFirst="0" w:colLast="0" w:name="_h4d3a1ly8skt" w:id="12"/>
      <w:bookmarkEnd w:id="12"/>
      <w:r w:rsidDel="00000000" w:rsidR="00000000" w:rsidRPr="00000000">
        <w:rPr>
          <w:sz w:val="34"/>
          <w:szCs w:val="34"/>
          <w:rtl w:val="0"/>
        </w:rPr>
        <w:t xml:space="preserve">How to Read Your Own Wallet Risk Score</w:t>
      </w:r>
    </w:p>
    <w:p w:rsidR="00000000" w:rsidDel="00000000" w:rsidP="00000000" w:rsidRDefault="00000000" w:rsidRPr="00000000" w14:paraId="00000039">
      <w:pPr>
        <w:spacing w:after="240" w:before="240" w:line="320" w:lineRule="auto"/>
        <w:rPr/>
      </w:pPr>
      <w:r w:rsidDel="00000000" w:rsidR="00000000" w:rsidRPr="00000000">
        <w:rPr>
          <w:rtl w:val="0"/>
        </w:rPr>
        <w:t xml:space="preserve">Getting flagged does not mean you did something wrong. It means a signal in the data triggered a threshold. Here is how to read the situation clearly.</w:t>
      </w:r>
    </w:p>
    <w:p w:rsidR="00000000" w:rsidDel="00000000" w:rsidP="00000000" w:rsidRDefault="00000000" w:rsidRPr="00000000" w14:paraId="0000003A">
      <w:pPr>
        <w:spacing w:after="240" w:before="240" w:line="320" w:lineRule="auto"/>
        <w:rPr/>
      </w:pPr>
      <w:r w:rsidDel="00000000" w:rsidR="00000000" w:rsidRPr="00000000">
        <w:rPr>
          <w:b w:val="1"/>
          <w:bCs w:val="1"/>
          <w:rtl w:val="0"/>
        </w:rPr>
        <w:t xml:space="preserve">If your score is elevated from indirect exposure,</w:t>
      </w:r>
      <w:r w:rsidDel="00000000" w:rsidR="00000000" w:rsidRPr="00000000">
        <w:rPr>
          <w:rtl w:val="0"/>
        </w:rPr>
        <w:t xml:space="preserve"> request a full category breakdown before taking any action. Check how many hops separate you from the flagged entity, what volume passed through that path, and how recent the interaction was. In many cases, a certificate of withdrawal from a regulated exchange resolves the flag entirely.</w:t>
      </w:r>
    </w:p>
    <w:p w:rsidR="00000000" w:rsidDel="00000000" w:rsidP="00000000" w:rsidRDefault="00000000" w:rsidRPr="00000000" w14:paraId="0000003B">
      <w:pPr>
        <w:spacing w:after="240" w:before="240" w:line="320" w:lineRule="auto"/>
        <w:rPr/>
      </w:pPr>
      <w:r w:rsidDel="00000000" w:rsidR="00000000" w:rsidRPr="00000000">
        <w:rPr>
          <w:b w:val="1"/>
          <w:bCs w:val="1"/>
          <w:rtl w:val="0"/>
        </w:rPr>
        <w:t xml:space="preserve">If you used a privacy tool,</w:t>
      </w:r>
      <w:r w:rsidDel="00000000" w:rsidR="00000000" w:rsidRPr="00000000">
        <w:rPr>
          <w:rtl w:val="0"/>
        </w:rPr>
        <w:t xml:space="preserve"> understand that mixer usage elevates scores on most platforms regardless of intent. Prepare documentation of your transaction history and the legitimate purpose.</w:t>
      </w:r>
    </w:p>
    <w:p w:rsidR="00000000" w:rsidDel="00000000" w:rsidP="00000000" w:rsidRDefault="00000000" w:rsidRPr="00000000" w14:paraId="0000003C">
      <w:pPr>
        <w:spacing w:after="240" w:before="240" w:line="320" w:lineRule="auto"/>
        <w:rPr/>
      </w:pPr>
      <w:r w:rsidDel="00000000" w:rsidR="00000000" w:rsidRPr="00000000">
        <w:rPr>
          <w:b w:val="1"/>
          <w:bCs w:val="1"/>
          <w:rtl w:val="0"/>
        </w:rPr>
        <w:t xml:space="preserve">If you run compliance,</w:t>
      </w:r>
      <w:r w:rsidDel="00000000" w:rsidR="00000000" w:rsidRPr="00000000">
        <w:rPr>
          <w:rtl w:val="0"/>
        </w:rPr>
        <w:t xml:space="preserve"> treat a high score as the opening of an investigation, not the conclusion of one. Every adverse action should be backed by documented reasoning: what the score showed, what the category breakdown revealed, and what human judgment determined. That paper trail is what regulators ask for first.</w:t>
      </w:r>
    </w:p>
    <w:p w:rsidR="00000000" w:rsidDel="00000000" w:rsidP="00000000" w:rsidRDefault="00000000" w:rsidRPr="00000000" w14:paraId="0000003D">
      <w:pPr>
        <w:spacing w:after="240" w:before="240" w:line="320" w:lineRule="auto"/>
        <w:rPr/>
      </w:pPr>
      <w:r w:rsidDel="00000000" w:rsidR="00000000" w:rsidRPr="00000000">
        <w:rPr>
          <w:rtl w:val="0"/>
        </w:rPr>
        <w:t xml:space="preserve">Start by pulling your score through a wallet screening API or requesting the breakdown directly from your exchange's compliance team. If the tool cannot provide category-level detail, that tells you something about the quality of the score.</w:t>
      </w:r>
    </w:p>
    <w:p w:rsidR="00000000" w:rsidDel="00000000" w:rsidP="00000000" w:rsidRDefault="00000000" w:rsidRPr="00000000" w14:paraId="0000003E">
      <w:pPr>
        <w:pStyle w:val="Heading2"/>
        <w:spacing w:after="80" w:before="360" w:line="320" w:lineRule="auto"/>
        <w:rPr>
          <w:sz w:val="34"/>
          <w:szCs w:val="34"/>
        </w:rPr>
      </w:pPr>
      <w:bookmarkStart w:colFirst="0" w:colLast="0" w:name="_egr57f14u8g3" w:id="13"/>
      <w:bookmarkEnd w:id="13"/>
      <w:r w:rsidDel="00000000" w:rsidR="00000000" w:rsidRPr="00000000">
        <w:rPr>
          <w:sz w:val="34"/>
          <w:szCs w:val="34"/>
          <w:rtl w:val="0"/>
        </w:rPr>
        <w:t xml:space="preserve">The Bottom Line</w:t>
      </w:r>
    </w:p>
    <w:p w:rsidR="00000000" w:rsidDel="00000000" w:rsidP="00000000" w:rsidRDefault="00000000" w:rsidRPr="00000000" w14:paraId="0000003F">
      <w:pPr>
        <w:spacing w:after="240" w:before="240" w:line="320" w:lineRule="auto"/>
        <w:rPr/>
      </w:pPr>
      <w:r w:rsidDel="00000000" w:rsidR="00000000" w:rsidRPr="00000000">
        <w:rPr>
          <w:rtl w:val="0"/>
        </w:rPr>
        <w:t xml:space="preserve">Wallet risk scores are the foundation of crypto compliance, DeFi due diligence, and institutional onboarding. But a number without context is not intelligence. It is a liability dressed up as a safety check.</w:t>
      </w:r>
    </w:p>
    <w:p w:rsidR="00000000" w:rsidDel="00000000" w:rsidP="00000000" w:rsidRDefault="00000000" w:rsidRPr="00000000" w14:paraId="00000040">
      <w:pPr>
        <w:spacing w:after="240" w:before="240" w:line="320" w:lineRule="auto"/>
        <w:rPr/>
      </w:pPr>
      <w:r w:rsidDel="00000000" w:rsidR="00000000" w:rsidRPr="00000000">
        <w:rPr>
          <w:rtl w:val="0"/>
        </w:rPr>
        <w:t xml:space="preserve">The questions worth asking about any risk score are simple. What is driving it? How far back does the exposure go? Does the tool see what happened on the other chain? And if a wallet's risk profile changes tomorrow, will you know?</w:t>
      </w:r>
    </w:p>
    <w:p w:rsidR="00000000" w:rsidDel="00000000" w:rsidP="00000000" w:rsidRDefault="00000000" w:rsidRPr="00000000" w14:paraId="00000041">
      <w:pPr>
        <w:spacing w:after="240" w:before="240" w:line="320" w:lineRule="auto"/>
        <w:rPr/>
      </w:pPr>
      <w:r w:rsidDel="00000000" w:rsidR="00000000" w:rsidRPr="00000000">
        <w:rPr>
          <w:rtl w:val="0"/>
        </w:rPr>
        <w:t xml:space="preserve">Most tools cannot answer all four. The ones that can are not doing wallet screening. They are doing risk intelligence. The difference shows up in the decisions, the audits, and the enforcement actions that follow.</w:t>
      </w:r>
    </w:p>
    <w:p w:rsidR="00000000" w:rsidDel="00000000" w:rsidP="00000000" w:rsidRDefault="00000000" w:rsidRPr="00000000" w14:paraId="00000042">
      <w:pPr>
        <w:spacing w:after="240" w:before="240" w:line="320" w:lineRule="auto"/>
        <w:rPr>
          <w:b w:val="1"/>
          <w:bCs w:val="1"/>
        </w:rPr>
      </w:pPr>
      <w:r w:rsidDel="00000000" w:rsidR="00000000" w:rsidRPr="00000000">
        <w:rPr>
          <w:b w:val="1"/>
          <w:bCs w:val="1"/>
          <w:rtl w:val="0"/>
        </w:rPr>
        <w:t xml:space="preserve">Stop reading a number. Start reading the risk.</w:t>
      </w:r>
    </w:p>
    <w:p w:rsidR="00000000" w:rsidDel="00000000" w:rsidP="00000000" w:rsidRDefault="00000000" w:rsidRPr="00000000" w14:paraId="00000043">
      <w:pPr>
        <w:spacing w:after="240" w:before="240" w:line="320" w:lineRule="auto"/>
        <w:rPr>
          <w:i w:val="1"/>
          <w:iCs w:val="1"/>
        </w:rPr>
      </w:pPr>
      <w:r w:rsidDel="00000000" w:rsidR="00000000" w:rsidRPr="00000000">
        <w:rPr>
          <w:i w:val="1"/>
          <w:iCs w:val="1"/>
          <w:rtl w:val="0"/>
        </w:rPr>
        <w:t xml:space="preserve">OmniRisk delivers omnichain wallet risk intelligence across EVM, Solana, and cross-chain activity, with full score breakdowns, behavioral analysis, and continuous monitoring that updates when the chain does.</w:t>
      </w:r>
    </w:p>
    <w:p w:rsidR="00000000" w:rsidDel="00000000" w:rsidP="00000000" w:rsidRDefault="00000000" w:rsidRPr="00000000" w14:paraId="00000044">
      <w:pPr>
        <w:spacing w:after="240" w:before="240" w:line="320" w:lineRule="auto"/>
        <w:rPr/>
      </w:pPr>
      <w:hyperlink r:id="rId6">
        <w:r w:rsidDel="00000000" w:rsidR="00000000" w:rsidRPr="00000000">
          <w:rPr>
            <w:color w:val="1155cc"/>
            <w:u w:val="single"/>
            <w:rtl w:val="0"/>
          </w:rPr>
          <w:t xml:space="preserve">Analyze a wallet with OmniRisk →</w:t>
        </w:r>
      </w:hyperlink>
      <w:r w:rsidDel="00000000" w:rsidR="00000000" w:rsidRPr="00000000">
        <w:rPr>
          <w:rtl w:val="0"/>
        </w:rPr>
      </w:r>
    </w:p>
    <w:p w:rsidR="00000000" w:rsidDel="00000000" w:rsidP="00000000" w:rsidRDefault="00000000" w:rsidRPr="00000000" w14:paraId="00000045">
      <w:pPr>
        <w:pStyle w:val="Heading2"/>
        <w:spacing w:after="80" w:before="360" w:line="320" w:lineRule="auto"/>
        <w:rPr>
          <w:sz w:val="34"/>
          <w:szCs w:val="34"/>
        </w:rPr>
      </w:pPr>
      <w:bookmarkStart w:colFirst="0" w:colLast="0" w:name="_y7vg3rbeo3zc" w:id="14"/>
      <w:bookmarkEnd w:id="14"/>
      <w:r w:rsidDel="00000000" w:rsidR="00000000" w:rsidRPr="00000000">
        <w:rPr>
          <w:sz w:val="34"/>
          <w:szCs w:val="34"/>
          <w:rtl w:val="0"/>
        </w:rPr>
        <w:t xml:space="preserve">Answering the Two Strategic Questions</w:t>
      </w:r>
    </w:p>
    <w:p w:rsidR="00000000" w:rsidDel="00000000" w:rsidP="00000000" w:rsidRDefault="00000000" w:rsidRPr="00000000" w14:paraId="00000046">
      <w:pPr>
        <w:spacing w:after="240" w:before="240" w:line="320" w:lineRule="auto"/>
        <w:rPr>
          <w:i w:val="1"/>
          <w:iCs w:val="1"/>
        </w:rPr>
      </w:pPr>
      <w:r w:rsidDel="00000000" w:rsidR="00000000" w:rsidRPr="00000000">
        <w:rPr>
          <w:i w:val="1"/>
          <w:iCs w:val="1"/>
          <w:rtl w:val="0"/>
        </w:rPr>
        <w:t xml:space="preserve">These answers are included as part of the trial brief Basel requested alongside the main article.</w:t>
      </w:r>
    </w:p>
    <w:p w:rsidR="00000000" w:rsidDel="00000000" w:rsidP="00000000" w:rsidRDefault="00000000" w:rsidRPr="00000000" w14:paraId="00000047">
      <w:pPr>
        <w:pStyle w:val="Heading3"/>
        <w:spacing w:after="80" w:before="280" w:lineRule="auto"/>
        <w:rPr>
          <w:color w:val="1a1a1a"/>
          <w:sz w:val="26"/>
          <w:szCs w:val="26"/>
        </w:rPr>
      </w:pPr>
      <w:bookmarkStart w:colFirst="0" w:colLast="0" w:name="_eqfjhwguy0c0" w:id="15"/>
      <w:bookmarkEnd w:id="15"/>
      <w:r w:rsidDel="00000000" w:rsidR="00000000" w:rsidRPr="00000000">
        <w:rPr>
          <w:color w:val="1a1a1a"/>
          <w:sz w:val="26"/>
          <w:szCs w:val="26"/>
          <w:rtl w:val="0"/>
        </w:rPr>
        <w:t xml:space="preserve">Question 1: How to Structure "Is This Token Safe?" to Both Rank and Convert</w:t>
      </w:r>
    </w:p>
    <w:p w:rsidR="00000000" w:rsidDel="00000000" w:rsidP="00000000" w:rsidRDefault="00000000" w:rsidRPr="00000000" w14:paraId="00000048">
      <w:pPr>
        <w:spacing w:after="240" w:before="240" w:line="320" w:lineRule="auto"/>
        <w:rPr/>
      </w:pPr>
      <w:r w:rsidDel="00000000" w:rsidR="00000000" w:rsidRPr="00000000">
        <w:rPr>
          <w:b w:val="1"/>
          <w:bCs w:val="1"/>
          <w:rtl w:val="0"/>
        </w:rPr>
        <w:t xml:space="preserve">Primary keyword:</w:t>
      </w:r>
      <w:r w:rsidDel="00000000" w:rsidR="00000000" w:rsidRPr="00000000">
        <w:rPr>
          <w:rtl w:val="0"/>
        </w:rPr>
        <w:t xml:space="preserve"> how to check if a token is safe</w:t>
      </w:r>
    </w:p>
    <w:p w:rsidR="00000000" w:rsidDel="00000000" w:rsidP="00000000" w:rsidRDefault="00000000" w:rsidRPr="00000000" w14:paraId="00000049">
      <w:pPr>
        <w:spacing w:after="240" w:before="240" w:line="320" w:lineRule="auto"/>
        <w:rPr/>
      </w:pPr>
      <w:r w:rsidDel="00000000" w:rsidR="00000000" w:rsidRPr="00000000">
        <w:rPr>
          <w:rtl w:val="0"/>
        </w:rPr>
        <w:t xml:space="preserve">The search intent is mixed. Some readers want education. Most want a fast answer about a specific token they are already looking at. The article needs to serve both without losing either.</w:t>
      </w:r>
    </w:p>
    <w:p w:rsidR="00000000" w:rsidDel="00000000" w:rsidP="00000000" w:rsidRDefault="00000000" w:rsidRPr="00000000" w14:paraId="0000004A">
      <w:pPr>
        <w:spacing w:after="240" w:before="240" w:line="320" w:lineRule="auto"/>
        <w:rPr/>
      </w:pPr>
      <w:r w:rsidDel="00000000" w:rsidR="00000000" w:rsidRPr="00000000">
        <w:rPr>
          <w:rtl w:val="0"/>
        </w:rPr>
        <w:t xml:space="preserve">Recommended structure:</w:t>
      </w:r>
    </w:p>
    <w:p w:rsidR="00000000" w:rsidDel="00000000" w:rsidP="00000000" w:rsidRDefault="00000000" w:rsidRPr="00000000" w14:paraId="0000004B">
      <w:pPr>
        <w:numPr>
          <w:ilvl w:val="0"/>
          <w:numId w:val="3"/>
        </w:numPr>
        <w:spacing w:after="0" w:afterAutospacing="0" w:before="240" w:line="320" w:lineRule="auto"/>
        <w:ind w:left="720" w:hanging="360"/>
      </w:pPr>
      <w:r w:rsidDel="00000000" w:rsidR="00000000" w:rsidRPr="00000000">
        <w:rPr>
          <w:rtl w:val="0"/>
        </w:rPr>
        <w:t xml:space="preserve">What "safe" actually means. Separate contract safety, deployer history, liquidity integrity, and holder distribution into distinct risk layers. Most readers conflate all four.</w:t>
      </w:r>
    </w:p>
    <w:p w:rsidR="00000000" w:rsidDel="00000000" w:rsidP="00000000" w:rsidRDefault="00000000" w:rsidRPr="00000000" w14:paraId="0000004C">
      <w:pPr>
        <w:numPr>
          <w:ilvl w:val="0"/>
          <w:numId w:val="3"/>
        </w:numPr>
        <w:spacing w:after="0" w:afterAutospacing="0" w:before="0" w:beforeAutospacing="0" w:line="320" w:lineRule="auto"/>
        <w:ind w:left="720" w:hanging="360"/>
      </w:pPr>
      <w:r w:rsidDel="00000000" w:rsidR="00000000" w:rsidRPr="00000000">
        <w:rPr>
          <w:rtl w:val="0"/>
        </w:rPr>
        <w:t xml:space="preserve">What token scanners actually check. Be specific about what automated tools cover well and where they stop.</w:t>
      </w:r>
    </w:p>
    <w:p w:rsidR="00000000" w:rsidDel="00000000" w:rsidP="00000000" w:rsidRDefault="00000000" w:rsidRPr="00000000" w14:paraId="0000004D">
      <w:pPr>
        <w:numPr>
          <w:ilvl w:val="0"/>
          <w:numId w:val="3"/>
        </w:numPr>
        <w:spacing w:after="0" w:afterAutospacing="0" w:before="0" w:beforeAutospacing="0" w:line="320" w:lineRule="auto"/>
        <w:ind w:left="720" w:hanging="360"/>
      </w:pPr>
      <w:r w:rsidDel="00000000" w:rsidR="00000000" w:rsidRPr="00000000">
        <w:rPr>
          <w:rtl w:val="0"/>
        </w:rPr>
        <w:t xml:space="preserve">What they miss. This is where the article earns its authority, covered in detail below.</w:t>
      </w:r>
    </w:p>
    <w:p w:rsidR="00000000" w:rsidDel="00000000" w:rsidP="00000000" w:rsidRDefault="00000000" w:rsidRPr="00000000" w14:paraId="0000004E">
      <w:pPr>
        <w:numPr>
          <w:ilvl w:val="0"/>
          <w:numId w:val="3"/>
        </w:numPr>
        <w:spacing w:after="0" w:afterAutospacing="0" w:before="0" w:beforeAutospacing="0" w:line="320" w:lineRule="auto"/>
        <w:ind w:left="720" w:hanging="360"/>
      </w:pPr>
      <w:r w:rsidDel="00000000" w:rsidR="00000000" w:rsidRPr="00000000">
        <w:rPr>
          <w:rtl w:val="0"/>
        </w:rPr>
        <w:t xml:space="preserve">A practical checklist readers can run through before interacting with any token.</w:t>
      </w:r>
    </w:p>
    <w:p w:rsidR="00000000" w:rsidDel="00000000" w:rsidP="00000000" w:rsidRDefault="00000000" w:rsidRPr="00000000" w14:paraId="0000004F">
      <w:pPr>
        <w:numPr>
          <w:ilvl w:val="0"/>
          <w:numId w:val="3"/>
        </w:numPr>
        <w:spacing w:after="240" w:before="0" w:beforeAutospacing="0" w:line="320" w:lineRule="auto"/>
        <w:ind w:left="720" w:hanging="360"/>
      </w:pPr>
      <w:r w:rsidDel="00000000" w:rsidR="00000000" w:rsidRPr="00000000">
        <w:rPr>
          <w:rtl w:val="0"/>
        </w:rPr>
        <w:t xml:space="preserve">CTA: Position OmniRisk as the tool that covers the gaps standard scanners leave open.</w:t>
      </w:r>
    </w:p>
    <w:p w:rsidR="00000000" w:rsidDel="00000000" w:rsidP="00000000" w:rsidRDefault="00000000" w:rsidRPr="00000000" w14:paraId="00000050">
      <w:pPr>
        <w:spacing w:after="240" w:before="240" w:line="320" w:lineRule="auto"/>
        <w:rPr/>
      </w:pPr>
      <w:r w:rsidDel="00000000" w:rsidR="00000000" w:rsidRPr="00000000">
        <w:rPr>
          <w:rtl w:val="0"/>
        </w:rPr>
        <w:t xml:space="preserve">The conversion logic is straightforward: educate the reader on a risk they did not know existed, then show them exactly where to close it.</w:t>
      </w:r>
    </w:p>
    <w:p w:rsidR="00000000" w:rsidDel="00000000" w:rsidP="00000000" w:rsidRDefault="00000000" w:rsidRPr="00000000" w14:paraId="00000051">
      <w:pPr>
        <w:pStyle w:val="Heading3"/>
        <w:spacing w:after="80" w:before="280" w:lineRule="auto"/>
        <w:rPr>
          <w:color w:val="1a1a1a"/>
          <w:sz w:val="26"/>
          <w:szCs w:val="26"/>
        </w:rPr>
      </w:pPr>
      <w:bookmarkStart w:colFirst="0" w:colLast="0" w:name="_kmhb0d6i0aqa" w:id="16"/>
      <w:bookmarkEnd w:id="16"/>
      <w:r w:rsidDel="00000000" w:rsidR="00000000" w:rsidRPr="00000000">
        <w:rPr>
          <w:color w:val="1a1a1a"/>
          <w:sz w:val="26"/>
          <w:szCs w:val="26"/>
          <w:rtl w:val="0"/>
        </w:rPr>
        <w:t xml:space="preserve">Question 2: Three Risks Normal Token Scanners Miss</w:t>
      </w:r>
    </w:p>
    <w:p w:rsidR="00000000" w:rsidDel="00000000" w:rsidP="00000000" w:rsidRDefault="00000000" w:rsidRPr="00000000" w14:paraId="00000052">
      <w:pPr>
        <w:spacing w:after="240" w:before="240" w:line="320" w:lineRule="auto"/>
        <w:rPr/>
      </w:pPr>
      <w:r w:rsidDel="00000000" w:rsidR="00000000" w:rsidRPr="00000000">
        <w:rPr>
          <w:rtl w:val="0"/>
        </w:rPr>
        <w:t xml:space="preserve">Most token scanners read the contract and call it done. The contract is the last place sophisticated risk hides.</w:t>
      </w:r>
    </w:p>
    <w:p w:rsidR="00000000" w:rsidDel="00000000" w:rsidP="00000000" w:rsidRDefault="00000000" w:rsidRPr="00000000" w14:paraId="00000053">
      <w:pPr>
        <w:spacing w:after="240" w:before="240" w:line="320" w:lineRule="auto"/>
        <w:rPr/>
      </w:pPr>
      <w:r w:rsidDel="00000000" w:rsidR="00000000" w:rsidRPr="00000000">
        <w:rPr>
          <w:b w:val="1"/>
          <w:bCs w:val="1"/>
          <w:rtl w:val="0"/>
        </w:rPr>
        <w:t xml:space="preserve">1. Deployer wallet history across chains.</w:t>
      </w:r>
      <w:r w:rsidDel="00000000" w:rsidR="00000000" w:rsidRPr="00000000">
        <w:rPr>
          <w:rtl w:val="0"/>
        </w:rPr>
        <w:t xml:space="preserve"> The token contract can be clean. The wallet that deployed it can tell a completely different story. A deployer with twelve previous rug pulls across Ethereum, Base, and BSC does not start a thirteenth project with honest intentions. Single-chain scanners never see the full trail. Cross-chain wallet history does.</w:t>
      </w:r>
    </w:p>
    <w:p w:rsidR="00000000" w:rsidDel="00000000" w:rsidP="00000000" w:rsidRDefault="00000000" w:rsidRPr="00000000" w14:paraId="00000054">
      <w:pPr>
        <w:spacing w:after="240" w:before="240" w:line="320" w:lineRule="auto"/>
        <w:rPr/>
      </w:pPr>
      <w:r w:rsidDel="00000000" w:rsidR="00000000" w:rsidRPr="00000000">
        <w:rPr>
          <w:b w:val="1"/>
          <w:bCs w:val="1"/>
          <w:rtl w:val="0"/>
        </w:rPr>
        <w:t xml:space="preserve">2. Liquidity origin risk.</w:t>
      </w:r>
      <w:r w:rsidDel="00000000" w:rsidR="00000000" w:rsidRPr="00000000">
        <w:rPr>
          <w:rtl w:val="0"/>
        </w:rPr>
        <w:t xml:space="preserve"> Scanners check whether liquidity exists. They rarely check where it came from. Seed capital bridged from a flagged Solana wallet, or routed through a mixer before being deposited into the LP, makes the entire liquidity pool suspect regardless of how healthy it looks on the surface.</w:t>
      </w:r>
    </w:p>
    <w:p w:rsidR="00000000" w:rsidDel="00000000" w:rsidP="00000000" w:rsidRDefault="00000000" w:rsidRPr="00000000" w14:paraId="00000055">
      <w:pPr>
        <w:spacing w:after="240" w:before="240" w:line="320" w:lineRule="auto"/>
        <w:rPr/>
      </w:pPr>
      <w:r w:rsidDel="00000000" w:rsidR="00000000" w:rsidRPr="00000000">
        <w:rPr>
          <w:b w:val="1"/>
          <w:bCs w:val="1"/>
          <w:rtl w:val="0"/>
        </w:rPr>
        <w:t xml:space="preserve">3. Coordinated holder behavior.</w:t>
      </w:r>
      <w:r w:rsidDel="00000000" w:rsidR="00000000" w:rsidRPr="00000000">
        <w:rPr>
          <w:rtl w:val="0"/>
        </w:rPr>
        <w:t xml:space="preserve"> Holder distribution charts can look perfectly healthy: thirty wallets, none holding more than five percent. What the chart does not show is that all thirty wallets were funded from the same source address within a four-hour window, have never interacted with any other token, and have been dormant since funding. That is not organic distribution. That is a staged dump waiting to execute.</w:t>
      </w:r>
    </w:p>
    <w:p w:rsidR="00000000" w:rsidDel="00000000" w:rsidP="00000000" w:rsidRDefault="00000000" w:rsidRPr="00000000" w14:paraId="00000056">
      <w:pPr>
        <w:pStyle w:val="Heading2"/>
        <w:spacing w:after="80" w:before="360" w:line="320" w:lineRule="auto"/>
        <w:rPr>
          <w:sz w:val="34"/>
          <w:szCs w:val="34"/>
        </w:rPr>
      </w:pPr>
      <w:bookmarkStart w:colFirst="0" w:colLast="0" w:name="_pi54is4656br" w:id="17"/>
      <w:bookmarkEnd w:id="17"/>
      <w:r w:rsidDel="00000000" w:rsidR="00000000" w:rsidRPr="00000000">
        <w:rPr>
          <w:sz w:val="34"/>
          <w:szCs w:val="34"/>
          <w:rtl w:val="0"/>
        </w:rPr>
        <w:t xml:space="preserve">Frequently Asked Questions</w:t>
      </w:r>
    </w:p>
    <w:p w:rsidR="00000000" w:rsidDel="00000000" w:rsidP="00000000" w:rsidRDefault="00000000" w:rsidRPr="00000000" w14:paraId="00000057">
      <w:pPr>
        <w:pStyle w:val="Heading3"/>
        <w:rPr/>
      </w:pPr>
      <w:bookmarkStart w:colFirst="0" w:colLast="0" w:name="_32hm5ik8szaz" w:id="18"/>
      <w:bookmarkEnd w:id="18"/>
      <w:r w:rsidDel="00000000" w:rsidR="00000000" w:rsidRPr="00000000">
        <w:rPr>
          <w:rtl w:val="0"/>
        </w:rPr>
        <w:t xml:space="preserve">What is a good wallet risk score?</w:t>
      </w:r>
      <w:r w:rsidDel="00000000" w:rsidR="00000000" w:rsidRPr="00000000">
        <w:rPr>
          <w:rtl w:val="0"/>
        </w:rPr>
        <w:t xml:space="preserve"> </w:t>
      </w:r>
    </w:p>
    <w:p w:rsidR="00000000" w:rsidDel="00000000" w:rsidP="00000000" w:rsidRDefault="00000000" w:rsidRPr="00000000" w14:paraId="00000058">
      <w:pPr>
        <w:spacing w:after="240" w:before="240" w:line="320" w:lineRule="auto"/>
        <w:rPr/>
      </w:pPr>
      <w:r w:rsidDel="00000000" w:rsidR="00000000" w:rsidRPr="00000000">
        <w:rPr>
          <w:rtl w:val="0"/>
        </w:rPr>
        <w:t xml:space="preserve">Generally, anything under 25 on a 0 to 100 scale indicates low risk with no meaningful ties to flagged entities. But the number alone is never the full picture. A score of 20 with undisclosed indirect exposure to a sanctioned mixer is more dangerous than a score of 40 driven by a single resolved flag. Always request the category breakdown.</w:t>
      </w:r>
    </w:p>
    <w:p w:rsidR="00000000" w:rsidDel="00000000" w:rsidP="00000000" w:rsidRDefault="00000000" w:rsidRPr="00000000" w14:paraId="00000059">
      <w:pPr>
        <w:pStyle w:val="Heading3"/>
        <w:spacing w:after="240" w:before="240" w:line="320" w:lineRule="auto"/>
        <w:rPr>
          <w:sz w:val="26"/>
          <w:szCs w:val="26"/>
        </w:rPr>
      </w:pPr>
      <w:bookmarkStart w:colFirst="0" w:colLast="0" w:name="_u0sdnizcu7bp" w:id="19"/>
      <w:bookmarkEnd w:id="19"/>
      <w:r w:rsidDel="00000000" w:rsidR="00000000" w:rsidRPr="00000000">
        <w:rPr>
          <w:b w:val="1"/>
          <w:bCs w:val="1"/>
          <w:sz w:val="26"/>
          <w:szCs w:val="26"/>
          <w:rtl w:val="0"/>
        </w:rPr>
        <w:t xml:space="preserve">Can a wallet risk score change over time?</w:t>
      </w:r>
      <w:r w:rsidDel="00000000" w:rsidR="00000000" w:rsidRPr="00000000">
        <w:rPr>
          <w:sz w:val="26"/>
          <w:szCs w:val="26"/>
          <w:rtl w:val="0"/>
        </w:rPr>
        <w:t xml:space="preserve"> </w:t>
      </w:r>
    </w:p>
    <w:p w:rsidR="00000000" w:rsidDel="00000000" w:rsidP="00000000" w:rsidRDefault="00000000" w:rsidRPr="00000000" w14:paraId="0000005A">
      <w:pPr>
        <w:spacing w:after="240" w:before="240" w:line="320" w:lineRule="auto"/>
        <w:rPr/>
      </w:pPr>
      <w:r w:rsidDel="00000000" w:rsidR="00000000" w:rsidRPr="00000000">
        <w:rPr>
          <w:rtl w:val="0"/>
        </w:rPr>
        <w:t xml:space="preserve">Yes. A counterparty that was clean at onboarding can interact with illicit services later, and that retroactively raises exposure for every connected wallet. This is why continuous monitoring exists and why point-in-time checks are no longer sufficient for compliance.</w:t>
      </w:r>
    </w:p>
    <w:p w:rsidR="00000000" w:rsidDel="00000000" w:rsidP="00000000" w:rsidRDefault="00000000" w:rsidRPr="00000000" w14:paraId="0000005B">
      <w:pPr>
        <w:pStyle w:val="Heading3"/>
        <w:spacing w:after="240" w:before="240" w:line="320" w:lineRule="auto"/>
        <w:rPr>
          <w:sz w:val="26"/>
          <w:szCs w:val="26"/>
        </w:rPr>
      </w:pPr>
      <w:bookmarkStart w:colFirst="0" w:colLast="0" w:name="_aa9tq5s5bs18" w:id="20"/>
      <w:bookmarkEnd w:id="20"/>
      <w:r w:rsidDel="00000000" w:rsidR="00000000" w:rsidRPr="00000000">
        <w:rPr>
          <w:b w:val="1"/>
          <w:bCs w:val="1"/>
          <w:sz w:val="26"/>
          <w:szCs w:val="26"/>
          <w:rtl w:val="0"/>
        </w:rPr>
        <w:t xml:space="preserve">Do privacy tools like mixers automatically make a wallet high risk?</w:t>
      </w:r>
      <w:r w:rsidDel="00000000" w:rsidR="00000000" w:rsidRPr="00000000">
        <w:rPr>
          <w:sz w:val="26"/>
          <w:szCs w:val="26"/>
          <w:rtl w:val="0"/>
        </w:rPr>
        <w:t xml:space="preserve"> </w:t>
      </w:r>
    </w:p>
    <w:p w:rsidR="00000000" w:rsidDel="00000000" w:rsidP="00000000" w:rsidRDefault="00000000" w:rsidRPr="00000000" w14:paraId="0000005C">
      <w:pPr>
        <w:spacing w:after="240" w:before="240" w:line="320" w:lineRule="auto"/>
        <w:rPr/>
      </w:pPr>
      <w:r w:rsidDel="00000000" w:rsidR="00000000" w:rsidRPr="00000000">
        <w:rPr>
          <w:rtl w:val="0"/>
        </w:rPr>
        <w:t xml:space="preserve">On most platforms, yes. Mixer usage elevates a wallet's score regardless of intent. Even where privacy tools are legal, repeated interaction with mixing services generates behavioral signals that scoring engines read as obfuscation. Document your transaction history and purpose if you use them.</w:t>
      </w:r>
    </w:p>
    <w:p w:rsidR="00000000" w:rsidDel="00000000" w:rsidP="00000000" w:rsidRDefault="00000000" w:rsidRPr="00000000" w14:paraId="0000005D">
      <w:pPr>
        <w:pStyle w:val="Heading3"/>
        <w:spacing w:after="240" w:before="240" w:line="320" w:lineRule="auto"/>
        <w:rPr>
          <w:sz w:val="26"/>
          <w:szCs w:val="26"/>
        </w:rPr>
      </w:pPr>
      <w:bookmarkStart w:colFirst="0" w:colLast="0" w:name="_38ot1m9kfdfo" w:id="21"/>
      <w:bookmarkEnd w:id="21"/>
      <w:r w:rsidDel="00000000" w:rsidR="00000000" w:rsidRPr="00000000">
        <w:rPr>
          <w:b w:val="1"/>
          <w:bCs w:val="1"/>
          <w:sz w:val="26"/>
          <w:szCs w:val="26"/>
          <w:rtl w:val="0"/>
        </w:rPr>
        <w:t xml:space="preserve">Why do different platforms give different risk scores for the same wallet?</w:t>
      </w:r>
      <w:r w:rsidDel="00000000" w:rsidR="00000000" w:rsidRPr="00000000">
        <w:rPr>
          <w:sz w:val="26"/>
          <w:szCs w:val="26"/>
          <w:rtl w:val="0"/>
        </w:rPr>
        <w:t xml:space="preserve"> </w:t>
      </w:r>
    </w:p>
    <w:p w:rsidR="00000000" w:rsidDel="00000000" w:rsidP="00000000" w:rsidRDefault="00000000" w:rsidRPr="00000000" w14:paraId="0000005E">
      <w:pPr>
        <w:spacing w:after="240" w:before="240" w:line="320" w:lineRule="auto"/>
        <w:rPr/>
      </w:pPr>
      <w:r w:rsidDel="00000000" w:rsidR="00000000" w:rsidRPr="00000000">
        <w:rPr>
          <w:rtl w:val="0"/>
        </w:rPr>
        <w:t xml:space="preserve">Scoring depends on three things that vary between providers: the size and freshness of their labeled-address database, how they weight indirect exposure and behavioral signals, and how many chains they actually trace. A tool that only covers Ethereum will miss risk that originated on Solana or crossed a bridge. The score is only as good as the data it can see.</w:t>
      </w:r>
    </w:p>
    <w:p w:rsidR="00000000" w:rsidDel="00000000" w:rsidP="00000000" w:rsidRDefault="00000000" w:rsidRPr="00000000" w14:paraId="0000005F">
      <w:pPr>
        <w:pStyle w:val="Heading3"/>
        <w:spacing w:after="240" w:before="240" w:line="320" w:lineRule="auto"/>
        <w:rPr>
          <w:sz w:val="26"/>
          <w:szCs w:val="26"/>
        </w:rPr>
      </w:pPr>
      <w:bookmarkStart w:colFirst="0" w:colLast="0" w:name="_32rbykwh5f8k" w:id="22"/>
      <w:bookmarkEnd w:id="22"/>
      <w:r w:rsidDel="00000000" w:rsidR="00000000" w:rsidRPr="00000000">
        <w:rPr>
          <w:b w:val="1"/>
          <w:bCs w:val="1"/>
          <w:sz w:val="26"/>
          <w:szCs w:val="26"/>
          <w:rtl w:val="0"/>
        </w:rPr>
        <w:t xml:space="preserve">What is the difference between wallet screening and risk intelligence?</w:t>
      </w:r>
      <w:r w:rsidDel="00000000" w:rsidR="00000000" w:rsidRPr="00000000">
        <w:rPr>
          <w:sz w:val="26"/>
          <w:szCs w:val="26"/>
          <w:rtl w:val="0"/>
        </w:rPr>
        <w:t xml:space="preserve"> </w:t>
      </w:r>
    </w:p>
    <w:p w:rsidR="00000000" w:rsidDel="00000000" w:rsidP="00000000" w:rsidRDefault="00000000" w:rsidRPr="00000000" w14:paraId="00000060">
      <w:pPr>
        <w:spacing w:after="240" w:before="240" w:line="320" w:lineRule="auto"/>
        <w:rPr/>
      </w:pPr>
      <w:r w:rsidDel="00000000" w:rsidR="00000000" w:rsidRPr="00000000">
        <w:rPr>
          <w:rtl w:val="0"/>
        </w:rPr>
        <w:t xml:space="preserve">Wallet screening checks an address against known blacklists and returns a score. Risk intelligence goes further: it breaks down what is driving that score, traces activity across chains, monitors for changes over time, and provides the documented reasoning compliance teams need to defend decisions to regulators. Screening tells you a wallet is risky. Intelligence tells you why.</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0d0d0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Georgia" w:cs="Georgia" w:eastAsia="Georgia" w:hAnsi="Georgia"/>
      <w:b w:val="1"/>
      <w:bCs w:val="1"/>
      <w:i w:val="0"/>
      <w:iCs w:val="0"/>
      <w:smallCaps w:val="0"/>
      <w:strike w:val="0"/>
      <w:color w:val="1a1a1a"/>
      <w:sz w:val="28"/>
      <w:szCs w:val="28"/>
      <w:u w:val="none"/>
      <w:shd w:fill="auto" w:val="clear"/>
      <w:vertAlign w:val="baseline"/>
    </w:rPr>
  </w:style>
  <w:style w:type="paragraph" w:styleId="Heading3">
    <w:name w:val="heading 3"/>
    <w:basedOn w:val="Normal"/>
    <w:next w:val="Normal"/>
    <w:pPr>
      <w:spacing w:after="240" w:before="240" w:line="320" w:lineRule="auto"/>
    </w:pPr>
    <w:rPr>
      <w:b w:val="1"/>
      <w:bCs w:val="1"/>
      <w:color w:val="000000"/>
      <w:sz w:val="26"/>
      <w:szCs w:val="26"/>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mnirisk.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