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line="276"/>
        <w:jc w:val="left"/>
      </w:pPr>
      <w:r>
        <w:rPr>
          <w:rFonts w:ascii="Arial" w:cs="Arial" w:eastAsia="Arial" w:hAnsi="Arial"/>
          <w:b w:val="false"/>
          <w:bCs w:val="false"/>
          <w:i w:val="false"/>
          <w:iCs w:val="false"/>
          <w:color w:val="1C2226"/>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E52" w:val="clear"/>
            <w:tcMar>
              <w:top w:type="dxa" w:w="200"/>
              <w:left w:type="dxa" w:w="320"/>
              <w:bottom w:type="dxa" w:w="200"/>
              <w:right w:type="dxa" w:w="320"/>
            </w:tcMar>
          </w:tcPr>
          <w:p>
            <w:pPr>
              <w:jc w:val="left"/>
            </w:pPr>
            <w:r>
              <w:rPr>
                <w:rFonts w:ascii="Arial" w:cs="Arial" w:eastAsia="Arial" w:hAnsi="Arial"/>
                <w:b/>
                <w:bCs/>
                <w:color w:val="FFFFFF"/>
                <w:sz w:val="28"/>
                <w:szCs w:val="28"/>
              </w:rPr>
              <w:t xml:space="preserve">NORDICBLUE AQUACULTURE HOLDINGS AS</w:t>
            </w:r>
            <w:r>
              <w:rPr>
                <w:rFonts w:ascii="Arial" w:cs="Arial" w:eastAsia="Arial" w:hAnsi="Arial"/>
                <w:color w:val="A3CECE"/>
                <w:sz w:val="22"/>
                <w:szCs w:val="22"/>
              </w:rPr>
              <w:t xml:space="preserve">   |   NordicBlue / NBH</w:t>
            </w:r>
          </w:p>
          <w:p>
            <w:r>
              <w:rPr>
                <w:rFonts w:ascii="Arial" w:cs="Arial" w:eastAsia="Arial" w:hAnsi="Arial"/>
                <w:color w:val="A3CECE"/>
                <w:sz w:val="18"/>
                <w:szCs w:val="18"/>
              </w:rPr>
              <w:t xml:space="preserve">Strandveien 42, 4010 Stavanger, Norway  ·  Org. Nr. 923 481 756</w:t>
            </w:r>
          </w:p>
        </w:tc>
      </w:tr>
    </w:tbl>
    <w:p>
      <w:pPr>
        <w:spacing w:after="80" w:before="280" w:line="276"/>
        <w:jc w:val="left"/>
      </w:pPr>
      <w:r>
        <w:rPr>
          <w:rFonts w:ascii="Arial" w:cs="Arial" w:eastAsia="Arial" w:hAnsi="Arial"/>
          <w:b w:val="false"/>
          <w:bCs w:val="false"/>
          <w:i w:val="false"/>
          <w:iCs w:val="false"/>
          <w:color w:val="1C2226"/>
          <w:sz w:val="22"/>
          <w:szCs w:val="22"/>
        </w:rPr>
        <w:t xml:space="preserve"/>
      </w:r>
    </w:p>
    <w:p>
      <w:pPr>
        <w:spacing w:after="40" w:before="120"/>
        <w:jc w:val="left"/>
      </w:pPr>
      <w:r>
        <w:rPr>
          <w:rFonts w:ascii="Arial" w:cs="Arial" w:eastAsia="Arial" w:hAnsi="Arial"/>
          <w:b/>
          <w:bCs/>
          <w:color w:val="0A2E52"/>
          <w:sz w:val="52"/>
          <w:szCs w:val="52"/>
        </w:rPr>
        <w:t xml:space="preserve">REQUEST FOR PROPOSAL</w:t>
      </w:r>
    </w:p>
    <w:p>
      <w:pPr>
        <w:pBdr>
          <w:bottom w:val="single" w:color="0C6B6B" w:sz="8"/>
        </w:pBdr>
        <w:spacing w:after="60" w:before="0"/>
        <w:jc w:val="left"/>
      </w:pPr>
      <w:r>
        <w:rPr>
          <w:rFonts w:ascii="Arial" w:cs="Arial" w:eastAsia="Arial" w:hAnsi="Arial"/>
          <w:i/>
          <w:iCs/>
          <w:color w:val="0C6B6B"/>
          <w:sz w:val="30"/>
          <w:szCs w:val="30"/>
        </w:rPr>
        <w:t xml:space="preserve">Integrated Digital Farm Management Platform</w:t>
      </w:r>
    </w:p>
    <w:p>
      <w:pPr>
        <w:spacing w:after="80" w:before="120" w:line="276"/>
        <w:jc w:val="left"/>
      </w:pPr>
      <w:r>
        <w:rPr>
          <w:rFonts w:ascii="Arial" w:cs="Arial" w:eastAsia="Arial" w:hAnsi="Arial"/>
          <w:b w:val="false"/>
          <w:bCs w:val="false"/>
          <w:i w:val="false"/>
          <w:iCs w:val="false"/>
          <w:color w:val="1C2226"/>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Document Reference</w:t>
            </w:r>
          </w:p>
        </w:tc>
        <w:tc>
          <w:tcPr>
            <w:tcW w:type="dxa" w:w="6760"/>
            <w:tcBorders>
              <w:top w:val="single" w:color="0C6B6B" w:sz="1"/>
              <w:left w:val="single" w:color="0C6B6B" w:sz="1"/>
              <w:bottom w:val="single" w:color="0C6B6B" w:sz="1"/>
              <w:right w:val="single" w:color="0C6B6B" w:sz="1"/>
            </w:tcBorders>
            <w:shd w:fill="E5F2F2"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NBH-RFP-2025-DIGI-004</w:t>
            </w:r>
          </w:p>
        </w:tc>
      </w:tr>
      <w:tr>
        <w:tc>
          <w:tcPr>
            <w:tcW w:type="dxa" w:w="26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Version</w:t>
            </w:r>
          </w:p>
        </w:tc>
        <w:tc>
          <w:tcPr>
            <w:tcW w:type="dxa" w:w="6760"/>
            <w:tcBorders>
              <w:top w:val="single" w:color="0C6B6B" w:sz="1"/>
              <w:left w:val="single" w:color="0C6B6B" w:sz="1"/>
              <w:bottom w:val="single" w:color="0C6B6B" w:sz="1"/>
              <w:right w:val="single" w:color="0C6B6B" w:sz="1"/>
            </w:tcBorders>
            <w:shd w:fill="E5F2F2"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3.0 — ISSUED FOR TENDER</w:t>
            </w:r>
          </w:p>
        </w:tc>
      </w:tr>
      <w:tr>
        <w:tc>
          <w:tcPr>
            <w:tcW w:type="dxa" w:w="26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Issue Date</w:t>
            </w:r>
          </w:p>
        </w:tc>
        <w:tc>
          <w:tcPr>
            <w:tcW w:type="dxa" w:w="6760"/>
            <w:tcBorders>
              <w:top w:val="single" w:color="0C6B6B" w:sz="1"/>
              <w:left w:val="single" w:color="0C6B6B" w:sz="1"/>
              <w:bottom w:val="single" w:color="0C6B6B" w:sz="1"/>
              <w:right w:val="single" w:color="0C6B6B" w:sz="1"/>
            </w:tcBorders>
            <w:shd w:fill="E5F2F2"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3 March 2025</w:t>
            </w:r>
          </w:p>
        </w:tc>
      </w:tr>
      <w:tr>
        <w:tc>
          <w:tcPr>
            <w:tcW w:type="dxa" w:w="26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Submission Deadline</w:t>
            </w:r>
          </w:p>
        </w:tc>
        <w:tc>
          <w:tcPr>
            <w:tcW w:type="dxa" w:w="6760"/>
            <w:tcBorders>
              <w:top w:val="single" w:color="0C6B6B" w:sz="1"/>
              <w:left w:val="single" w:color="0C6B6B" w:sz="1"/>
              <w:bottom w:val="single" w:color="0C6B6B" w:sz="1"/>
              <w:right w:val="single" w:color="0C6B6B" w:sz="1"/>
            </w:tcBorders>
            <w:shd w:fill="E5F2F2"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2 May 2025, 17:00 Central European Time</w:t>
            </w:r>
          </w:p>
        </w:tc>
      </w:tr>
      <w:tr>
        <w:tc>
          <w:tcPr>
            <w:tcW w:type="dxa" w:w="26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Issuing Department</w:t>
            </w:r>
          </w:p>
        </w:tc>
        <w:tc>
          <w:tcPr>
            <w:tcW w:type="dxa" w:w="6760"/>
            <w:tcBorders>
              <w:top w:val="single" w:color="0C6B6B" w:sz="1"/>
              <w:left w:val="single" w:color="0C6B6B" w:sz="1"/>
              <w:bottom w:val="single" w:color="0C6B6B" w:sz="1"/>
              <w:right w:val="single" w:color="0C6B6B" w:sz="1"/>
            </w:tcBorders>
            <w:shd w:fill="E5F2F2"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Product &amp; Technology, NordicBlue Aquaculture Holdings AS</w:t>
            </w:r>
          </w:p>
        </w:tc>
      </w:tr>
      <w:tr>
        <w:tc>
          <w:tcPr>
            <w:tcW w:type="dxa" w:w="26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Primary Contact</w:t>
            </w:r>
          </w:p>
        </w:tc>
        <w:tc>
          <w:tcPr>
            <w:tcW w:type="dxa" w:w="6760"/>
            <w:tcBorders>
              <w:top w:val="single" w:color="0C6B6B" w:sz="1"/>
              <w:left w:val="single" w:color="0C6B6B" w:sz="1"/>
              <w:bottom w:val="single" w:color="0C6B6B" w:sz="1"/>
              <w:right w:val="single" w:color="0C6B6B" w:sz="1"/>
            </w:tcBorders>
            <w:shd w:fill="E5F2F2"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Sigrid Halvorsen, VP Product &amp; Technology — rfp@nordicblue-aqua.no</w:t>
            </w:r>
          </w:p>
        </w:tc>
      </w:tr>
      <w:tr>
        <w:tc>
          <w:tcPr>
            <w:tcW w:type="dxa" w:w="26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Document Status</w:t>
            </w:r>
          </w:p>
        </w:tc>
        <w:tc>
          <w:tcPr>
            <w:tcW w:type="dxa" w:w="6760"/>
            <w:tcBorders>
              <w:top w:val="single" w:color="0C6B6B" w:sz="1"/>
              <w:left w:val="single" w:color="0C6B6B" w:sz="1"/>
              <w:bottom w:val="single" w:color="0C6B6B" w:sz="1"/>
              <w:right w:val="single" w:color="0C6B6B" w:sz="1"/>
            </w:tcBorders>
            <w:shd w:fill="E5F2F2"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CONFIDENTIAL — Restricted to Invited Recipients Only</w:t>
            </w:r>
          </w:p>
        </w:tc>
      </w:tr>
    </w:tbl>
    <w:p>
      <w:pPr>
        <w:spacing w:after="80" w:before="240" w:line="276"/>
        <w:jc w:val="left"/>
      </w:pPr>
      <w:r>
        <w:rPr>
          <w:rFonts w:ascii="Arial" w:cs="Arial" w:eastAsia="Arial" w:hAnsi="Arial"/>
          <w:b w:val="false"/>
          <w:bCs w:val="false"/>
          <w:i w:val="false"/>
          <w:iCs w:val="false"/>
          <w:color w:val="1C2226"/>
          <w:sz w:val="22"/>
          <w:szCs w:val="22"/>
        </w:rPr>
        <w:t xml:space="preserve"/>
      </w:r>
    </w:p>
    <w:p>
      <w:pPr>
        <w:spacing w:after="80" w:before="80" w:line="276"/>
        <w:jc w:val="left"/>
      </w:pPr>
      <w:r>
        <w:rPr>
          <w:rFonts w:ascii="Arial" w:cs="Arial" w:eastAsia="Arial" w:hAnsi="Arial"/>
          <w:b w:val="false"/>
          <w:bCs w:val="false"/>
          <w:i/>
          <w:iCs/>
          <w:color w:val="666666"/>
          <w:sz w:val="19"/>
          <w:szCs w:val="19"/>
        </w:rPr>
        <w:t xml:space="preserve">This document is issued exclusively to vendors invited by NordicBlue Aquaculture Holdings AS. Unauthorised reproduction or distribution is strictly prohibited. Receipt of this document does not create any obligation on the part of NordicBlue Aquaculture Holdings AS to award a contract.</w:t>
      </w:r>
    </w:p>
    <w:p>
      <w:r>
        <w:br w:type="page"/>
      </w:r>
    </w:p>
    <w:p>
      <w:pPr>
        <w:pStyle w:val="Heading1"/>
        <w:spacing w:after="160" w:before="400"/>
      </w:pPr>
      <w:r>
        <w:rPr>
          <w:rFonts w:ascii="Arial" w:cs="Arial" w:eastAsia="Arial" w:hAnsi="Arial"/>
          <w:b/>
          <w:bCs/>
          <w:color w:val="0A2E52"/>
          <w:sz w:val="38"/>
          <w:szCs w:val="38"/>
        </w:rPr>
        <w:t xml:space="preserve">TABLE OF CONTENTS</w:t>
      </w:r>
    </w:p>
    <w:p>
      <w:pPr>
        <w:pBdr>
          <w:bottom w:val="single" w:color="A3CECE" w:sz="4"/>
        </w:pBdr>
        <w:spacing w:after="120" w:before="120"/>
      </w:pPr>
    </w:p>
    <w:p>
      <w:pPr>
        <w:tabs>
          <w:tab w:val="right" w:pos="9000" w:leader="dot"/>
        </w:tabs>
        <w:spacing w:after="70" w:before="70"/>
      </w:pPr>
      <w:r>
        <w:rPr>
          <w:rFonts w:ascii="Arial" w:cs="Arial" w:eastAsia="Arial" w:hAnsi="Arial"/>
          <w:color w:val="1C2226"/>
          <w:sz w:val="22"/>
          <w:szCs w:val="22"/>
        </w:rPr>
        <w:t xml:space="preserve">1.   Executive Summary and Strategic Context</w:t>
      </w:r>
      <w:r>
        <w:rPr>
          <w:rFonts w:ascii="Arial" w:cs="Arial" w:eastAsia="Arial" w:hAnsi="Arial"/>
          <w:b/>
          <w:bCs/>
          <w:color w:val="0A2E52"/>
          <w:sz w:val="22"/>
          <w:szCs w:val="22"/>
        </w:rPr>
        <w:t xml:space="preserve">	4</w:t>
      </w:r>
    </w:p>
    <w:p>
      <w:pPr>
        <w:tabs>
          <w:tab w:val="right" w:pos="9000" w:leader="dot"/>
        </w:tabs>
        <w:spacing w:after="70" w:before="70"/>
      </w:pPr>
      <w:r>
        <w:rPr>
          <w:rFonts w:ascii="Arial" w:cs="Arial" w:eastAsia="Arial" w:hAnsi="Arial"/>
          <w:color w:val="1C2226"/>
          <w:sz w:val="22"/>
          <w:szCs w:val="22"/>
        </w:rPr>
        <w:t xml:space="preserve">2.   Background: NordicBlue Aquaculture Holdings AS</w:t>
      </w:r>
      <w:r>
        <w:rPr>
          <w:rFonts w:ascii="Arial" w:cs="Arial" w:eastAsia="Arial" w:hAnsi="Arial"/>
          <w:b/>
          <w:bCs/>
          <w:color w:val="0A2E52"/>
          <w:sz w:val="22"/>
          <w:szCs w:val="22"/>
        </w:rPr>
        <w:t xml:space="preserve">	5</w:t>
      </w:r>
    </w:p>
    <w:p>
      <w:pPr>
        <w:tabs>
          <w:tab w:val="right" w:pos="9000" w:leader="dot"/>
        </w:tabs>
        <w:spacing w:after="70" w:before="70"/>
      </w:pPr>
      <w:r>
        <w:rPr>
          <w:rFonts w:ascii="Arial" w:cs="Arial" w:eastAsia="Arial" w:hAnsi="Arial"/>
          <w:color w:val="1C2226"/>
          <w:sz w:val="22"/>
          <w:szCs w:val="22"/>
        </w:rPr>
        <w:t xml:space="preserve">3.   Operational Environment and Current Challenges</w:t>
      </w:r>
      <w:r>
        <w:rPr>
          <w:rFonts w:ascii="Arial" w:cs="Arial" w:eastAsia="Arial" w:hAnsi="Arial"/>
          <w:b/>
          <w:bCs/>
          <w:color w:val="0A2E52"/>
          <w:sz w:val="22"/>
          <w:szCs w:val="22"/>
        </w:rPr>
        <w:t xml:space="preserve">	9</w:t>
      </w:r>
    </w:p>
    <w:p>
      <w:pPr>
        <w:tabs>
          <w:tab w:val="right" w:pos="9000" w:leader="dot"/>
        </w:tabs>
        <w:spacing w:after="70" w:before="70"/>
      </w:pPr>
      <w:r>
        <w:rPr>
          <w:rFonts w:ascii="Arial" w:cs="Arial" w:eastAsia="Arial" w:hAnsi="Arial"/>
          <w:color w:val="1C2226"/>
          <w:sz w:val="22"/>
          <w:szCs w:val="22"/>
        </w:rPr>
        <w:t xml:space="preserve">4.   Scope of the Requested Engagement</w:t>
      </w:r>
      <w:r>
        <w:rPr>
          <w:rFonts w:ascii="Arial" w:cs="Arial" w:eastAsia="Arial" w:hAnsi="Arial"/>
          <w:b/>
          <w:bCs/>
          <w:color w:val="0A2E52"/>
          <w:sz w:val="22"/>
          <w:szCs w:val="22"/>
        </w:rPr>
        <w:t xml:space="preserve">	14</w:t>
      </w:r>
    </w:p>
    <w:p>
      <w:pPr>
        <w:tabs>
          <w:tab w:val="right" w:pos="9000" w:leader="dot"/>
        </w:tabs>
        <w:spacing w:after="70" w:before="70"/>
      </w:pPr>
      <w:r>
        <w:rPr>
          <w:rFonts w:ascii="Arial" w:cs="Arial" w:eastAsia="Arial" w:hAnsi="Arial"/>
          <w:color w:val="1C2226"/>
          <w:sz w:val="22"/>
          <w:szCs w:val="22"/>
        </w:rPr>
        <w:t xml:space="preserve">5.   Operational and Technical Context</w:t>
      </w:r>
      <w:r>
        <w:rPr>
          <w:rFonts w:ascii="Arial" w:cs="Arial" w:eastAsia="Arial" w:hAnsi="Arial"/>
          <w:b/>
          <w:bCs/>
          <w:color w:val="0A2E52"/>
          <w:sz w:val="22"/>
          <w:szCs w:val="22"/>
        </w:rPr>
        <w:t xml:space="preserve">	17</w:t>
      </w:r>
    </w:p>
    <w:p>
      <w:pPr>
        <w:tabs>
          <w:tab w:val="right" w:pos="9000" w:leader="dot"/>
        </w:tabs>
        <w:spacing w:after="70" w:before="70"/>
      </w:pPr>
      <w:r>
        <w:rPr>
          <w:rFonts w:ascii="Arial" w:cs="Arial" w:eastAsia="Arial" w:hAnsi="Arial"/>
          <w:color w:val="1C2226"/>
          <w:sz w:val="22"/>
          <w:szCs w:val="22"/>
        </w:rPr>
        <w:t xml:space="preserve">6.   Regulatory and Compliance Environment</w:t>
      </w:r>
      <w:r>
        <w:rPr>
          <w:rFonts w:ascii="Arial" w:cs="Arial" w:eastAsia="Arial" w:hAnsi="Arial"/>
          <w:b/>
          <w:bCs/>
          <w:color w:val="0A2E52"/>
          <w:sz w:val="22"/>
          <w:szCs w:val="22"/>
        </w:rPr>
        <w:t xml:space="preserve">	21</w:t>
      </w:r>
    </w:p>
    <w:p>
      <w:pPr>
        <w:tabs>
          <w:tab w:val="right" w:pos="9000" w:leader="dot"/>
        </w:tabs>
        <w:spacing w:after="70" w:before="70"/>
      </w:pPr>
      <w:r>
        <w:rPr>
          <w:rFonts w:ascii="Arial" w:cs="Arial" w:eastAsia="Arial" w:hAnsi="Arial"/>
          <w:color w:val="1C2226"/>
          <w:sz w:val="22"/>
          <w:szCs w:val="22"/>
        </w:rPr>
        <w:t xml:space="preserve">7.   Workforce and Organisational Considerations</w:t>
      </w:r>
      <w:r>
        <w:rPr>
          <w:rFonts w:ascii="Arial" w:cs="Arial" w:eastAsia="Arial" w:hAnsi="Arial"/>
          <w:b/>
          <w:bCs/>
          <w:color w:val="0A2E52"/>
          <w:sz w:val="22"/>
          <w:szCs w:val="22"/>
        </w:rPr>
        <w:t xml:space="preserve">	24</w:t>
      </w:r>
    </w:p>
    <w:p>
      <w:pPr>
        <w:tabs>
          <w:tab w:val="right" w:pos="9000" w:leader="dot"/>
        </w:tabs>
        <w:spacing w:after="70" w:before="70"/>
      </w:pPr>
      <w:r>
        <w:rPr>
          <w:rFonts w:ascii="Arial" w:cs="Arial" w:eastAsia="Arial" w:hAnsi="Arial"/>
          <w:color w:val="1C2226"/>
          <w:sz w:val="22"/>
          <w:szCs w:val="22"/>
        </w:rPr>
        <w:t xml:space="preserve">8.   Data, Infrastructure, and Integration Landscape</w:t>
      </w:r>
      <w:r>
        <w:rPr>
          <w:rFonts w:ascii="Arial" w:cs="Arial" w:eastAsia="Arial" w:hAnsi="Arial"/>
          <w:b/>
          <w:bCs/>
          <w:color w:val="0A2E52"/>
          <w:sz w:val="22"/>
          <w:szCs w:val="22"/>
        </w:rPr>
        <w:t xml:space="preserve">	27</w:t>
      </w:r>
    </w:p>
    <w:p>
      <w:pPr>
        <w:tabs>
          <w:tab w:val="right" w:pos="9000" w:leader="dot"/>
        </w:tabs>
        <w:spacing w:after="70" w:before="70"/>
      </w:pPr>
      <w:r>
        <w:rPr>
          <w:rFonts w:ascii="Arial" w:cs="Arial" w:eastAsia="Arial" w:hAnsi="Arial"/>
          <w:color w:val="1C2226"/>
          <w:sz w:val="22"/>
          <w:szCs w:val="22"/>
        </w:rPr>
        <w:t xml:space="preserve">9.   Evaluation and Selection Process</w:t>
      </w:r>
      <w:r>
        <w:rPr>
          <w:rFonts w:ascii="Arial" w:cs="Arial" w:eastAsia="Arial" w:hAnsi="Arial"/>
          <w:b/>
          <w:bCs/>
          <w:color w:val="0A2E52"/>
          <w:sz w:val="22"/>
          <w:szCs w:val="22"/>
        </w:rPr>
        <w:t xml:space="preserve">	30</w:t>
      </w:r>
    </w:p>
    <w:p>
      <w:pPr>
        <w:tabs>
          <w:tab w:val="right" w:pos="9000" w:leader="dot"/>
        </w:tabs>
        <w:spacing w:after="70" w:before="70"/>
      </w:pPr>
      <w:r>
        <w:rPr>
          <w:rFonts w:ascii="Arial" w:cs="Arial" w:eastAsia="Arial" w:hAnsi="Arial"/>
          <w:color w:val="1C2226"/>
          <w:sz w:val="22"/>
          <w:szCs w:val="22"/>
        </w:rPr>
        <w:t xml:space="preserve">10.   Submission Requirements and Proposal Guidelines</w:t>
      </w:r>
      <w:r>
        <w:rPr>
          <w:rFonts w:ascii="Arial" w:cs="Arial" w:eastAsia="Arial" w:hAnsi="Arial"/>
          <w:b/>
          <w:bCs/>
          <w:color w:val="0A2E52"/>
          <w:sz w:val="22"/>
          <w:szCs w:val="22"/>
        </w:rPr>
        <w:t xml:space="preserve">	32</w:t>
      </w:r>
    </w:p>
    <w:p>
      <w:pPr>
        <w:tabs>
          <w:tab w:val="right" w:pos="9000" w:leader="dot"/>
        </w:tabs>
        <w:spacing w:after="70" w:before="70"/>
      </w:pPr>
      <w:r>
        <w:rPr>
          <w:rFonts w:ascii="Arial" w:cs="Arial" w:eastAsia="Arial" w:hAnsi="Arial"/>
          <w:color w:val="1C2226"/>
          <w:sz w:val="22"/>
          <w:szCs w:val="22"/>
        </w:rPr>
        <w:t xml:space="preserve">11.   Contractual and Commercial Framework</w:t>
      </w:r>
      <w:r>
        <w:rPr>
          <w:rFonts w:ascii="Arial" w:cs="Arial" w:eastAsia="Arial" w:hAnsi="Arial"/>
          <w:b/>
          <w:bCs/>
          <w:color w:val="0A2E52"/>
          <w:sz w:val="22"/>
          <w:szCs w:val="22"/>
        </w:rPr>
        <w:t xml:space="preserve">	34</w:t>
      </w:r>
    </w:p>
    <w:p>
      <w:pPr>
        <w:tabs>
          <w:tab w:val="right" w:pos="9000" w:leader="dot"/>
        </w:tabs>
        <w:spacing w:after="70" w:before="70"/>
      </w:pPr>
      <w:r>
        <w:rPr>
          <w:rFonts w:ascii="Arial" w:cs="Arial" w:eastAsia="Arial" w:hAnsi="Arial"/>
          <w:color w:val="1C2226"/>
          <w:sz w:val="22"/>
          <w:szCs w:val="22"/>
        </w:rPr>
        <w:t xml:space="preserve">12.   Governance, Delivery, and Programme Management Expectations</w:t>
      </w:r>
      <w:r>
        <w:rPr>
          <w:rFonts w:ascii="Arial" w:cs="Arial" w:eastAsia="Arial" w:hAnsi="Arial"/>
          <w:b/>
          <w:bCs/>
          <w:color w:val="0A2E52"/>
          <w:sz w:val="22"/>
          <w:szCs w:val="22"/>
        </w:rPr>
        <w:t xml:space="preserve">	37</w:t>
      </w:r>
    </w:p>
    <w:p>
      <w:pPr>
        <w:tabs>
          <w:tab w:val="right" w:pos="9000" w:leader="dot"/>
        </w:tabs>
        <w:spacing w:after="70" w:before="70"/>
      </w:pPr>
      <w:r>
        <w:rPr>
          <w:rFonts w:ascii="Arial" w:cs="Arial" w:eastAsia="Arial" w:hAnsi="Arial"/>
          <w:color w:val="1C2226"/>
          <w:sz w:val="22"/>
          <w:szCs w:val="22"/>
        </w:rPr>
        <w:t xml:space="preserve">13.   Assumptions, Constraints, and Dependencies</w:t>
      </w:r>
      <w:r>
        <w:rPr>
          <w:rFonts w:ascii="Arial" w:cs="Arial" w:eastAsia="Arial" w:hAnsi="Arial"/>
          <w:b/>
          <w:bCs/>
          <w:color w:val="0A2E52"/>
          <w:sz w:val="22"/>
          <w:szCs w:val="22"/>
        </w:rPr>
        <w:t xml:space="preserve">	39</w:t>
      </w:r>
    </w:p>
    <w:p>
      <w:pPr>
        <w:tabs>
          <w:tab w:val="right" w:pos="9000" w:leader="dot"/>
        </w:tabs>
        <w:spacing w:after="70" w:before="70"/>
      </w:pPr>
      <w:r>
        <w:rPr>
          <w:rFonts w:ascii="Arial" w:cs="Arial" w:eastAsia="Arial" w:hAnsi="Arial"/>
          <w:color w:val="1C2226"/>
          <w:sz w:val="22"/>
          <w:szCs w:val="22"/>
        </w:rPr>
        <w:t xml:space="preserve">14.   Appendices</w:t>
      </w:r>
      <w:r>
        <w:rPr>
          <w:rFonts w:ascii="Arial" w:cs="Arial" w:eastAsia="Arial" w:hAnsi="Arial"/>
          <w:b/>
          <w:bCs/>
          <w:color w:val="0A2E52"/>
          <w:sz w:val="22"/>
          <w:szCs w:val="22"/>
        </w:rPr>
        <w:t xml:space="preserve">	41</w:t>
      </w:r>
    </w:p>
    <w:p>
      <w:pPr>
        <w:spacing w:after="80" w:before="160" w:line="276"/>
        <w:jc w:val="left"/>
      </w:pPr>
      <w:r>
        <w:rPr>
          <w:rFonts w:ascii="Arial" w:cs="Arial" w:eastAsia="Arial" w:hAnsi="Arial"/>
          <w:b w:val="false"/>
          <w:bCs w:val="false"/>
          <w:i w:val="false"/>
          <w:iCs w:val="false"/>
          <w:color w:val="1C2226"/>
          <w:sz w:val="22"/>
          <w:szCs w:val="22"/>
        </w:rPr>
        <w:t xml:space="preserve"/>
      </w:r>
    </w:p>
    <w:p>
      <w:r>
        <w:br w:type="page"/>
      </w:r>
    </w:p>
    <w:p>
      <w:pPr>
        <w:pStyle w:val="Heading1"/>
        <w:spacing w:after="160" w:before="400"/>
      </w:pPr>
      <w:r>
        <w:rPr>
          <w:rFonts w:ascii="Arial" w:cs="Arial" w:eastAsia="Arial" w:hAnsi="Arial"/>
          <w:b/>
          <w:bCs/>
          <w:color w:val="0A2E52"/>
          <w:sz w:val="38"/>
          <w:szCs w:val="38"/>
        </w:rPr>
        <w:t xml:space="preserve">1.  Executive Summary and Strategic Context</w:t>
      </w:r>
    </w:p>
    <w:p>
      <w:pPr>
        <w:spacing w:after="100" w:before="80" w:line="276"/>
        <w:jc w:val="left"/>
      </w:pPr>
      <w:r>
        <w:rPr>
          <w:rFonts w:ascii="Arial" w:cs="Arial" w:eastAsia="Arial" w:hAnsi="Arial"/>
          <w:b w:val="false"/>
          <w:bCs w:val="false"/>
          <w:i w:val="false"/>
          <w:iCs w:val="false"/>
          <w:color w:val="1C2226"/>
          <w:sz w:val="22"/>
          <w:szCs w:val="22"/>
        </w:rPr>
        <w:t xml:space="preserve">NordicBlue Aquaculture Holdings AS ("NBH" or "the Company") is one of Northern Europe's established vertically integrated salmon and trout producers, headquartered in Stavanger, Norway, with active farming operations spanning the Norwegian coastline, the Faroe Islands, and Atlantic Canada. The Company has reached a critical inflection point in its operational and digital maturity: the tools, processes, and systems that supported a smaller, less complex operation are no longer adequate to manage the scale, regulatory burden, and competitive pressures that define NBH's current environment.</w:t>
      </w:r>
    </w:p>
    <w:p>
      <w:pPr>
        <w:spacing w:after="100" w:before="80" w:line="276"/>
        <w:jc w:val="left"/>
      </w:pPr>
      <w:r>
        <w:rPr>
          <w:rFonts w:ascii="Arial" w:cs="Arial" w:eastAsia="Arial" w:hAnsi="Arial"/>
          <w:b w:val="false"/>
          <w:bCs w:val="false"/>
          <w:i w:val="false"/>
          <w:iCs w:val="false"/>
          <w:color w:val="1C2226"/>
          <w:sz w:val="22"/>
          <w:szCs w:val="22"/>
        </w:rPr>
        <w:t xml:space="preserve">NBH is therefore issuing this Request for Proposal to invite experienced technology providers to respond with a comprehensive solution proposal for an integrated digital platform that will serve as the operational nerve centre for all of the Company's aquaculture farming activities. The platform must consolidate data and workflows that are presently scattered across multiple disconnected systems, paper-based processes, and manually maintained spreadsheets, and must function reliably in the challenging connectivity environments that are intrinsic to marine aquaculture operations.</w:t>
      </w:r>
    </w:p>
    <w:p>
      <w:pPr>
        <w:spacing w:after="100" w:before="80" w:line="276"/>
        <w:jc w:val="left"/>
      </w:pPr>
      <w:r>
        <w:rPr>
          <w:rFonts w:ascii="Arial" w:cs="Arial" w:eastAsia="Arial" w:hAnsi="Arial"/>
          <w:b w:val="false"/>
          <w:bCs w:val="false"/>
          <w:i w:val="false"/>
          <w:iCs w:val="false"/>
          <w:color w:val="1C2226"/>
          <w:sz w:val="22"/>
          <w:szCs w:val="22"/>
        </w:rPr>
        <w:t xml:space="preserve">This RFP does not prescribe a specific product architecture or feature set. NBH is seeking a partner who understands the aquaculture industry deeply, who can engage in genuine discovery and co-design with our operational teams, and who can deliver a platform that improves the day-to-day experience of everyone from cage operators working night shifts at sea to regional managers reviewing performance from shore and executives making capital allocation decisions in Stavanger. The goal is not software for its own sake but measurable improvement in biological performance, cost efficiency, regulatory compliance, and the welfare of the fish in our care.</w:t>
      </w:r>
    </w:p>
    <w:p>
      <w:pPr>
        <w:spacing w:after="100" w:before="80" w:line="276"/>
        <w:jc w:val="left"/>
      </w:pPr>
      <w:r>
        <w:rPr>
          <w:rFonts w:ascii="Arial" w:cs="Arial" w:eastAsia="Arial" w:hAnsi="Arial"/>
          <w:b w:val="false"/>
          <w:bCs w:val="false"/>
          <w:i w:val="false"/>
          <w:iCs w:val="false"/>
          <w:color w:val="1C2226"/>
          <w:sz w:val="22"/>
          <w:szCs w:val="22"/>
        </w:rPr>
        <w:t xml:space="preserve">NBH has allocated a programme budget of NOK 95 million over a thirty-six-month delivery horizon inclusive of all software, implementation services, infrastructure, change management, and the first two years of support. Proposals that demonstrate genuine value and innovation within this envelope will be viewed most favourably. This RFP closes on 2 May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C6B6B" w:sz="1"/>
              <w:left w:val="single" w:color="0C6B6B" w:sz="1"/>
              <w:bottom w:val="single" w:color="0C6B6B" w:sz="1"/>
              <w:right w:val="single" w:color="0C6B6B" w:sz="1"/>
            </w:tcBorders>
            <w:shd w:fill="E5F2F2" w:val="clear"/>
            <w:tcMar>
              <w:top w:type="dxa" w:w="160"/>
              <w:left w:type="dxa" w:w="200"/>
              <w:bottom w:type="dxa" w:w="160"/>
              <w:right w:type="dxa" w:w="200"/>
            </w:tcMar>
          </w:tcPr>
          <w:p>
            <w:pPr>
              <w:spacing w:after="80" w:before="80" w:line="276"/>
              <w:jc w:val="left"/>
            </w:pPr>
            <w:r>
              <w:rPr>
                <w:rFonts w:ascii="Arial" w:cs="Arial" w:eastAsia="Arial" w:hAnsi="Arial"/>
                <w:b/>
                <w:bCs/>
                <w:i w:val="false"/>
                <w:iCs w:val="false"/>
                <w:color w:val="0C6B6B"/>
                <w:sz w:val="21"/>
                <w:szCs w:val="21"/>
              </w:rPr>
              <w:t xml:space="preserve">Key Programme Drivers</w:t>
            </w:r>
          </w:p>
          <w:p>
            <w:pPr>
              <w:spacing w:after="30" w:before="30" w:line="276"/>
              <w:jc w:val="left"/>
            </w:pPr>
            <w:r>
              <w:rPr>
                <w:rFonts w:ascii="Arial" w:cs="Arial" w:eastAsia="Arial" w:hAnsi="Arial"/>
                <w:b w:val="false"/>
                <w:bCs w:val="false"/>
                <w:i w:val="false"/>
                <w:iCs w:val="false"/>
                <w:color w:val="1C2226"/>
                <w:sz w:val="21"/>
                <w:szCs w:val="21"/>
              </w:rPr>
              <w:t xml:space="preserve">The Company loses an estimated NOK 50 million per year in operational value directly attributable to the fragmentation of its current digital landscape. These losses manifest as feed wastage, suboptimal harvest timing, delayed response to biological events, compliance preparation costs, and duplicated administrative labour. The Board has approved this programme on the basis that a well-executed digital transformation will recover a substantial portion of this value within twenty-four months of platform go-live, while simultaneously positioning NBH for the growth targets set out in its 2027 Strategy.</w:t>
            </w:r>
          </w:p>
          <w:p>
            <w:pPr>
              <w:spacing w:after="30" w:before="30" w:line="276"/>
              <w:jc w:val="left"/>
            </w:pPr>
            <w:r>
              <w:rPr>
                <w:rFonts w:ascii="Arial" w:cs="Arial" w:eastAsia="Arial" w:hAnsi="Arial"/>
                <w:b w:val="false"/>
                <w:bCs w:val="false"/>
                <w:i w:val="false"/>
                <w:iCs w:val="false"/>
                <w:color w:val="1C2226"/>
                <w:sz w:val="21"/>
                <w:szCs w:val="21"/>
              </w:rPr>
              <w:t xml:space="preserve">NBH is also responding to an increasingly demanding external environment. Regulatory expectations from Norwegian, Faroese, and Canadian authorities are rising in both volume and granularity. Certification bodies including the Aquaculture Stewardship Council are increasing data and evidence requirements. Buyers in Japan, the United States, and the European Union are requesting richer traceability and sustainability data. These pressures compound the internal imperative for better data management.</w:t>
            </w:r>
          </w:p>
        </w:tc>
      </w:tr>
    </w:tbl>
    <w:p>
      <w:pPr>
        <w:spacing w:after="60" w:before="100" w:line="276"/>
        <w:jc w:val="left"/>
      </w:pPr>
      <w:r>
        <w:rPr>
          <w:rFonts w:ascii="Arial" w:cs="Arial" w:eastAsia="Arial" w:hAnsi="Arial"/>
          <w:b w:val="false"/>
          <w:bCs w:val="false"/>
          <w:i w:val="false"/>
          <w:iCs w:val="false"/>
          <w:color w:val="1C2226"/>
          <w:sz w:val="22"/>
          <w:szCs w:val="22"/>
        </w:rPr>
        <w:t xml:space="preserve"/>
      </w:r>
    </w:p>
    <w:p>
      <w:r>
        <w:br w:type="page"/>
      </w:r>
    </w:p>
    <w:p>
      <w:pPr>
        <w:pStyle w:val="Heading1"/>
        <w:spacing w:after="160" w:before="400"/>
      </w:pPr>
      <w:r>
        <w:rPr>
          <w:rFonts w:ascii="Arial" w:cs="Arial" w:eastAsia="Arial" w:hAnsi="Arial"/>
          <w:b/>
          <w:bCs/>
          <w:color w:val="0A2E52"/>
          <w:sz w:val="38"/>
          <w:szCs w:val="38"/>
        </w:rPr>
        <w:t xml:space="preserve">2.  Background: NordicBlue Aquaculture Holdings AS</w:t>
      </w:r>
    </w:p>
    <w:p>
      <w:pPr>
        <w:pStyle w:val="Heading2"/>
        <w:pBdr>
          <w:bottom w:val="single" w:color="0C6B6B" w:sz="6"/>
        </w:pBdr>
        <w:spacing w:after="120" w:before="300"/>
      </w:pPr>
      <w:r>
        <w:rPr>
          <w:rFonts w:ascii="Arial" w:cs="Arial" w:eastAsia="Arial" w:hAnsi="Arial"/>
          <w:b/>
          <w:bCs/>
          <w:color w:val="0C6B6B"/>
          <w:sz w:val="28"/>
          <w:szCs w:val="28"/>
        </w:rPr>
        <w:t xml:space="preserve">2.1   History and Corporate Identity</w:t>
      </w:r>
    </w:p>
    <w:p>
      <w:pPr>
        <w:spacing w:after="100" w:before="80" w:line="276"/>
        <w:jc w:val="left"/>
      </w:pPr>
      <w:r>
        <w:rPr>
          <w:rFonts w:ascii="Arial" w:cs="Arial" w:eastAsia="Arial" w:hAnsi="Arial"/>
          <w:b w:val="false"/>
          <w:bCs w:val="false"/>
          <w:i w:val="false"/>
          <w:iCs w:val="false"/>
          <w:color w:val="1C2226"/>
          <w:sz w:val="22"/>
          <w:szCs w:val="22"/>
        </w:rPr>
        <w:t xml:space="preserve">NordicBlue Aquaculture Holdings AS was established in its current form in 2009 following the merger of Fjordlaks AS — founded in 1994 by the Halvorsen family as a single-site sea cage operation near Karmøy — with the Rogaland operations of Norsk Havbruk Gruppen AS. The merger created a mid-tier integrated producer with twelve active sea cage sites and one processing facility. Since 2009, the Company has grown steadily through a combination of organic licence acquisition, capacity expansion at existing sites, and three targeted acquisitions: Troms Havfarm AS in 2014 (adding seven northern Norwegian sites), Faroe Atlantic Salmon HF in 2017 (adding seven Faroese sites), and New Brunswick Aquaculture Ltd in 2021 (adding NBH's first North American footprint).</w:t>
      </w:r>
    </w:p>
    <w:p>
      <w:pPr>
        <w:spacing w:after="100" w:before="80" w:line="276"/>
        <w:jc w:val="left"/>
      </w:pPr>
      <w:r>
        <w:rPr>
          <w:rFonts w:ascii="Arial" w:cs="Arial" w:eastAsia="Arial" w:hAnsi="Arial"/>
          <w:b w:val="false"/>
          <w:bCs w:val="false"/>
          <w:i w:val="false"/>
          <w:iCs w:val="false"/>
          <w:color w:val="1C2226"/>
          <w:sz w:val="22"/>
          <w:szCs w:val="22"/>
        </w:rPr>
        <w:t xml:space="preserve">Today NBH operates thirty-eight active sea cage sites, four land-based recirculating aquaculture system (RAS) facilities, and two primary processing plants, one in Stavanger and one in Klaksvík, Faroe Islands. A third processing facility in New Brunswick operates under a toll-processing arrangement with a local partner. Annual harvest production is currently approximately 54,000 metric tonnes gutted weight (MTW), with a target of 68,000 MTW by 2027 on the basis of existing licence entitlements and planned capacity expansions at two RAS facilities currently under construction.</w:t>
      </w:r>
    </w:p>
    <w:p>
      <w:pPr>
        <w:spacing w:after="100" w:before="80" w:line="276"/>
        <w:jc w:val="left"/>
      </w:pPr>
      <w:r>
        <w:rPr>
          <w:rFonts w:ascii="Arial" w:cs="Arial" w:eastAsia="Arial" w:hAnsi="Arial"/>
          <w:b w:val="false"/>
          <w:bCs w:val="false"/>
          <w:i w:val="false"/>
          <w:iCs w:val="false"/>
          <w:color w:val="1C2226"/>
          <w:sz w:val="22"/>
          <w:szCs w:val="22"/>
        </w:rPr>
        <w:t xml:space="preserve">Ownership of NBH is private. The Halvorsen Family Trust holds a sixty-one percent majority stake and has maintained operational involvement in the business across two generations, with Einar Thorvaldsen serving as Group Chief Executive Officer since 2016 and Sigrid Halvorsen (second generation) joining as VP Product and Technology in 2022. Arctis Capital Partners, a Bergen-based private equity fund with a specialist focus on Norwegian seafood sector investments, holds the remaining thirty-nine percent stake acquired in 2019. Arctis Capital has provided strategic support for the Company's 2027 growth plan and has explicitly endorsed the digital transformation programme underpinning this RFP.</w:t>
      </w:r>
    </w:p>
    <w:p>
      <w:pPr>
        <w:pStyle w:val="Heading2"/>
        <w:pBdr>
          <w:bottom w:val="single" w:color="0C6B6B" w:sz="6"/>
        </w:pBdr>
        <w:spacing w:after="120" w:before="300"/>
      </w:pPr>
      <w:r>
        <w:rPr>
          <w:rFonts w:ascii="Arial" w:cs="Arial" w:eastAsia="Arial" w:hAnsi="Arial"/>
          <w:b/>
          <w:bCs/>
          <w:color w:val="0C6B6B"/>
          <w:sz w:val="28"/>
          <w:szCs w:val="28"/>
        </w:rPr>
        <w:t xml:space="preserve">2.2   Financial Profile</w:t>
      </w:r>
    </w:p>
    <w:p>
      <w:pPr>
        <w:spacing w:after="100" w:before="80" w:line="276"/>
        <w:jc w:val="left"/>
      </w:pPr>
      <w:r>
        <w:rPr>
          <w:rFonts w:ascii="Arial" w:cs="Arial" w:eastAsia="Arial" w:hAnsi="Arial"/>
          <w:b w:val="false"/>
          <w:bCs w:val="false"/>
          <w:i w:val="false"/>
          <w:iCs w:val="false"/>
          <w:color w:val="1C2226"/>
          <w:sz w:val="22"/>
          <w:szCs w:val="22"/>
        </w:rPr>
        <w:t xml:space="preserve">For the financial year ending December 2024, NBH reported consolidated revenues of NOK 3.8 billion (approximately EUR 340 million), reflecting a combination of strong biological performance in Norwegian and Faroese operations and favourable salmon spot market prices in the second half of the year. EBITDA for the period was NOK 680 million, representing an EBITDA margin of 17.9 percent, broadly in line with the prior year despite a NOK 43 million increase in feed costs driven by global ingredient price movements. The Company carries a net debt position of NOK 1.1 billion, primarily reflecting borrowings associated with the New Brunswick acquisition and the RAS expansion programme, and maintains a revolving credit facility of NOK 600 million with DNB Bank.</w:t>
      </w:r>
    </w:p>
    <w:p>
      <w:pPr>
        <w:spacing w:after="100" w:before="80" w:line="276"/>
        <w:jc w:val="left"/>
      </w:pPr>
      <w:r>
        <w:rPr>
          <w:rFonts w:ascii="Arial" w:cs="Arial" w:eastAsia="Arial" w:hAnsi="Arial"/>
          <w:b w:val="false"/>
          <w:bCs w:val="false"/>
          <w:i w:val="false"/>
          <w:iCs w:val="false"/>
          <w:color w:val="1C2226"/>
          <w:sz w:val="22"/>
          <w:szCs w:val="22"/>
        </w:rPr>
        <w:t xml:space="preserve">Finance leadership is provided by Kristian Nygaard, who joined NBH as Chief Financial Officer in 2020 following a career in corporate finance at two of Norway's larger integrated salmon producers. The finance function maintains the Company's books in SAP S/4HANA (cloud edition) implemented in 2022 and uses Cognos Analytics for management reporting. Cost centre accounting at site level is a critical interface requirement for any platform introduced through this procurement: accurate allocation of feed costs, mortality losses, treatment costs, and direct labour by production unit is a non-negotiable finance requirement.</w:t>
      </w:r>
    </w:p>
    <w:p>
      <w:pPr>
        <w:pStyle w:val="Heading2"/>
        <w:pBdr>
          <w:bottom w:val="single" w:color="0C6B6B" w:sz="6"/>
        </w:pBdr>
        <w:spacing w:after="120" w:before="300"/>
      </w:pPr>
      <w:r>
        <w:rPr>
          <w:rFonts w:ascii="Arial" w:cs="Arial" w:eastAsia="Arial" w:hAnsi="Arial"/>
          <w:b/>
          <w:bCs/>
          <w:color w:val="0C6B6B"/>
          <w:sz w:val="28"/>
          <w:szCs w:val="28"/>
        </w:rPr>
        <w:t xml:space="preserve">2.3   Production Operations</w:t>
      </w:r>
    </w:p>
    <w:p>
      <w:pPr>
        <w:spacing w:after="100" w:before="80" w:line="276"/>
        <w:jc w:val="left"/>
      </w:pPr>
      <w:r>
        <w:rPr>
          <w:rFonts w:ascii="Arial" w:cs="Arial" w:eastAsia="Arial" w:hAnsi="Arial"/>
          <w:b w:val="false"/>
          <w:bCs w:val="false"/>
          <w:i w:val="false"/>
          <w:iCs w:val="false"/>
          <w:color w:val="1C2226"/>
          <w:sz w:val="22"/>
          <w:szCs w:val="22"/>
        </w:rPr>
        <w:t xml:space="preserve">The Company's Farming Division is responsible for all grow-out operations from smolt reception through to harvest dispatch. The division employs approximately 823 full-time equivalent staff across the forty-two active farming sites and is led by Dr. Petter Lindqvist, who joined NBH as Chief Farming Officer in 2018 after fourteen years at Cermaq's Norwegian operations. Dr. Lindqvist holds a doctorate in aquatic biology from the University of Bergen and has been the primary internal sponsor of efforts to improve the scientific rigour of NBH's biological management practices.</w:t>
      </w:r>
    </w:p>
    <w:p>
      <w:pPr>
        <w:spacing w:after="100" w:before="80" w:line="276"/>
        <w:jc w:val="left"/>
      </w:pPr>
      <w:r>
        <w:rPr>
          <w:rFonts w:ascii="Arial" w:cs="Arial" w:eastAsia="Arial" w:hAnsi="Arial"/>
          <w:b w:val="false"/>
          <w:bCs w:val="false"/>
          <w:i w:val="false"/>
          <w:iCs w:val="false"/>
          <w:color w:val="1C2226"/>
          <w:sz w:val="22"/>
          <w:szCs w:val="22"/>
        </w:rPr>
        <w:t xml:space="preserve">Atlantic salmon (Salmo salar) accounts for approximately ninety-two percent of NBH's production by volume, with the remainder comprising rainbow trout (Oncorhynchus mykiss) cultivated at three Norwegian sites and one Canadian site. Production cycles for Atlantic salmon typically span fourteen to twenty-two months from smolt stocking at sea to harvest, depending on the thermal profile of the site, the smolt quality and size at transfer, and market-driven harvest scheduling decisions. The Company operates both autumn and spring smolt transfer cycles, which means that at any given time most sites are running two or more concurrent cohorts at different growth stages, adding considerable complexity to biomass management and harvest planning.</w:t>
      </w:r>
    </w:p>
    <w:p>
      <w:pPr>
        <w:spacing w:after="100" w:before="80" w:line="276"/>
        <w:jc w:val="left"/>
      </w:pPr>
      <w:r>
        <w:rPr>
          <w:rFonts w:ascii="Arial" w:cs="Arial" w:eastAsia="Arial" w:hAnsi="Arial"/>
          <w:b w:val="false"/>
          <w:bCs w:val="false"/>
          <w:i w:val="false"/>
          <w:iCs w:val="false"/>
          <w:color w:val="1C2226"/>
          <w:sz w:val="22"/>
          <w:szCs w:val="22"/>
        </w:rPr>
        <w:t xml:space="preserve">NBH sources smolts from two owned freshwater hatcheries — one in Etne, Hordaland and one near Fredericton, New Brunswick — and supplements these with smolt purchased under annual supply agreements from three independent Norwegian producers. The freshwater hatcheries are not within the scope of this procurement but do represent upstream data sources (smolt batch records, vaccination history, genetic batch identifiers) that any farm management platform must be able to ingest at the point of sea transfer.</w:t>
      </w:r>
    </w:p>
    <w:p>
      <w:pPr>
        <w:spacing w:after="100" w:before="80" w:line="276"/>
        <w:jc w:val="left"/>
      </w:pPr>
      <w:r>
        <w:rPr>
          <w:rFonts w:ascii="Arial" w:cs="Arial" w:eastAsia="Arial" w:hAnsi="Arial"/>
          <w:b w:val="false"/>
          <w:bCs w:val="false"/>
          <w:i w:val="false"/>
          <w:iCs w:val="false"/>
          <w:color w:val="1C2226"/>
          <w:sz w:val="22"/>
          <w:szCs w:val="22"/>
        </w:rPr>
        <w:t xml:space="preserve">Sea cage sites range considerably in scale and physical configuration. The largest Norwegian sites hold aquaculture licences permitting maximum total biomass (MTB) of up to 3,600 metric tonnes; the smallest Canadian sites operate under licences permitting 1,200 MTB. Cage configurations vary from traditional ring floats with mooring systems on the more exposed Norwegian west coast sites to semisubmersible cages deployed at the two northernmost sites in Troms county where surface ice and extreme weather conditions require deeper submerged operations. The Faroese sites use a mix of cage types reflecting the particular current exposure and depth characteristics of their fjord locations.</w:t>
      </w:r>
    </w:p>
    <w:p>
      <w:pPr>
        <w:pStyle w:val="Heading2"/>
        <w:pBdr>
          <w:bottom w:val="single" w:color="0C6B6B" w:sz="6"/>
        </w:pBdr>
        <w:spacing w:after="120" w:before="300"/>
      </w:pPr>
      <w:r>
        <w:rPr>
          <w:rFonts w:ascii="Arial" w:cs="Arial" w:eastAsia="Arial" w:hAnsi="Arial"/>
          <w:b/>
          <w:bCs/>
          <w:color w:val="0C6B6B"/>
          <w:sz w:val="28"/>
          <w:szCs w:val="28"/>
        </w:rPr>
        <w:t xml:space="preserve">2.4   Processing and Supply Chain</w:t>
      </w:r>
    </w:p>
    <w:p>
      <w:pPr>
        <w:spacing w:after="100" w:before="80" w:line="276"/>
        <w:jc w:val="left"/>
      </w:pPr>
      <w:r>
        <w:rPr>
          <w:rFonts w:ascii="Arial" w:cs="Arial" w:eastAsia="Arial" w:hAnsi="Arial"/>
          <w:b w:val="false"/>
          <w:bCs w:val="false"/>
          <w:i w:val="false"/>
          <w:iCs w:val="false"/>
          <w:color w:val="1C2226"/>
          <w:sz w:val="22"/>
          <w:szCs w:val="22"/>
        </w:rPr>
        <w:t xml:space="preserve">Following harvest, fish are transported by wellboat or live-haul vessel to one of the two NBH-owned processing plants or to a third-party tolling partner. The Stavanger plant processes Norwegian and Faroese fish on a combined capacity of approximately 200 metric tonnes of live weight equivalent per day, operating across two shifts. The Klaksvík plant, acquired with the Faroe Atlantic Salmon transaction, processes Faroese fish exclusively at approximately 80 metric tonnes per day capacity. Both plants hold export approvals for the European Union, Japan, and the United States.</w:t>
      </w:r>
    </w:p>
    <w:p>
      <w:pPr>
        <w:spacing w:after="100" w:before="80" w:line="276"/>
        <w:jc w:val="left"/>
      </w:pPr>
      <w:r>
        <w:rPr>
          <w:rFonts w:ascii="Arial" w:cs="Arial" w:eastAsia="Arial" w:hAnsi="Arial"/>
          <w:b w:val="false"/>
          <w:bCs w:val="false"/>
          <w:i w:val="false"/>
          <w:iCs w:val="false"/>
          <w:color w:val="1C2226"/>
          <w:sz w:val="22"/>
          <w:szCs w:val="22"/>
        </w:rPr>
        <w:t xml:space="preserve">NBH sells approximately sixty-two percent of its volume through direct supply agreements with major European retail and foodservice buyers, with the remainder sold through spot market brokers and a small but growing direct export programme to Japanese and American distributors. The supply chain planning function, led by Anita Bergstrøm as VP Supply Chain, is responsible for coordinating harvest timing, transport logistics, processing slot allocation, and customer fulfilment. This function is a critical secondary user of farming operational data: harvest readiness forecasts, biomass projections, and planned treatment withdrawal periods all directly affect supply commitments and customer delivery reliability.</w:t>
      </w:r>
    </w:p>
    <w:p>
      <w:pPr>
        <w:pStyle w:val="Heading2"/>
        <w:pBdr>
          <w:bottom w:val="single" w:color="0C6B6B" w:sz="6"/>
        </w:pBdr>
        <w:spacing w:after="120" w:before="300"/>
      </w:pPr>
      <w:r>
        <w:rPr>
          <w:rFonts w:ascii="Arial" w:cs="Arial" w:eastAsia="Arial" w:hAnsi="Arial"/>
          <w:b/>
          <w:bCs/>
          <w:color w:val="0C6B6B"/>
          <w:sz w:val="28"/>
          <w:szCs w:val="28"/>
        </w:rPr>
        <w:t xml:space="preserve">2.5   Certifications, Standards, and Market Position</w:t>
      </w:r>
    </w:p>
    <w:p>
      <w:pPr>
        <w:spacing w:after="100" w:before="80" w:line="276"/>
        <w:jc w:val="left"/>
      </w:pPr>
      <w:r>
        <w:rPr>
          <w:rFonts w:ascii="Arial" w:cs="Arial" w:eastAsia="Arial" w:hAnsi="Arial"/>
          <w:b w:val="false"/>
          <w:bCs w:val="false"/>
          <w:i w:val="false"/>
          <w:iCs w:val="false"/>
          <w:color w:val="1C2226"/>
          <w:sz w:val="22"/>
          <w:szCs w:val="22"/>
        </w:rPr>
        <w:t xml:space="preserve">NBH holds Aquaculture Stewardship Council (ASC) certification across thirty-one of its thirty-eight sea cage sites, representing approximately eighty-eight percent of production volume. The remaining seven sites — four in Canada and three in Norway — are in various stages of the ASC audit and corrective action process. All sites hold GlobalG.A.P. Aquaculture certification (version 5), and the two primary processing plants are BAP four-star certified. The three sites operating under the Company's Debio Organic label in Norway carry the most demanding monitoring and record-keeping requirements of any NBH operation. NBH holds ISO 14001:2015 Environmental Management System certification at group level, with surveillance audits conducted annually by DNV.</w:t>
      </w:r>
    </w:p>
    <w:p>
      <w:pPr>
        <w:spacing w:after="100" w:before="80" w:line="276"/>
        <w:jc w:val="left"/>
      </w:pPr>
      <w:r>
        <w:rPr>
          <w:rFonts w:ascii="Arial" w:cs="Arial" w:eastAsia="Arial" w:hAnsi="Arial"/>
          <w:b w:val="false"/>
          <w:bCs w:val="false"/>
          <w:i w:val="false"/>
          <w:iCs w:val="false"/>
          <w:color w:val="1C2226"/>
          <w:sz w:val="22"/>
          <w:szCs w:val="22"/>
        </w:rPr>
        <w:t xml:space="preserve">In the Norwegian market, NBH sits in a competitive position below the five integrated producers that collectively hold more than seventy percent of Norwegian production licences by MTB. NBH's differentiation lies in the quality and consistency of its premium product offering, its relationship-driven customer model, and its track record on animal welfare and environmental performance. Maintaining and strengthening these positions as the Company scales requires a level of operational data quality and analytical capability that is currently not achievable with the existing system landscape.</w:t>
      </w:r>
    </w:p>
    <w:p>
      <w:r>
        <w:br w:type="page"/>
      </w:r>
    </w:p>
    <w:p>
      <w:pPr>
        <w:pStyle w:val="Heading1"/>
        <w:spacing w:after="160" w:before="400"/>
      </w:pPr>
      <w:r>
        <w:rPr>
          <w:rFonts w:ascii="Arial" w:cs="Arial" w:eastAsia="Arial" w:hAnsi="Arial"/>
          <w:b/>
          <w:bCs/>
          <w:color w:val="0A2E52"/>
          <w:sz w:val="38"/>
          <w:szCs w:val="38"/>
        </w:rPr>
        <w:t xml:space="preserve">3.  Operational Environment and Current Challenges</w:t>
      </w:r>
    </w:p>
    <w:p>
      <w:pPr>
        <w:pStyle w:val="Heading2"/>
        <w:pBdr>
          <w:bottom w:val="single" w:color="0C6B6B" w:sz="6"/>
        </w:pBdr>
        <w:spacing w:after="120" w:before="300"/>
      </w:pPr>
      <w:r>
        <w:rPr>
          <w:rFonts w:ascii="Arial" w:cs="Arial" w:eastAsia="Arial" w:hAnsi="Arial"/>
          <w:b/>
          <w:bCs/>
          <w:color w:val="0C6B6B"/>
          <w:sz w:val="28"/>
          <w:szCs w:val="28"/>
        </w:rPr>
        <w:t xml:space="preserve">3.1   How NBH Conducted Its Internal Assessment</w:t>
      </w:r>
    </w:p>
    <w:p>
      <w:pPr>
        <w:spacing w:after="100" w:before="80" w:line="276"/>
        <w:jc w:val="left"/>
      </w:pPr>
      <w:r>
        <w:rPr>
          <w:rFonts w:ascii="Arial" w:cs="Arial" w:eastAsia="Arial" w:hAnsi="Arial"/>
          <w:b w:val="false"/>
          <w:bCs w:val="false"/>
          <w:i w:val="false"/>
          <w:iCs w:val="false"/>
          <w:color w:val="1C2226"/>
          <w:sz w:val="22"/>
          <w:szCs w:val="22"/>
        </w:rPr>
        <w:t xml:space="preserve">Between October 2024 and January 2025, the Technology and Digital team commissioned and led a structured Current State Assessment (CSA) across NBH's farming operations. The assessment involved site visits to fourteen farming locations across all four geographic regions, individual interviews with sixty-seven employees spanning cage operators, farm site managers, fish health coordinators, regional farming managers, finance business partners, supply chain planners, and members of the Technology and Digital team itself. Interview sessions were supplemented by time-in-task observation studies at eight sites in which observers accompanied staff through complete operational shifts to document actual workflows and tool usage patterns.</w:t>
      </w:r>
    </w:p>
    <w:p>
      <w:pPr>
        <w:spacing w:after="100" w:before="80" w:line="276"/>
        <w:jc w:val="left"/>
      </w:pPr>
      <w:r>
        <w:rPr>
          <w:rFonts w:ascii="Arial" w:cs="Arial" w:eastAsia="Arial" w:hAnsi="Arial"/>
          <w:b w:val="false"/>
          <w:bCs w:val="false"/>
          <w:i w:val="false"/>
          <w:iCs w:val="false"/>
          <w:color w:val="1C2226"/>
          <w:sz w:val="22"/>
          <w:szCs w:val="22"/>
        </w:rPr>
        <w:t xml:space="preserve">A quantitative survey instrument was distributed to all farming division staff with computer or mobile device access and received ninety-four completed responses. The survey focused on tool satisfaction, estimated time spent on specific task categories, and perceived data quality confidence. The findings of the CSA informed the preparation of this RFP and are available to shortlisted vendors in their complete, anonymised form under a non-disclosure agreement. Vendors are strongly encouraged to request this material as part of their discovery process.</w:t>
      </w:r>
    </w:p>
    <w:p>
      <w:pPr>
        <w:pStyle w:val="Heading2"/>
        <w:pBdr>
          <w:bottom w:val="single" w:color="0C6B6B" w:sz="6"/>
        </w:pBdr>
        <w:spacing w:after="120" w:before="300"/>
      </w:pPr>
      <w:r>
        <w:rPr>
          <w:rFonts w:ascii="Arial" w:cs="Arial" w:eastAsia="Arial" w:hAnsi="Arial"/>
          <w:b/>
          <w:bCs/>
          <w:color w:val="0C6B6B"/>
          <w:sz w:val="28"/>
          <w:szCs w:val="28"/>
        </w:rPr>
        <w:t xml:space="preserve">3.2   Feeding and Nutritional Management</w:t>
      </w:r>
    </w:p>
    <w:p>
      <w:pPr>
        <w:spacing w:after="100" w:before="80" w:line="276"/>
        <w:jc w:val="left"/>
      </w:pPr>
      <w:r>
        <w:rPr>
          <w:rFonts w:ascii="Arial" w:cs="Arial" w:eastAsia="Arial" w:hAnsi="Arial"/>
          <w:b w:val="false"/>
          <w:bCs w:val="false"/>
          <w:i w:val="false"/>
          <w:iCs w:val="false"/>
          <w:color w:val="1C2226"/>
          <w:sz w:val="22"/>
          <w:szCs w:val="22"/>
        </w:rPr>
        <w:t xml:space="preserve">Feed expenditure is the single largest cost in NBH's farming operations, representing approximately NOK 1.2 billion annually — roughly forty-two percent of total cost of goods sold at farm level. The Company purchases Atlantic salmon feed from three major European manufacturers under volume-based annual agreements, with formula specifications negotiated in advance of each production cycle based on the anticipated nutritional profile requirements for each cohort's growth stage sequence.</w:t>
      </w:r>
    </w:p>
    <w:p>
      <w:pPr>
        <w:spacing w:after="100" w:before="80" w:line="276"/>
        <w:jc w:val="left"/>
      </w:pPr>
      <w:r>
        <w:rPr>
          <w:rFonts w:ascii="Arial" w:cs="Arial" w:eastAsia="Arial" w:hAnsi="Arial"/>
          <w:b w:val="false"/>
          <w:bCs w:val="false"/>
          <w:i w:val="false"/>
          <w:iCs w:val="false"/>
          <w:color w:val="1C2226"/>
          <w:sz w:val="22"/>
          <w:szCs w:val="22"/>
        </w:rPr>
        <w:t xml:space="preserve">The process by which daily feed plans are developed and executed at individual sites is, at present, almost entirely manual. Each of the Company's thirty-eight site managers maintains their own approach to feed plan calculation, working from printed growth tables, water temperature records retrieved from a shared instrument log, and biomass estimates that are generated monthly using a simple extrapolation model in the AquaManager system. The resulting feed plans are entered manually into the ScaleAQ automated feed control system at each site. There is no common template, no central visibility of how individual sites are performing relative to their feed budgets, and no mechanism for the ScaleAQ system's appetite detection signals to automatically inform or adjust the feed plan over the course of a day.</w:t>
      </w:r>
    </w:p>
    <w:p>
      <w:pPr>
        <w:spacing w:after="100" w:before="80" w:line="276"/>
        <w:jc w:val="left"/>
      </w:pPr>
      <w:r>
        <w:rPr>
          <w:rFonts w:ascii="Arial" w:cs="Arial" w:eastAsia="Arial" w:hAnsi="Arial"/>
          <w:b w:val="false"/>
          <w:bCs w:val="false"/>
          <w:i w:val="false"/>
          <w:iCs w:val="false"/>
          <w:color w:val="1C2226"/>
          <w:sz w:val="22"/>
          <w:szCs w:val="22"/>
        </w:rPr>
        <w:t xml:space="preserve">The consequences of this arrangement are significant. Analysis of feed delivery records against estimated consumption, conducted by the Company's data team in November 2024, suggests that overfeeding — feed delivered beyond what the fish actually consume, which sinks to the cage floor and is lost — accounts for approximately three point eight percent of total feed deployed across the estate. At current feed prices and volumes, this represents a loss of approximately NOK 18.2 million per year. Feed inventory management presents a related problem: three regional procurement coordinators maintain feed stock records in SharePoint lists that require manual reconciliation against delivery manifests, and the absence of site-level consumption tracking means that stockout events are identified reactively. Emergency feed deliveries to avoid stockouts cost the Company approximately NOK 2.4 million annually in premium freight charges.</w:t>
      </w:r>
    </w:p>
    <w:p>
      <w:pPr>
        <w:spacing w:after="100" w:before="80" w:line="276"/>
        <w:jc w:val="left"/>
      </w:pPr>
      <w:r>
        <w:rPr>
          <w:rFonts w:ascii="Arial" w:cs="Arial" w:eastAsia="Arial" w:hAnsi="Arial"/>
          <w:b w:val="false"/>
          <w:bCs w:val="false"/>
          <w:i w:val="false"/>
          <w:iCs w:val="false"/>
          <w:color w:val="1C2226"/>
          <w:sz w:val="22"/>
          <w:szCs w:val="22"/>
        </w:rPr>
        <w:t xml:space="preserve">The feed conversion ratio — the standard industry measure of how efficiently fish convert feed into biomass — is calculated monthly at the cohort level by the data team from a combination of estimated biomass change and feed deployment records. The resulting figures arrive too late to influence operational decisions, are of uncertain accuracy given the biomass estimation limitations described below, and are not broken down to the individual cage level at which feeding decisions are actually made.</w:t>
      </w:r>
    </w:p>
    <w:p>
      <w:pPr>
        <w:pStyle w:val="Heading2"/>
        <w:pBdr>
          <w:bottom w:val="single" w:color="0C6B6B" w:sz="6"/>
        </w:pBdr>
        <w:spacing w:after="120" w:before="300"/>
      </w:pPr>
      <w:r>
        <w:rPr>
          <w:rFonts w:ascii="Arial" w:cs="Arial" w:eastAsia="Arial" w:hAnsi="Arial"/>
          <w:b/>
          <w:bCs/>
          <w:color w:val="0C6B6B"/>
          <w:sz w:val="28"/>
          <w:szCs w:val="28"/>
        </w:rPr>
        <w:t xml:space="preserve">3.3   Biomass Estimation and Production Forecasting</w:t>
      </w:r>
    </w:p>
    <w:p>
      <w:pPr>
        <w:spacing w:after="100" w:before="80" w:line="276"/>
        <w:jc w:val="left"/>
      </w:pPr>
      <w:r>
        <w:rPr>
          <w:rFonts w:ascii="Arial" w:cs="Arial" w:eastAsia="Arial" w:hAnsi="Arial"/>
          <w:b w:val="false"/>
          <w:bCs w:val="false"/>
          <w:i w:val="false"/>
          <w:iCs w:val="false"/>
          <w:color w:val="1C2226"/>
          <w:sz w:val="22"/>
          <w:szCs w:val="22"/>
        </w:rPr>
        <w:t xml:space="preserve">Accurate knowledge of the mass of live fish in the water at any given time is foundational to almost every other management decision in salmon farming: it determines how much to feed, when to harvest, how to schedule processing slots, what supply commitments to make to buyers, and what biomass values to report to regulators and present to the Company's board. NBH currently relies on a growth model within AquaManager that takes the counted weight of fish at the time of smolt stocking and applies species-specific thermal growth coefficients adjusted for site water temperature to project forward the average individual weight over time. Total biomass is the product of this projected average weight and an assumed surviving population count.</w:t>
      </w:r>
    </w:p>
    <w:p>
      <w:pPr>
        <w:spacing w:after="100" w:before="80" w:line="276"/>
        <w:jc w:val="left"/>
      </w:pPr>
      <w:r>
        <w:rPr>
          <w:rFonts w:ascii="Arial" w:cs="Arial" w:eastAsia="Arial" w:hAnsi="Arial"/>
          <w:b w:val="false"/>
          <w:bCs w:val="false"/>
          <w:i w:val="false"/>
          <w:iCs w:val="false"/>
          <w:color w:val="1C2226"/>
          <w:sz w:val="22"/>
          <w:szCs w:val="22"/>
        </w:rPr>
        <w:t xml:space="preserve">In the early months of a production cycle, when actual conditions match the model assumptions reasonably well, this approach produces estimates that are adequate for most purposes. As cycles extend, however, the compounding of uncertainties — actual versus modelled growth rates, unrecorded mortality, feed conversion assumptions, handling and transfer losses — means that by the twelfth month of a typical Norwegian cycle, the ninety-five percent confidence interval around the biomass estimate has widened to plus or minus eighteen to twenty-four percent of the point estimate. A site holding five hundred metric tonnes of estimated biomass may in reality hold anywhere between approximately four hundred and six hundred metric tonnes.</w:t>
      </w:r>
    </w:p>
    <w:p>
      <w:pPr>
        <w:spacing w:after="100" w:before="80" w:line="276"/>
        <w:jc w:val="left"/>
      </w:pPr>
      <w:r>
        <w:rPr>
          <w:rFonts w:ascii="Arial" w:cs="Arial" w:eastAsia="Arial" w:hAnsi="Arial"/>
          <w:b w:val="false"/>
          <w:bCs w:val="false"/>
          <w:i w:val="false"/>
          <w:iCs w:val="false"/>
          <w:color w:val="1C2226"/>
          <w:sz w:val="22"/>
          <w:szCs w:val="22"/>
        </w:rPr>
        <w:t xml:space="preserve">The practical consequences of this uncertainty are experienced most acutely at harvest time. Supply chain planners are working with biomass estimates that may materially over- or under-represent available harvest volume. In eleven documented cases during 2024, the actual first-of-class harvest weight deviation from the estimate used to set the supply commitment exceeded twelve percent, resulting in either a shortfall against customer orders requiring spot market purchases to cover, or a surplus requiring sale at lower spot market prices than the planned contract price. The aggregated financial impact of these harvest timing and planning inefficiencies was estimated by the finance function at NOK 12.1 million for the 2024 calendar year.</w:t>
      </w:r>
    </w:p>
    <w:p>
      <w:pPr>
        <w:spacing w:after="100" w:before="80" w:line="276"/>
        <w:jc w:val="left"/>
      </w:pPr>
      <w:r>
        <w:rPr>
          <w:rFonts w:ascii="Arial" w:cs="Arial" w:eastAsia="Arial" w:hAnsi="Arial"/>
          <w:b w:val="false"/>
          <w:bCs w:val="false"/>
          <w:i w:val="false"/>
          <w:iCs w:val="false"/>
          <w:color w:val="1C2226"/>
          <w:sz w:val="22"/>
          <w:szCs w:val="22"/>
        </w:rPr>
        <w:t xml:space="preserve">NBH has been evaluating the use of optical biomass estimation cameras as an upgrade to its current approach. Aquabyte camera systems have been trialled at two Norwegian sites since early 2024 and are producing individual fish length and weight estimates that regional farming managers regard as a meaningful improvement over the modelled approach, particularly in identifying cohorts where actual growth is diverging from the model. However, the camera data currently sits in a separate Aquabyte portal with no connection to AquaManager, the feed management process, or the supply chain planning tools. The trial will inform procurement decisions made under this RFP.</w:t>
      </w:r>
    </w:p>
    <w:p>
      <w:pPr>
        <w:pStyle w:val="Heading2"/>
        <w:pBdr>
          <w:bottom w:val="single" w:color="0C6B6B" w:sz="6"/>
        </w:pBdr>
        <w:spacing w:after="120" w:before="300"/>
      </w:pPr>
      <w:r>
        <w:rPr>
          <w:rFonts w:ascii="Arial" w:cs="Arial" w:eastAsia="Arial" w:hAnsi="Arial"/>
          <w:b/>
          <w:bCs/>
          <w:color w:val="0C6B6B"/>
          <w:sz w:val="28"/>
          <w:szCs w:val="28"/>
        </w:rPr>
        <w:t xml:space="preserve">3.4   Fish Health, Biosecurity, and Welfare Management</w:t>
      </w:r>
    </w:p>
    <w:p>
      <w:pPr>
        <w:spacing w:after="100" w:before="80" w:line="276"/>
        <w:jc w:val="left"/>
      </w:pPr>
      <w:r>
        <w:rPr>
          <w:rFonts w:ascii="Arial" w:cs="Arial" w:eastAsia="Arial" w:hAnsi="Arial"/>
          <w:b w:val="false"/>
          <w:bCs w:val="false"/>
          <w:i w:val="false"/>
          <w:iCs w:val="false"/>
          <w:color w:val="1C2226"/>
          <w:sz w:val="22"/>
          <w:szCs w:val="22"/>
        </w:rPr>
        <w:t xml:space="preserve">The health management of NBH's fish populations is the responsibility of a team of six fish health coordinators, each responsible for a geographic cluster of sites, reporting to the Chief Farming Officer and working in close collaboration with a retained veterinary practice. The coordinators visit sites on a regular schedule and are called to sites on an emergency basis when health events are detected. The frequency and severity of sea lice infestation events is the primary focus of regulatory attention and the greatest source of biological treatment cost in Norwegian operations.</w:t>
      </w:r>
    </w:p>
    <w:p>
      <w:pPr>
        <w:spacing w:after="100" w:before="80" w:line="276"/>
        <w:jc w:val="left"/>
      </w:pPr>
      <w:r>
        <w:rPr>
          <w:rFonts w:ascii="Arial" w:cs="Arial" w:eastAsia="Arial" w:hAnsi="Arial"/>
          <w:b w:val="false"/>
          <w:bCs w:val="false"/>
          <w:i w:val="false"/>
          <w:iCs w:val="false"/>
          <w:color w:val="1C2226"/>
          <w:sz w:val="22"/>
          <w:szCs w:val="22"/>
        </w:rPr>
        <w:t xml:space="preserve">Norwegian regulations require that Atlantic salmon production sites report sea lice counts per fish on a weekly basis during the period from May through November and every two weeks during the winter period. These counts are conducted by site staff who use trained diving teams to sample fish from each pen. The count data must be reported to the Norwegian Mattilsynet via the Altinn government reporting portal within specified deadlines and triggers mandatory treatment obligations when the density of adult female lice exceeds a regulatory threshold of 0.5 per fish.</w:t>
      </w:r>
    </w:p>
    <w:p>
      <w:pPr>
        <w:spacing w:after="100" w:before="80" w:line="276"/>
        <w:jc w:val="left"/>
      </w:pPr>
      <w:r>
        <w:rPr>
          <w:rFonts w:ascii="Arial" w:cs="Arial" w:eastAsia="Arial" w:hAnsi="Arial"/>
          <w:b w:val="false"/>
          <w:bCs w:val="false"/>
          <w:i w:val="false"/>
          <w:iCs w:val="false"/>
          <w:color w:val="1C2226"/>
          <w:sz w:val="22"/>
          <w:szCs w:val="22"/>
        </w:rPr>
        <w:t xml:space="preserve">At present, site staff record lice count data on paper forms during the sampling exercise. These forms are subsequently transcribed by the fish health coordinator responsible for the site cluster into a shared Excel workbook maintained on the Company's SharePoint environment. The coordinator then extracts the relevant figures and manually prepares and submits the Altinn report. A single weekly lice reporting cycle across the fourteen Norwegian sites in one coordinator's cluster requires approximately eleven hours of consolidation, transcription, and submission work. Across all six coordinators and all reporting periods in a calendar year, this represents a very substantial drain on specialist professional time that could otherwise be directed toward the biological analysis and site management advisory work that is the core value of these roles.</w:t>
      </w:r>
    </w:p>
    <w:p>
      <w:pPr>
        <w:spacing w:after="100" w:before="80" w:line="276"/>
        <w:jc w:val="left"/>
      </w:pPr>
      <w:r>
        <w:rPr>
          <w:rFonts w:ascii="Arial" w:cs="Arial" w:eastAsia="Arial" w:hAnsi="Arial"/>
          <w:b w:val="false"/>
          <w:bCs w:val="false"/>
          <w:i w:val="false"/>
          <w:iCs w:val="false"/>
          <w:color w:val="1C2226"/>
          <w:sz w:val="22"/>
          <w:szCs w:val="22"/>
        </w:rPr>
        <w:t xml:space="preserve">Beyond the administrative burden, the more serious concern expressed consistently in CSA interviews was the delay between a lice event occurring on a site and the event becoming visible to the coordinator who needs to decide on a treatment response. Because count data flows through the transcription and compilation process over several days, and because there is no system to alert a coordinator when counts at a specific pen are trending in a concerning direction, treatment decisions are often being made reactively against an infestation that has already reached or approached the regulatory threshold, rather than proactively at a point where earlier intervention might have been effective with lower chemical or biological treatment intensity. Fish health coordinators and the retained veterinary team expressed significant frustration with this situation, noting that the scientific literature on lice population dynamics and temperature-driven infestation cycles provides a reasonable basis for predictive modelling that NBH currently lacks the data infrastructure to exploit.</w:t>
      </w:r>
    </w:p>
    <w:p>
      <w:pPr>
        <w:spacing w:after="100" w:before="80" w:line="276"/>
        <w:jc w:val="left"/>
      </w:pPr>
      <w:r>
        <w:rPr>
          <w:rFonts w:ascii="Arial" w:cs="Arial" w:eastAsia="Arial" w:hAnsi="Arial"/>
          <w:b w:val="false"/>
          <w:bCs w:val="false"/>
          <w:i w:val="false"/>
          <w:iCs w:val="false"/>
          <w:color w:val="1C2226"/>
          <w:sz w:val="22"/>
          <w:szCs w:val="22"/>
        </w:rPr>
        <w:t xml:space="preserve">Mortality recording represents a related but distinct challenge. Cage operators collect and count dead fish on a daily basis as a standard welfare and regulatory requirement, and these counts are recorded in site-level notebooks or, at sites where it has been adopted informally, in personal phone notes. The transcription of these records into AquaManager typically happens weekly at best and in some documented cases significantly less frequently. As a result, the data available for mortality trend analysis in AquaManager is always between five and ten days old, and because the transcription is done retrospectively, the cause classification coding that is meant to support disease surveillance analysis is frequently missing or recorded as "unknown" because the event context is no longer retrievable from memory.</w:t>
      </w:r>
    </w:p>
    <w:p>
      <w:pPr>
        <w:spacing w:after="100" w:before="80" w:line="276"/>
        <w:jc w:val="left"/>
      </w:pPr>
      <w:r>
        <w:rPr>
          <w:rFonts w:ascii="Arial" w:cs="Arial" w:eastAsia="Arial" w:hAnsi="Arial"/>
          <w:b w:val="false"/>
          <w:bCs w:val="false"/>
          <w:i w:val="false"/>
          <w:iCs w:val="false"/>
          <w:color w:val="1C2226"/>
          <w:sz w:val="22"/>
          <w:szCs w:val="22"/>
        </w:rPr>
        <w:t xml:space="preserve">The management of veterinary medicines and treatment records is an area of particular regulatory sensitivity. NBH's veterinary team prescribes treatments, but the prescription, authorisation, dispensing, administration, and withdrawal period tracking workflow is conducted entirely via email chains, shared documents, and verbal communication. The absence of a controlled, auditable system for managing this workflow is a compliance risk that has been explicitly flagged by the Company's external audit partner, and NBH received an observation from Mattilsynet during a 2023 site inspection at one of its Rogaland sites regarding the adequacy of its withdrawal period documentation practices. The Company is keenly aware that this area needs structural improvement.</w:t>
      </w:r>
    </w:p>
    <w:p>
      <w:pPr>
        <w:pStyle w:val="Heading2"/>
        <w:pBdr>
          <w:bottom w:val="single" w:color="0C6B6B" w:sz="6"/>
        </w:pBdr>
        <w:spacing w:after="120" w:before="300"/>
      </w:pPr>
      <w:r>
        <w:rPr>
          <w:rFonts w:ascii="Arial" w:cs="Arial" w:eastAsia="Arial" w:hAnsi="Arial"/>
          <w:b/>
          <w:bCs/>
          <w:color w:val="0C6B6B"/>
          <w:sz w:val="28"/>
          <w:szCs w:val="28"/>
        </w:rPr>
        <w:t xml:space="preserve">3.5   Environmental Monitoring and Site Safety</w:t>
      </w:r>
    </w:p>
    <w:p>
      <w:pPr>
        <w:spacing w:after="100" w:before="80" w:line="276"/>
        <w:jc w:val="left"/>
      </w:pPr>
      <w:r>
        <w:rPr>
          <w:rFonts w:ascii="Arial" w:cs="Arial" w:eastAsia="Arial" w:hAnsi="Arial"/>
          <w:b w:val="false"/>
          <w:bCs w:val="false"/>
          <w:i w:val="false"/>
          <w:iCs w:val="false"/>
          <w:color w:val="1C2226"/>
          <w:sz w:val="22"/>
          <w:szCs w:val="22"/>
        </w:rPr>
        <w:t xml:space="preserve">NBH operates two hundred and fourteen discrete environmental monitoring instruments across its farming estate, measuring variables including dissolved oxygen, water temperature, salinity, turbidity, water current speed and direction, and in some locations underwater video for predator detection and feed monitoring. These sensors are supplied by various manufacturers — the majority are Navico/Simrad branded instruments — and their data streams to a variety of vendor-specific data portals and logging interfaces that have no integration with one another or with the operational management systems used to make feeding and health decisions.</w:t>
      </w:r>
    </w:p>
    <w:p>
      <w:pPr>
        <w:spacing w:after="100" w:before="80" w:line="276"/>
        <w:jc w:val="left"/>
      </w:pPr>
      <w:r>
        <w:rPr>
          <w:rFonts w:ascii="Arial" w:cs="Arial" w:eastAsia="Arial" w:hAnsi="Arial"/>
          <w:b w:val="false"/>
          <w:bCs w:val="false"/>
          <w:i w:val="false"/>
          <w:iCs w:val="false"/>
          <w:color w:val="1C2226"/>
          <w:sz w:val="22"/>
          <w:szCs w:val="22"/>
        </w:rPr>
        <w:t xml:space="preserve">Dissolved oxygen management is the most operationally critical real-time monitoring requirement. Atlantic salmon experience stress and growth suppression at dissolved oxygen concentrations below approximately eight milligrams per litre, and concentrations below five milligrams per litre are acutely dangerous and can cause rapid mass mortality events. NBH has experienced two significant low-oxygen events in the past three years: one at a Nordland site in August 2022 following an unexpected algae bloom that cost the Company approximately NOK 6.8 million in emergency response, elevated mortality, and insurance excess, and one at a Faroese site in July 2024 that was detected only marginally ahead of a critical threshold and averted through immediate emergency aeration response by a crew that happened to be on site. Both events were reviewed by external consultants who noted that an integrated early warning system, combining oxygen sensor data with temperature stratification readings and current monitoring, could have provided actionable warning several hours earlier than was achieved with the existing patchwork of disconnected instruments.</w:t>
      </w:r>
    </w:p>
    <w:p>
      <w:pPr>
        <w:pStyle w:val="Heading2"/>
        <w:pBdr>
          <w:bottom w:val="single" w:color="0C6B6B" w:sz="6"/>
        </w:pBdr>
        <w:spacing w:after="120" w:before="300"/>
      </w:pPr>
      <w:r>
        <w:rPr>
          <w:rFonts w:ascii="Arial" w:cs="Arial" w:eastAsia="Arial" w:hAnsi="Arial"/>
          <w:b/>
          <w:bCs/>
          <w:color w:val="0C6B6B"/>
          <w:sz w:val="28"/>
          <w:szCs w:val="28"/>
        </w:rPr>
        <w:t xml:space="preserve">3.6   Regulatory Reporting and Compliance Administration</w:t>
      </w:r>
    </w:p>
    <w:p>
      <w:pPr>
        <w:spacing w:after="100" w:before="80" w:line="276"/>
        <w:jc w:val="left"/>
      </w:pPr>
      <w:r>
        <w:rPr>
          <w:rFonts w:ascii="Arial" w:cs="Arial" w:eastAsia="Arial" w:hAnsi="Arial"/>
          <w:b w:val="false"/>
          <w:bCs w:val="false"/>
          <w:i w:val="false"/>
          <w:iCs w:val="false"/>
          <w:color w:val="1C2226"/>
          <w:sz w:val="22"/>
          <w:szCs w:val="22"/>
        </w:rPr>
        <w:t xml:space="preserve">NBH operates under the regulatory jurisdiction of three national authorities — the Norwegian Directorate of Fisheries (Fiskeridirektoratet) and the Norwegian Food Safety Authority (Mattilsynet) in Norway, the Food and Veterinary Authority (FVST) of the Faroe Islands, and Fisheries and Oceans Canada (DFO) in New Brunswick — in addition to the provincial aquaculture regulator in New Brunswick. Each jurisdiction has distinct reporting requirements, submission timelines, and data format specifications.</w:t>
      </w:r>
    </w:p>
    <w:p>
      <w:pPr>
        <w:spacing w:after="100" w:before="80" w:line="276"/>
        <w:jc w:val="left"/>
      </w:pPr>
      <w:r>
        <w:rPr>
          <w:rFonts w:ascii="Arial" w:cs="Arial" w:eastAsia="Arial" w:hAnsi="Arial"/>
          <w:b w:val="false"/>
          <w:bCs w:val="false"/>
          <w:i w:val="false"/>
          <w:iCs w:val="false"/>
          <w:color w:val="1C2226"/>
          <w:sz w:val="22"/>
          <w:szCs w:val="22"/>
        </w:rPr>
        <w:t xml:space="preserve">The Norwegian reporting burden is the most intensive. Monthly aquaculture production reports to Fiskeridirektoratet via the Altinn portal require data on stocking volumes, biomass estimates, feed usage, mortality by cause, harvest volumes, and various welfare indicators. Weekly and biweekly sea lice reports to Mattilsynet require the count data described above. Escape events, disease notifications, and emergency reports to both authorities require data that spans multiple current systems. The Company employs three dedicated regulatory affairs coordinators who spend the substantial majority of their working time on data collection, reconciliation, and submission tasks. In a survey question asking regulatory coordinators to estimate the proportion of their working time consumed by manual data gathering as opposed to analysis and compliance management, the average response was sixty-seven percent.</w:t>
      </w:r>
    </w:p>
    <w:p>
      <w:pPr>
        <w:spacing w:after="100" w:before="80" w:line="276"/>
        <w:jc w:val="left"/>
      </w:pPr>
      <w:r>
        <w:rPr>
          <w:rFonts w:ascii="Arial" w:cs="Arial" w:eastAsia="Arial" w:hAnsi="Arial"/>
          <w:b w:val="false"/>
          <w:bCs w:val="false"/>
          <w:i w:val="false"/>
          <w:iCs w:val="false"/>
          <w:color w:val="1C2226"/>
          <w:sz w:val="22"/>
          <w:szCs w:val="22"/>
        </w:rPr>
        <w:t xml:space="preserve">Two NBH sites received formal enforcement notices from Fiskeridirektoratet in 2024 relating to missed or incomplete regulatory submissions. In both cases the root cause was a failure in the manual data collection chain — data that existed in a paper record or an isolated system was not transferred to the regulatory submission in time. The combined financial penalties were NOK 340,000. The regulatory affairs team and the Company's legal counsel consider the enforcement risk to be growing as reporting obligations increase in complexity and as the Company's site footprint expands, and have identified the absence of automated data-to-submission workflows as a systemic vulnerability.</w:t>
      </w:r>
    </w:p>
    <w:p>
      <w:pPr>
        <w:pStyle w:val="Heading2"/>
        <w:pBdr>
          <w:bottom w:val="single" w:color="0C6B6B" w:sz="6"/>
        </w:pBdr>
        <w:spacing w:after="120" w:before="300"/>
      </w:pPr>
      <w:r>
        <w:rPr>
          <w:rFonts w:ascii="Arial" w:cs="Arial" w:eastAsia="Arial" w:hAnsi="Arial"/>
          <w:b/>
          <w:bCs/>
          <w:color w:val="0C6B6B"/>
          <w:sz w:val="28"/>
          <w:szCs w:val="28"/>
        </w:rPr>
        <w:t xml:space="preserve">3.7   Workforce Dynamics and Operational Knowledge Management</w:t>
      </w:r>
    </w:p>
    <w:p>
      <w:pPr>
        <w:spacing w:after="100" w:before="80" w:line="276"/>
        <w:jc w:val="left"/>
      </w:pPr>
      <w:r>
        <w:rPr>
          <w:rFonts w:ascii="Arial" w:cs="Arial" w:eastAsia="Arial" w:hAnsi="Arial"/>
          <w:b w:val="false"/>
          <w:bCs w:val="false"/>
          <w:i w:val="false"/>
          <w:iCs w:val="false"/>
          <w:color w:val="1C2226"/>
          <w:sz w:val="22"/>
          <w:szCs w:val="22"/>
        </w:rPr>
        <w:t xml:space="preserve">Aquaculture farming is physically demanding, geographically remote, and characterised by high seasonal and entry-level labour turnover. NBH's cage operator population — the largest single occupational group in the Farming Division, comprising approximately six hundred individuals — experiences annual turnover of approximately thirty-eight percent. At any given time, a meaningful proportion of the cage operators on any site are relatively new to the job and to the site, and must rely on verbal instruction, personal notebooks, and informal mentoring from more experienced colleagues to learn and execute their responsibilities correctly. There is no digital standard operating procedure library, no structured digital onboarding programme for site tasks, and no means by which a night shift operator who encounters an unfamiliar situation can access structured guidance without calling a manager.</w:t>
      </w:r>
    </w:p>
    <w:p>
      <w:pPr>
        <w:spacing w:after="100" w:before="80" w:line="276"/>
        <w:jc w:val="left"/>
      </w:pPr>
      <w:r>
        <w:rPr>
          <w:rFonts w:ascii="Arial" w:cs="Arial" w:eastAsia="Arial" w:hAnsi="Arial"/>
          <w:b w:val="false"/>
          <w:bCs w:val="false"/>
          <w:i w:val="false"/>
          <w:iCs w:val="false"/>
          <w:color w:val="1C2226"/>
          <w:sz w:val="22"/>
          <w:szCs w:val="22"/>
        </w:rPr>
        <w:t xml:space="preserve">Site managers themselves report spending between thirty and forty percent of their time on data entry and administrative reporting tasks. In structured time-in-task observations, observers found that a single shift for a site manager at a mid-sized Norwegian site involved, on average, interaction with four distinct software applications, two SharePoint lists, one Excel workbook, and paper forms for at least two separate data recording activities. Managers described this fragmentation as their primary source of job dissatisfaction and estimated that eliminating the duplicate data entry alone would recover between ninety minutes and two hours of their working day that could be redirected to site observation, crew supervision, and operational decision-making.</w:t>
      </w:r>
    </w:p>
    <w:p>
      <w:pPr>
        <w:spacing w:after="100" w:before="80" w:line="276"/>
        <w:jc w:val="left"/>
      </w:pPr>
      <w:r>
        <w:rPr>
          <w:rFonts w:ascii="Arial" w:cs="Arial" w:eastAsia="Arial" w:hAnsi="Arial"/>
          <w:b w:val="false"/>
          <w:bCs w:val="false"/>
          <w:i w:val="false"/>
          <w:iCs w:val="false"/>
          <w:color w:val="1C2226"/>
          <w:sz w:val="22"/>
          <w:szCs w:val="22"/>
        </w:rPr>
        <w:t xml:space="preserve">Retention of experienced site managers is a strategic concern for NBH. The Company has lost six experienced site managers to competitors and to the offshore energy sector in the past two years, and exit interview data consistently identifies administrative burden and inadequate digital tools as contributing factors alongside compensation. The CFO-Ops has explicitly asked for the digital transformation programme to address working conditions for site management staff as a talent retention measure, in addition to its primary operational performance objectives.</w:t>
      </w:r>
    </w:p>
    <w:p>
      <w:r>
        <w:br w:type="page"/>
      </w:r>
    </w:p>
    <w:p>
      <w:pPr>
        <w:pStyle w:val="Heading1"/>
        <w:spacing w:after="160" w:before="400"/>
      </w:pPr>
      <w:r>
        <w:rPr>
          <w:rFonts w:ascii="Arial" w:cs="Arial" w:eastAsia="Arial" w:hAnsi="Arial"/>
          <w:b/>
          <w:bCs/>
          <w:color w:val="0A2E52"/>
          <w:sz w:val="38"/>
          <w:szCs w:val="38"/>
        </w:rPr>
        <w:t xml:space="preserve">4.  Scope of the Requested Engagement</w:t>
      </w:r>
    </w:p>
    <w:p>
      <w:pPr>
        <w:pStyle w:val="Heading2"/>
        <w:pBdr>
          <w:bottom w:val="single" w:color="0C6B6B" w:sz="6"/>
        </w:pBdr>
        <w:spacing w:after="120" w:before="300"/>
      </w:pPr>
      <w:r>
        <w:rPr>
          <w:rFonts w:ascii="Arial" w:cs="Arial" w:eastAsia="Arial" w:hAnsi="Arial"/>
          <w:b/>
          <w:bCs/>
          <w:color w:val="0C6B6B"/>
          <w:sz w:val="28"/>
          <w:szCs w:val="28"/>
        </w:rPr>
        <w:t xml:space="preserve">4.1   What NBH Is Seeking</w:t>
      </w:r>
    </w:p>
    <w:p>
      <w:pPr>
        <w:spacing w:after="100" w:before="80" w:line="276"/>
        <w:jc w:val="left"/>
      </w:pPr>
      <w:r>
        <w:rPr>
          <w:rFonts w:ascii="Arial" w:cs="Arial" w:eastAsia="Arial" w:hAnsi="Arial"/>
          <w:b w:val="false"/>
          <w:bCs w:val="false"/>
          <w:i w:val="false"/>
          <w:iCs w:val="false"/>
          <w:color w:val="1C2226"/>
          <w:sz w:val="22"/>
          <w:szCs w:val="22"/>
        </w:rPr>
        <w:t xml:space="preserve">NBH is seeking a partner to design, build, and implement a unified digital platform for aquaculture farm management that addresses the operational deficiencies described in Section 3. This RFP does not specify a solution design, a feature list, or a technology architecture. NBH's intent is to engage a vendor in a genuine discovery and design process through which the specific capabilities of the platform are defined collaboratively, informed by the operational realities described in this document and further explored during the engagement process.</w:t>
      </w:r>
    </w:p>
    <w:p>
      <w:pPr>
        <w:spacing w:after="100" w:before="80" w:line="276"/>
        <w:jc w:val="left"/>
      </w:pPr>
      <w:r>
        <w:rPr>
          <w:rFonts w:ascii="Arial" w:cs="Arial" w:eastAsia="Arial" w:hAnsi="Arial"/>
          <w:b w:val="false"/>
          <w:bCs w:val="false"/>
          <w:i w:val="false"/>
          <w:iCs w:val="false"/>
          <w:color w:val="1C2226"/>
          <w:sz w:val="22"/>
          <w:szCs w:val="22"/>
        </w:rPr>
        <w:t xml:space="preserve">At the broadest level of description, the platform must give every member of NBH's farming organisation — from a cage operator recording a mortality event on a boat at two in the morning to a regional manager reviewing production performance across eleven sites on a Monday morning to an executive making a harvest scheduling decision that will affect a customer relationship — access to accurate, timely, and relevant operational information and the ability to act on it without unnecessary friction. It must do so reliably in environments where internet connectivity is intermittent or absent, on devices that may be wet and operated with gloved hands, and by users whose digital literacy spans from basic smartphone competence to advanced data analysis skills.</w:t>
      </w:r>
    </w:p>
    <w:p>
      <w:pPr>
        <w:spacing w:after="100" w:before="80" w:line="276"/>
        <w:jc w:val="left"/>
      </w:pPr>
      <w:r>
        <w:rPr>
          <w:rFonts w:ascii="Arial" w:cs="Arial" w:eastAsia="Arial" w:hAnsi="Arial"/>
          <w:b w:val="false"/>
          <w:bCs w:val="false"/>
          <w:i w:val="false"/>
          <w:iCs w:val="false"/>
          <w:color w:val="1C2226"/>
          <w:sz w:val="22"/>
          <w:szCs w:val="22"/>
        </w:rPr>
        <w:t xml:space="preserve">NBH will expect the platform to span the following operational domains, though the precise boundary of in-scope functionality within each domain is a subject for the discovery and scoping phase of the engagement rather than a fixed specification at the proposal stage:</w:t>
      </w:r>
    </w:p>
    <w:p>
      <w:pPr>
        <w:pStyle w:val="Heading3"/>
        <w:spacing w:after="80" w:before="220"/>
      </w:pPr>
      <w:r>
        <w:rPr>
          <w:rFonts w:ascii="Arial" w:cs="Arial" w:eastAsia="Arial" w:hAnsi="Arial"/>
          <w:b/>
          <w:bCs/>
          <w:color w:val="0A2E52"/>
          <w:sz w:val="24"/>
          <w:szCs w:val="24"/>
        </w:rPr>
        <w:t xml:space="preserve">Feeding Operations and Nutritional Management</w:t>
      </w:r>
    </w:p>
    <w:p>
      <w:pPr>
        <w:spacing w:after="100" w:before="80" w:line="276"/>
        <w:ind w:left="360"/>
        <w:jc w:val="left"/>
      </w:pPr>
      <w:r>
        <w:rPr>
          <w:rFonts w:ascii="Arial" w:cs="Arial" w:eastAsia="Arial" w:hAnsi="Arial"/>
          <w:b w:val="false"/>
          <w:bCs w:val="false"/>
          <w:i w:val="false"/>
          <w:iCs w:val="false"/>
          <w:color w:val="1C2226"/>
          <w:sz w:val="22"/>
          <w:szCs w:val="22"/>
        </w:rPr>
        <w:t xml:space="preserve">The platform must fundamentally transform how feeding decisions are made and executed across NBH's estate. It must bring together the environmental data, the biomass information, and the appetite signals that currently exist in separate systems and inform those who manage feeding with the information they need to adjust plans in real time rather than retrospectively. It must establish a reliable record of feed deployed, feed costs incurred, and conversion performance at a level of granularity that supports both operational decisions at site level and financial analysis at corporate level.</w:t>
      </w:r>
    </w:p>
    <w:p>
      <w:pPr>
        <w:pStyle w:val="Heading3"/>
        <w:spacing w:after="80" w:before="220"/>
      </w:pPr>
      <w:r>
        <w:rPr>
          <w:rFonts w:ascii="Arial" w:cs="Arial" w:eastAsia="Arial" w:hAnsi="Arial"/>
          <w:b/>
          <w:bCs/>
          <w:color w:val="0A2E52"/>
          <w:sz w:val="24"/>
          <w:szCs w:val="24"/>
        </w:rPr>
        <w:t xml:space="preserve">Biological Performance Monitoring and Biomass Management</w:t>
      </w:r>
    </w:p>
    <w:p>
      <w:pPr>
        <w:spacing w:after="100" w:before="80" w:line="276"/>
        <w:ind w:left="360"/>
        <w:jc w:val="left"/>
      </w:pPr>
      <w:r>
        <w:rPr>
          <w:rFonts w:ascii="Arial" w:cs="Arial" w:eastAsia="Arial" w:hAnsi="Arial"/>
          <w:b w:val="false"/>
          <w:bCs w:val="false"/>
          <w:i w:val="false"/>
          <w:iCs w:val="false"/>
          <w:color w:val="1C2226"/>
          <w:sz w:val="22"/>
          <w:szCs w:val="22"/>
        </w:rPr>
        <w:t xml:space="preserve">The platform must provide NBH with a substantially more accurate and more current picture of the biomass held at each site than the current modelling approach delivers. It must integrate data from whatever combination of physical sampling, optical or acoustic sensing, and growth modelling is determined during the design phase to be appropriate for each category of site, and it must present biomass estimates with transparent confidence intervals that enable supply chain planners and senior managers to understand the uncertainty they are working with. It must track individual cohorts from smolt transfer through to harvest and provide forward projections of harvest readiness that supply chain can rely on for customer commitments.</w:t>
      </w:r>
    </w:p>
    <w:p>
      <w:pPr>
        <w:pStyle w:val="Heading3"/>
        <w:spacing w:after="80" w:before="220"/>
      </w:pPr>
      <w:r>
        <w:rPr>
          <w:rFonts w:ascii="Arial" w:cs="Arial" w:eastAsia="Arial" w:hAnsi="Arial"/>
          <w:b/>
          <w:bCs/>
          <w:color w:val="0A2E52"/>
          <w:sz w:val="24"/>
          <w:szCs w:val="24"/>
        </w:rPr>
        <w:t xml:space="preserve">Fish Health and Biosecurity Programme Management</w:t>
      </w:r>
    </w:p>
    <w:p>
      <w:pPr>
        <w:spacing w:after="100" w:before="80" w:line="276"/>
        <w:ind w:left="360"/>
        <w:jc w:val="left"/>
      </w:pPr>
      <w:r>
        <w:rPr>
          <w:rFonts w:ascii="Arial" w:cs="Arial" w:eastAsia="Arial" w:hAnsi="Arial"/>
          <w:b w:val="false"/>
          <w:bCs w:val="false"/>
          <w:i w:val="false"/>
          <w:iCs w:val="false"/>
          <w:color w:val="1C2226"/>
          <w:sz w:val="22"/>
          <w:szCs w:val="22"/>
        </w:rPr>
        <w:t xml:space="preserve">The platform must give NBH's fish health coordinators and veterinary team the data infrastructure they need to shift from reactive to preventive health management. This means digital, real-time capture of health observation data at the point of observation, structured veterinary record keeping with appropriate controlled access, a reporting mechanism that integrates directly with regulatory submission requirements, and the analytical capability to identify patterns in health data across sites, across seasons, and across production cycles that would allow the health team to anticipate rather than merely respond to biological events.</w:t>
      </w:r>
    </w:p>
    <w:p>
      <w:pPr>
        <w:pStyle w:val="Heading3"/>
        <w:spacing w:after="80" w:before="220"/>
      </w:pPr>
      <w:r>
        <w:rPr>
          <w:rFonts w:ascii="Arial" w:cs="Arial" w:eastAsia="Arial" w:hAnsi="Arial"/>
          <w:b/>
          <w:bCs/>
          <w:color w:val="0A2E52"/>
          <w:sz w:val="24"/>
          <w:szCs w:val="24"/>
        </w:rPr>
        <w:t xml:space="preserve">Environmental Monitoring and Site Situation Awareness</w:t>
      </w:r>
    </w:p>
    <w:p>
      <w:pPr>
        <w:spacing w:after="100" w:before="80" w:line="276"/>
        <w:ind w:left="360"/>
        <w:jc w:val="left"/>
      </w:pPr>
      <w:r>
        <w:rPr>
          <w:rFonts w:ascii="Arial" w:cs="Arial" w:eastAsia="Arial" w:hAnsi="Arial"/>
          <w:b w:val="false"/>
          <w:bCs w:val="false"/>
          <w:i w:val="false"/>
          <w:iCs w:val="false"/>
          <w:color w:val="1C2226"/>
          <w:sz w:val="22"/>
          <w:szCs w:val="22"/>
        </w:rPr>
        <w:t xml:space="preserve">The platform must aggregate data from NBH's environmental monitoring infrastructure into a single operational view that gives site managers and on-call coordinators the situational awareness they need to respond to developing environmental conditions before they become emergencies. It must support configurable alerting with escalation pathways, and it must retain environmental data in a form and for a duration that satisfies regulatory requirements and supports retrospective analysis of the relationship between environmental conditions and biological performance outcomes.</w:t>
      </w:r>
    </w:p>
    <w:p>
      <w:pPr>
        <w:pStyle w:val="Heading3"/>
        <w:spacing w:after="80" w:before="220"/>
      </w:pPr>
      <w:r>
        <w:rPr>
          <w:rFonts w:ascii="Arial" w:cs="Arial" w:eastAsia="Arial" w:hAnsi="Arial"/>
          <w:b/>
          <w:bCs/>
          <w:color w:val="0A2E52"/>
          <w:sz w:val="24"/>
          <w:szCs w:val="24"/>
        </w:rPr>
        <w:t xml:space="preserve">Regulatory Compliance and Reporting</w:t>
      </w:r>
    </w:p>
    <w:p>
      <w:pPr>
        <w:spacing w:after="100" w:before="80" w:line="276"/>
        <w:ind w:left="360"/>
        <w:jc w:val="left"/>
      </w:pPr>
      <w:r>
        <w:rPr>
          <w:rFonts w:ascii="Arial" w:cs="Arial" w:eastAsia="Arial" w:hAnsi="Arial"/>
          <w:b w:val="false"/>
          <w:bCs w:val="false"/>
          <w:i w:val="false"/>
          <w:iCs w:val="false"/>
          <w:color w:val="1C2226"/>
          <w:sz w:val="22"/>
          <w:szCs w:val="22"/>
        </w:rPr>
        <w:t xml:space="preserve">The platform must eliminate the manual data collection and transcription work that currently consumes the majority of NBH's regulatory affairs team's time. It must generate required regulatory submissions — to Norwegian, Faroese, and Canadian authorities — from data that is entered once as a natural product of operational workflows, not re-entered by administrative staff for compliance purposes. It must maintain an audit trail of sufficient integrity to withstand regulatory inspection, and it must manage the scheduling and reminders associated with recurring compliance obligations to prevent the missed submission events that have generated enforcement notices.</w:t>
      </w:r>
    </w:p>
    <w:p>
      <w:pPr>
        <w:pStyle w:val="Heading3"/>
        <w:spacing w:after="80" w:before="220"/>
      </w:pPr>
      <w:r>
        <w:rPr>
          <w:rFonts w:ascii="Arial" w:cs="Arial" w:eastAsia="Arial" w:hAnsi="Arial"/>
          <w:b/>
          <w:bCs/>
          <w:color w:val="0A2E52"/>
          <w:sz w:val="24"/>
          <w:szCs w:val="24"/>
        </w:rPr>
        <w:t xml:space="preserve">Supply Chain Integration and Harvest Planning</w:t>
      </w:r>
    </w:p>
    <w:p>
      <w:pPr>
        <w:spacing w:after="100" w:before="80" w:line="276"/>
        <w:ind w:left="360"/>
        <w:jc w:val="left"/>
      </w:pPr>
      <w:r>
        <w:rPr>
          <w:rFonts w:ascii="Arial" w:cs="Arial" w:eastAsia="Arial" w:hAnsi="Arial"/>
          <w:b w:val="false"/>
          <w:bCs w:val="false"/>
          <w:i w:val="false"/>
          <w:iCs w:val="false"/>
          <w:color w:val="1C2226"/>
          <w:sz w:val="22"/>
          <w:szCs w:val="22"/>
        </w:rPr>
        <w:t xml:space="preserve">The platform must provide the Farming Division and the Supply Chain function with a shared view of production status, harvest readiness forecasts, and treatment-related harvest constraints that enables coherent supply planning and reliable customer commitment management. It must provide clear visibility of which cohorts are subject to veterinary medicine withdrawal periods, and it must flag conflicts between planned harvest dates and withdrawal period expiry in time for operational or commercial decisions to be made.</w:t>
      </w:r>
    </w:p>
    <w:p>
      <w:pPr>
        <w:pStyle w:val="Heading3"/>
        <w:spacing w:after="80" w:before="220"/>
      </w:pPr>
      <w:r>
        <w:rPr>
          <w:rFonts w:ascii="Arial" w:cs="Arial" w:eastAsia="Arial" w:hAnsi="Arial"/>
          <w:b/>
          <w:bCs/>
          <w:color w:val="0A2E52"/>
          <w:sz w:val="24"/>
          <w:szCs w:val="24"/>
        </w:rPr>
        <w:t xml:space="preserve">Operational Analytics and Management Reporting</w:t>
      </w:r>
    </w:p>
    <w:p>
      <w:pPr>
        <w:spacing w:after="100" w:before="80" w:line="276"/>
        <w:ind w:left="360"/>
        <w:jc w:val="left"/>
      </w:pPr>
      <w:r>
        <w:rPr>
          <w:rFonts w:ascii="Arial" w:cs="Arial" w:eastAsia="Arial" w:hAnsi="Arial"/>
          <w:b w:val="false"/>
          <w:bCs w:val="false"/>
          <w:i w:val="false"/>
          <w:iCs w:val="false"/>
          <w:color w:val="1C2226"/>
          <w:sz w:val="22"/>
          <w:szCs w:val="22"/>
        </w:rPr>
        <w:t xml:space="preserve">The platform must give management at every level — site, regional, divisional, and group — access to current and historical operational performance data without requiring manual report compilation. The quality, timeliness, and accessibility of reporting for NBH's senior management team is significantly below the standard that the Company's financial performance and strategic ambition warrants, and this programme is expected to materially close that gap.</w:t>
      </w:r>
    </w:p>
    <w:p>
      <w:pPr>
        <w:pStyle w:val="Heading2"/>
        <w:pBdr>
          <w:bottom w:val="single" w:color="0C6B6B" w:sz="6"/>
        </w:pBdr>
        <w:spacing w:after="120" w:before="300"/>
      </w:pPr>
      <w:r>
        <w:rPr>
          <w:rFonts w:ascii="Arial" w:cs="Arial" w:eastAsia="Arial" w:hAnsi="Arial"/>
          <w:b/>
          <w:bCs/>
          <w:color w:val="0C6B6B"/>
          <w:sz w:val="28"/>
          <w:szCs w:val="28"/>
        </w:rPr>
        <w:t xml:space="preserve">4.2   Delivery Phasing</w:t>
      </w:r>
    </w:p>
    <w:p>
      <w:pPr>
        <w:spacing w:after="100" w:before="80" w:line="276"/>
        <w:jc w:val="left"/>
      </w:pPr>
      <w:r>
        <w:rPr>
          <w:rFonts w:ascii="Arial" w:cs="Arial" w:eastAsia="Arial" w:hAnsi="Arial"/>
          <w:b w:val="false"/>
          <w:bCs w:val="false"/>
          <w:i w:val="false"/>
          <w:iCs w:val="false"/>
          <w:color w:val="1C2226"/>
          <w:sz w:val="22"/>
          <w:szCs w:val="22"/>
        </w:rPr>
        <w:t xml:space="preserve">NBH understands that the scope described above cannot be delivered simultaneously across all sites in a single implementation effort. NBH expects the selected vendor to propose a phased delivery approach that sequences the work in a manner that delivers early operational value, manages implementation risk, and builds on each phase of delivery to extend capability progressively. NBH has a strong preference for beginning with a meaningful pilot deployment at a subset of Norwegian sites before committing to full-estate rollout, and for each major phase to conclude with a period of stabilisation and learning before the next phase commences.</w:t>
      </w:r>
    </w:p>
    <w:p>
      <w:pPr>
        <w:spacing w:after="100" w:before="80" w:line="276"/>
        <w:jc w:val="left"/>
      </w:pPr>
      <w:r>
        <w:rPr>
          <w:rFonts w:ascii="Arial" w:cs="Arial" w:eastAsia="Arial" w:hAnsi="Arial"/>
          <w:b w:val="false"/>
          <w:bCs w:val="false"/>
          <w:i w:val="false"/>
          <w:iCs w:val="false"/>
          <w:color w:val="1C2226"/>
          <w:sz w:val="22"/>
          <w:szCs w:val="22"/>
        </w:rPr>
        <w:t xml:space="preserve">The Company's planning assumption is a three-phase programme spanning thirty-six months from contract award to full-estate capability. The first phase is expected to establish foundational platform infrastructure and deliver core operational capability at the pilot sites within approximately ten months of contract award, with a target go-live in the first quarter of 2026. Subsequent phases would extend both functional depth and geographic coverage, with full operational capability across all sites and jurisdictions targeted by the end of Phase Three. Vendors are free to propose an alternative phasing logic if they can demonstrate a compelling rationale.</w:t>
      </w:r>
    </w:p>
    <w:p>
      <w:pPr>
        <w:pStyle w:val="Heading2"/>
        <w:pBdr>
          <w:bottom w:val="single" w:color="0C6B6B" w:sz="6"/>
        </w:pBdr>
        <w:spacing w:after="120" w:before="300"/>
      </w:pPr>
      <w:r>
        <w:rPr>
          <w:rFonts w:ascii="Arial" w:cs="Arial" w:eastAsia="Arial" w:hAnsi="Arial"/>
          <w:b/>
          <w:bCs/>
          <w:color w:val="0C6B6B"/>
          <w:sz w:val="28"/>
          <w:szCs w:val="28"/>
        </w:rPr>
        <w:t xml:space="preserve">4.3   Explicitly Outside the Scope of This Procurement</w:t>
      </w:r>
    </w:p>
    <w:p>
      <w:pPr>
        <w:spacing w:after="100" w:before="80" w:line="276"/>
        <w:jc w:val="left"/>
      </w:pPr>
      <w:r>
        <w:rPr>
          <w:rFonts w:ascii="Arial" w:cs="Arial" w:eastAsia="Arial" w:hAnsi="Arial"/>
          <w:b w:val="false"/>
          <w:bCs w:val="false"/>
          <w:i w:val="false"/>
          <w:iCs w:val="false"/>
          <w:color w:val="1C2226"/>
          <w:sz w:val="22"/>
          <w:szCs w:val="22"/>
        </w:rPr>
        <w:t xml:space="preserve">For the avoidance of doubt, the following are not in scope for this engagement. Separate procurement activities are underway or planned for these areas:</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Processing plant and slaughter facility operational systems, which are managed under a distinct technology programme within the Processing and Supply Chain Division.</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Human resources, payroll, workforce scheduling, and learning management systems, which are managed through NBH's corporate HR function.</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Any consumer-facing product traceability or marketing applications.</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Hardware procurement for environmental sensors, feeding systems, or optical monitoring equipment. NBH manages direct hardware vendor relationships and will provide existing sensor infrastructure to the platform via defined integration interfaces.</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Changes to or re-implementation of SAP S/4HANA. NBH has an active engagement with its SAP implementation partner (Accenture Norway) for SAP-side integration work; the AquaCore platform vendor is required to provide data contracts and API specifications to support that engagement.</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The freshwater hatchery management systems at Etne and Fredericton, which are in scope for a separate technology review in 2026.</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Any regulatory engagement or consultation processes with indigenous communities in Canada, which are managed by NBH's Canadian operations legal team.</w:t>
      </w:r>
    </w:p>
    <w:p>
      <w:r>
        <w:br w:type="page"/>
      </w:r>
    </w:p>
    <w:p>
      <w:pPr>
        <w:pStyle w:val="Heading1"/>
        <w:spacing w:after="160" w:before="400"/>
      </w:pPr>
      <w:r>
        <w:rPr>
          <w:rFonts w:ascii="Arial" w:cs="Arial" w:eastAsia="Arial" w:hAnsi="Arial"/>
          <w:b/>
          <w:bCs/>
          <w:color w:val="0A2E52"/>
          <w:sz w:val="38"/>
          <w:szCs w:val="38"/>
        </w:rPr>
        <w:t xml:space="preserve">5.  Operational and Technical Context</w:t>
      </w:r>
    </w:p>
    <w:p>
      <w:pPr>
        <w:pStyle w:val="Heading2"/>
        <w:pBdr>
          <w:bottom w:val="single" w:color="0C6B6B" w:sz="6"/>
        </w:pBdr>
        <w:spacing w:after="120" w:before="300"/>
      </w:pPr>
      <w:r>
        <w:rPr>
          <w:rFonts w:ascii="Arial" w:cs="Arial" w:eastAsia="Arial" w:hAnsi="Arial"/>
          <w:b/>
          <w:bCs/>
          <w:color w:val="0C6B6B"/>
          <w:sz w:val="28"/>
          <w:szCs w:val="28"/>
        </w:rPr>
        <w:t xml:space="preserve">5.1   Current Technology Landscape</w:t>
      </w:r>
    </w:p>
    <w:p>
      <w:pPr>
        <w:spacing w:after="100" w:before="80" w:line="276"/>
        <w:jc w:val="left"/>
      </w:pPr>
      <w:r>
        <w:rPr>
          <w:rFonts w:ascii="Arial" w:cs="Arial" w:eastAsia="Arial" w:hAnsi="Arial"/>
          <w:b w:val="false"/>
          <w:bCs w:val="false"/>
          <w:i w:val="false"/>
          <w:iCs w:val="false"/>
          <w:color w:val="1C2226"/>
          <w:sz w:val="22"/>
          <w:szCs w:val="22"/>
        </w:rPr>
        <w:t xml:space="preserve">The following describes the principal systems currently in use across NBH's farming operations. This landscape is provided as context for vendors assessing integration requirements and migration complexity, not as a prescriptive specification of integration points. The disposition of each system — whether it will be retained, replaced, or integrated with the new platform — is a matter for the scoping and design phase, informed by vendor analysis and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System</w:t>
            </w:r>
          </w:p>
        </w:tc>
        <w:tc>
          <w:tcPr>
            <w:tcW w:type="dxa" w:w="20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Vendor</w:t>
            </w:r>
          </w:p>
        </w:tc>
        <w:tc>
          <w:tcPr>
            <w:tcW w:type="dxa" w:w="20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Primary Domain</w:t>
            </w:r>
          </w:p>
        </w:tc>
        <w:tc>
          <w:tcPr>
            <w:tcW w:type="dxa" w:w="336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Notes and Current Status</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FishTalk ERP</w:t>
            </w:r>
          </w:p>
        </w:tc>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FishTalk AS (Norway)</w:t>
            </w:r>
          </w:p>
        </w:tc>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Farm operations master data</w:t>
            </w:r>
          </w:p>
        </w:tc>
        <w:tc>
          <w:tcPr>
            <w:tcW w:type="dxa" w:w="3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Core site registry, licence records, staff and vessel records. NBH considers FishTalk the authoritative source for regulatory licence data and expects it to remain in place. API access is available under the existing contract.</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AquaManager v7</w:t>
            </w:r>
          </w:p>
        </w:tc>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IntraAqua ApS (Denmark)</w:t>
            </w:r>
          </w:p>
        </w:tc>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Biomass and stock management</w:t>
            </w:r>
          </w:p>
        </w:tc>
        <w:tc>
          <w:tcPr>
            <w:tcW w:type="dxa" w:w="3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Used for production cycle tracking, biomass modelling, and stock transfer records. NBH is open to this system being partially or fully replaced by the new platform, subject to complete data migration. Vendor support ends 2027.</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ScaleAQ Automated Feeding</w:t>
            </w:r>
          </w:p>
        </w:tc>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ScaleAQ AS (Norway)</w:t>
            </w:r>
          </w:p>
        </w:tc>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Feed delivery hardware control</w:t>
            </w:r>
          </w:p>
        </w:tc>
        <w:tc>
          <w:tcPr>
            <w:tcW w:type="dxa" w:w="3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Physical feeding system controllers at all sea cage sites. This hardware will remain in place; the software interface for data exchange with the new platform is the relevant integration question. NBH has an existing ScaleAQ API agreement.</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iFarm Analytics</w:t>
            </w:r>
          </w:p>
        </w:tc>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iFarm AS (Norway)</w:t>
            </w:r>
          </w:p>
        </w:tc>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lice and health analytics</w:t>
            </w:r>
          </w:p>
        </w:tc>
        <w:tc>
          <w:tcPr>
            <w:tcW w:type="dxa" w:w="3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Partially adopted across seven Norwegian sites. NBH is dissatisfied with the usability and mobile experience. Considered a candidate for replacement by the new platform's health management capability.</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SAP S/4HANA (Cloud)</w:t>
            </w:r>
          </w:p>
        </w:tc>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SAP SE</w:t>
            </w:r>
          </w:p>
        </w:tc>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Finance, procurement, and cost accounting</w:t>
            </w:r>
          </w:p>
        </w:tc>
        <w:tc>
          <w:tcPr>
            <w:tcW w:type="dxa" w:w="3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Group financial system. Will be retained. Bidirectional integration for purchase orders, goods receipt, cost allocations, and financial postings is required. Accenture Norway manages the SAP engagement.</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Navico/Simrad Sensor Network</w:t>
            </w:r>
          </w:p>
        </w:tc>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Navico Group</w:t>
            </w:r>
          </w:p>
        </w:tc>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Environmental sensor data</w:t>
            </w:r>
          </w:p>
        </w:tc>
        <w:tc>
          <w:tcPr>
            <w:tcW w:type="dxa" w:w="3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Majority of the estate's dissolved oxygen, temperature, salinity, and current sensors. Data currently flows to Navico's proprietary portal. Integration with the new platform via MQTT or REST is expected.</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Aquabyte Vision AI</w:t>
            </w:r>
          </w:p>
        </w:tc>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Aquabyte Inc. (USA/Norway)</w:t>
            </w:r>
          </w:p>
        </w:tc>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Optical biomass estimation</w:t>
            </w:r>
          </w:p>
        </w:tc>
        <w:tc>
          <w:tcPr>
            <w:tcW w:type="dxa" w:w="3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Trial deployment at two Norwegian sites since Q1 2024. The trial outcome and the strategic decision on whether to expand, integrate, or replace Aquabyte functionality is expected to be informed by the new platform procurement.</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Microsoft 365 (SharePoint, Excel)</w:t>
            </w:r>
          </w:p>
        </w:tc>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Microsoft</w:t>
            </w:r>
          </w:p>
        </w:tc>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Ad-hoc data management and reporting</w:t>
            </w:r>
          </w:p>
        </w:tc>
        <w:tc>
          <w:tcPr>
            <w:tcW w:type="dxa" w:w="3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Used pervasively for data storage, reporting templates, and inter-team communication wherever a purpose-built tool does not exist. Elimination of these manual workarounds is a primary objective of this programme.</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DocuWare</w:t>
            </w:r>
          </w:p>
        </w:tc>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DocuWare GmbH</w:t>
            </w:r>
          </w:p>
        </w:tc>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Document management and archive</w:t>
            </w:r>
          </w:p>
        </w:tc>
        <w:tc>
          <w:tcPr>
            <w:tcW w:type="dxa" w:w="3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Used for compliance document archiving across Norwegian and Faroese operations. NBH intends to retain DocuWare as the regulatory document archive; outbound document export from the new platform is required.</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Power BI</w:t>
            </w:r>
          </w:p>
        </w:tc>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Microsoft</w:t>
            </w:r>
          </w:p>
        </w:tc>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Management reporting</w:t>
            </w:r>
          </w:p>
        </w:tc>
        <w:tc>
          <w:tcPr>
            <w:tcW w:type="dxa" w:w="3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Currently used by the data team to produce management reports from Snowflake. NBH expects the new platform to provide its own embedded analytics capability but is open to continued use of Power BI for complex financial analysis.</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Snowflake (Data Warehouse)</w:t>
            </w:r>
          </w:p>
        </w:tc>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Snowflake Inc.</w:t>
            </w:r>
          </w:p>
        </w:tc>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Central data warehouse</w:t>
            </w:r>
          </w:p>
        </w:tc>
        <w:tc>
          <w:tcPr>
            <w:tcW w:type="dxa" w:w="3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Managed by NBH's internal Data and Analytics team. All operationally significant data generated by the new platform is expected to flow into Snowflake to support enterprise analytics and financial modelling.</w:t>
            </w:r>
          </w:p>
        </w:tc>
      </w:tr>
    </w:tbl>
    <w:p>
      <w:pPr>
        <w:pStyle w:val="Heading2"/>
        <w:pBdr>
          <w:bottom w:val="single" w:color="0C6B6B" w:sz="6"/>
        </w:pBdr>
        <w:spacing w:after="120" w:before="300"/>
      </w:pPr>
      <w:r>
        <w:rPr>
          <w:rFonts w:ascii="Arial" w:cs="Arial" w:eastAsia="Arial" w:hAnsi="Arial"/>
          <w:b/>
          <w:bCs/>
          <w:color w:val="0C6B6B"/>
          <w:sz w:val="28"/>
          <w:szCs w:val="28"/>
        </w:rPr>
        <w:t xml:space="preserve">5.2   Connectivity and Infrastructure Constraints</w:t>
      </w:r>
    </w:p>
    <w:p>
      <w:pPr>
        <w:spacing w:after="100" w:before="80" w:line="276"/>
        <w:jc w:val="left"/>
      </w:pPr>
      <w:r>
        <w:rPr>
          <w:rFonts w:ascii="Arial" w:cs="Arial" w:eastAsia="Arial" w:hAnsi="Arial"/>
          <w:b w:val="false"/>
          <w:bCs w:val="false"/>
          <w:i w:val="false"/>
          <w:iCs w:val="false"/>
          <w:color w:val="1C2226"/>
          <w:sz w:val="22"/>
          <w:szCs w:val="22"/>
        </w:rPr>
        <w:t xml:space="preserve">The operating environment of NBH's sea cage sites presents connectivity challenges that are fundamental to the design of any mobile or field-facing component of the platform. Vendors who have not previously worked in marine aquaculture environments are strongly encouraged to treat this section with the attention it warrants, as underestimating connectivity constraints is one of the most common causes of failure in aquaculture technology implementations.</w:t>
      </w:r>
    </w:p>
    <w:p>
      <w:pPr>
        <w:spacing w:after="100" w:before="80" w:line="276"/>
        <w:jc w:val="left"/>
      </w:pPr>
      <w:r>
        <w:rPr>
          <w:rFonts w:ascii="Arial" w:cs="Arial" w:eastAsia="Arial" w:hAnsi="Arial"/>
          <w:b w:val="false"/>
          <w:bCs w:val="false"/>
          <w:i w:val="false"/>
          <w:iCs w:val="false"/>
          <w:color w:val="1C2226"/>
          <w:sz w:val="22"/>
          <w:szCs w:val="22"/>
        </w:rPr>
        <w:t xml:space="preserve">The twenty-five Norwegian sea cage sites closest to the coast and within established fjord systems generally have adequate 4G LTE coverage from the Norwegian telecommunications network, though coverage can degrade significantly in adverse weather conditions and in the gaps between cell towers that occur in some fjord locations. The eleven northernmost Norwegian sites, located in Nordland and Troms counties, have highly variable connectivity: some benefit from fibre-connected shore stations accessible by boat, but cage operations are conducted in areas where 2G GPRS is the best available cellular network, and satellite connectivity via Iridium or Starlink terminals is used as a fallback for critical communications.</w:t>
      </w:r>
    </w:p>
    <w:p>
      <w:pPr>
        <w:spacing w:after="100" w:before="80" w:line="276"/>
        <w:jc w:val="left"/>
      </w:pPr>
      <w:r>
        <w:rPr>
          <w:rFonts w:ascii="Arial" w:cs="Arial" w:eastAsia="Arial" w:hAnsi="Arial"/>
          <w:b w:val="false"/>
          <w:bCs w:val="false"/>
          <w:i w:val="false"/>
          <w:iCs w:val="false"/>
          <w:color w:val="1C2226"/>
          <w:sz w:val="22"/>
          <w:szCs w:val="22"/>
        </w:rPr>
        <w:t xml:space="preserve">The seven Faroese sites have generally good 4G coverage in the proximity of the Faroese telecommunications network, but the distribution of these sites across multiple fjord systems means that connectivity conditions vary significantly. The six Canadian sites in New Brunswick have broadly adequate LTE coverage, though some operate in areas where rural network coverage is inconsistent.</w:t>
      </w:r>
    </w:p>
    <w:p>
      <w:pPr>
        <w:spacing w:after="100" w:before="80" w:line="276"/>
        <w:jc w:val="left"/>
      </w:pPr>
      <w:r>
        <w:rPr>
          <w:rFonts w:ascii="Arial" w:cs="Arial" w:eastAsia="Arial" w:hAnsi="Arial"/>
          <w:b w:val="false"/>
          <w:bCs w:val="false"/>
          <w:i w:val="false"/>
          <w:iCs w:val="false"/>
          <w:color w:val="1C2226"/>
          <w:sz w:val="22"/>
          <w:szCs w:val="22"/>
        </w:rPr>
        <w:t xml:space="preserve">Shore stations at all sites have fixed broadband connections ranging from fibre-grade in more accessible locations to business-grade VDSL or fixed wireless at remote shore stations. RAS facilities, being land-based, have reliable fibre connectivity and can be treated as fully cloud-connected environments for the purposes of platform design.</w:t>
      </w:r>
    </w:p>
    <w:p>
      <w:pPr>
        <w:spacing w:after="100" w:before="80" w:line="276"/>
        <w:jc w:val="left"/>
      </w:pPr>
      <w:r>
        <w:rPr>
          <w:rFonts w:ascii="Arial" w:cs="Arial" w:eastAsia="Arial" w:hAnsi="Arial"/>
          <w:b w:val="false"/>
          <w:bCs w:val="false"/>
          <w:i w:val="false"/>
          <w:iCs w:val="false"/>
          <w:color w:val="1C2226"/>
          <w:sz w:val="22"/>
          <w:szCs w:val="22"/>
        </w:rPr>
        <w:t xml:space="preserve">The practical implication of this connectivity landscape is that any component of the platform used by staff working on or near the cages — which encompasses a large proportion of the most operationally critical workflows — must function correctly in the complete absence of an internet connection for extended periods. Data entered offline must be reliably stored on the device, must be transmitted to the central platform as soon as connectivity is restored, and must be managed in such a way that concurrent offline data entry by multiple users on the same site does not result in data loss or unresolvable conflicts when the data synchronises. NBH has had negative prior experiences with systems that claimed offline capability but failed to deliver it reliably under real operating conditions.</w:t>
      </w:r>
    </w:p>
    <w:p>
      <w:pPr>
        <w:pStyle w:val="Heading2"/>
        <w:pBdr>
          <w:bottom w:val="single" w:color="0C6B6B" w:sz="6"/>
        </w:pBdr>
        <w:spacing w:after="120" w:before="300"/>
      </w:pPr>
      <w:r>
        <w:rPr>
          <w:rFonts w:ascii="Arial" w:cs="Arial" w:eastAsia="Arial" w:hAnsi="Arial"/>
          <w:b/>
          <w:bCs/>
          <w:color w:val="0C6B6B"/>
          <w:sz w:val="28"/>
          <w:szCs w:val="28"/>
        </w:rPr>
        <w:t xml:space="preserve">5.3   Devices and End-User Technology</w:t>
      </w:r>
    </w:p>
    <w:p>
      <w:pPr>
        <w:spacing w:after="100" w:before="80" w:line="276"/>
        <w:jc w:val="left"/>
      </w:pPr>
      <w:r>
        <w:rPr>
          <w:rFonts w:ascii="Arial" w:cs="Arial" w:eastAsia="Arial" w:hAnsi="Arial"/>
          <w:b w:val="false"/>
          <w:bCs w:val="false"/>
          <w:i w:val="false"/>
          <w:iCs w:val="false"/>
          <w:color w:val="1C2226"/>
          <w:sz w:val="22"/>
          <w:szCs w:val="22"/>
        </w:rPr>
        <w:t xml:space="preserve">The device landscape in use across NBH's farming operations reflects the varied conditions and roles of different user groups. Regional managers, fish health coordinators, and members of the Technology and Digital team work primarily from company-issued Windows laptops and have reliable connectivity in office and shore station environments. Site managers carry company-issued Samsung Galaxy Tab Active series ruggedised tablets as their primary work device, supplemented by personal smartphones. These tablets are designed for outdoor industrial use, function with gloves, and have enhanced water resistance, but they run standard Android software.</w:t>
      </w:r>
    </w:p>
    <w:p>
      <w:pPr>
        <w:spacing w:after="100" w:before="80" w:line="276"/>
        <w:jc w:val="left"/>
      </w:pPr>
      <w:r>
        <w:rPr>
          <w:rFonts w:ascii="Arial" w:cs="Arial" w:eastAsia="Arial" w:hAnsi="Arial"/>
          <w:b w:val="false"/>
          <w:bCs w:val="false"/>
          <w:i w:val="false"/>
          <w:iCs w:val="false"/>
          <w:color w:val="1C2226"/>
          <w:sz w:val="22"/>
          <w:szCs w:val="22"/>
        </w:rPr>
        <w:t xml:space="preserve">Cage operators work from personal smartphones in the majority of cases, as the Company has not yet implemented a device provisioning programme for this population. This creates a heterogeneous device landscape that any mobile application must accommodate. The most common devices observed across CSA site visits were mid-range Samsung Galaxy handsets (various models running Android 11 through 14) and iPhone models from iPhone 12 through iPhone 15. A small number of operators used older devices, and a portion of the Faroese and Canadian workforce used devices they brought from home with non-English operating system languages.</w:t>
      </w:r>
    </w:p>
    <w:p>
      <w:pPr>
        <w:spacing w:after="100" w:before="80" w:line="276"/>
        <w:jc w:val="left"/>
      </w:pPr>
      <w:r>
        <w:rPr>
          <w:rFonts w:ascii="Arial" w:cs="Arial" w:eastAsia="Arial" w:hAnsi="Arial"/>
          <w:b w:val="false"/>
          <w:bCs w:val="false"/>
          <w:i w:val="false"/>
          <w:iCs w:val="false"/>
          <w:color w:val="1C2226"/>
          <w:sz w:val="22"/>
          <w:szCs w:val="22"/>
        </w:rPr>
        <w:t xml:space="preserve">NBH is evaluating whether to implement a device provisioning programme for cage operators as part of this digital transformation, and welcomes vendor input on this question as part of proposal responses. However, proposals must demonstrate that the mobile application functions adequately on the existing device landscape and must not assume provisioned devices as a prerequisite for the core field data capture functionality.</w:t>
      </w:r>
    </w:p>
    <w:p>
      <w:pPr>
        <w:pStyle w:val="Heading2"/>
        <w:pBdr>
          <w:bottom w:val="single" w:color="0C6B6B" w:sz="6"/>
        </w:pBdr>
        <w:spacing w:after="120" w:before="300"/>
      </w:pPr>
      <w:r>
        <w:rPr>
          <w:rFonts w:ascii="Arial" w:cs="Arial" w:eastAsia="Arial" w:hAnsi="Arial"/>
          <w:b/>
          <w:bCs/>
          <w:color w:val="0C6B6B"/>
          <w:sz w:val="28"/>
          <w:szCs w:val="28"/>
        </w:rPr>
        <w:t xml:space="preserve">5.4   Languages and Localisation</w:t>
      </w:r>
    </w:p>
    <w:p>
      <w:pPr>
        <w:spacing w:after="100" w:before="80" w:line="276"/>
        <w:jc w:val="left"/>
      </w:pPr>
      <w:r>
        <w:rPr>
          <w:rFonts w:ascii="Arial" w:cs="Arial" w:eastAsia="Arial" w:hAnsi="Arial"/>
          <w:b w:val="false"/>
          <w:bCs w:val="false"/>
          <w:i w:val="false"/>
          <w:iCs w:val="false"/>
          <w:color w:val="1C2226"/>
          <w:sz w:val="22"/>
          <w:szCs w:val="22"/>
        </w:rPr>
        <w:t xml:space="preserve">NBH's workforce communicates primarily in Norwegian Bokmål at its Norwegian sites, Faroese at its Faroese sites, and English at its Canadian and cross-regional management functions. The platform must support Norwegian Bokmål and English as fully localised languages from Phase One. Faroese localisation is required for Phase Two to support the Faroese deployment. French Canadian localisation is required for regulatory documents and certain workflows in New Brunswick.</w:t>
      </w:r>
    </w:p>
    <w:p>
      <w:pPr>
        <w:spacing w:after="100" w:before="80" w:line="276"/>
        <w:jc w:val="left"/>
      </w:pPr>
      <w:r>
        <w:rPr>
          <w:rFonts w:ascii="Arial" w:cs="Arial" w:eastAsia="Arial" w:hAnsi="Arial"/>
          <w:b w:val="false"/>
          <w:bCs w:val="false"/>
          <w:i w:val="false"/>
          <w:iCs w:val="false"/>
          <w:color w:val="1C2226"/>
          <w:sz w:val="22"/>
          <w:szCs w:val="22"/>
        </w:rPr>
        <w:t xml:space="preserve">NBH's regulatory submissions in Norway must be formatted and submitted in Norwegian. Some reports to the Faroese FVST require Faroese or Danish. Canadian DFO submissions require English, with certain provincial New Brunswick documents requiring bilingual English-French format. Any automated reporting functionality must handle these linguistic requirements without requiring manual reformatting.</w:t>
      </w:r>
    </w:p>
    <w:p>
      <w:r>
        <w:br w:type="page"/>
      </w:r>
    </w:p>
    <w:p>
      <w:pPr>
        <w:pStyle w:val="Heading1"/>
        <w:spacing w:after="160" w:before="400"/>
      </w:pPr>
      <w:r>
        <w:rPr>
          <w:rFonts w:ascii="Arial" w:cs="Arial" w:eastAsia="Arial" w:hAnsi="Arial"/>
          <w:b/>
          <w:bCs/>
          <w:color w:val="0A2E52"/>
          <w:sz w:val="38"/>
          <w:szCs w:val="38"/>
        </w:rPr>
        <w:t xml:space="preserve">6.  Regulatory and Compliance Environment</w:t>
      </w:r>
    </w:p>
    <w:p>
      <w:pPr>
        <w:pStyle w:val="Heading2"/>
        <w:pBdr>
          <w:bottom w:val="single" w:color="0C6B6B" w:sz="6"/>
        </w:pBdr>
        <w:spacing w:after="120" w:before="300"/>
      </w:pPr>
      <w:r>
        <w:rPr>
          <w:rFonts w:ascii="Arial" w:cs="Arial" w:eastAsia="Arial" w:hAnsi="Arial"/>
          <w:b/>
          <w:bCs/>
          <w:color w:val="0C6B6B"/>
          <w:sz w:val="28"/>
          <w:szCs w:val="28"/>
        </w:rPr>
        <w:t xml:space="preserve">6.1   Norwegian Regulatory Framework</w:t>
      </w:r>
    </w:p>
    <w:p>
      <w:pPr>
        <w:spacing w:after="100" w:before="80" w:line="276"/>
        <w:jc w:val="left"/>
      </w:pPr>
      <w:r>
        <w:rPr>
          <w:rFonts w:ascii="Arial" w:cs="Arial" w:eastAsia="Arial" w:hAnsi="Arial"/>
          <w:b w:val="false"/>
          <w:bCs w:val="false"/>
          <w:i w:val="false"/>
          <w:iCs w:val="false"/>
          <w:color w:val="1C2226"/>
          <w:sz w:val="22"/>
          <w:szCs w:val="22"/>
        </w:rPr>
        <w:t xml:space="preserve">Norwegian aquaculture is among the most intensively regulated in the world. NBH operates under a comprehensive legal framework that includes the Aquaculture Act (Akvakulturloven), the Animal Welfare Act (Dyrevelferdsloven), the Fish Health and Fish Welfare Regulations (Forskrift om drift av akvakulturanlegg), the Regulations on Lice-Free Zones and Lice Management, the Pollution Control Act as it applies to aquaculture discharges, and the Norwegian Food Safety Authority's regulations on veterinary medicine use in aquaculture. The Norwegian Directorate of Fisheries administers production licences and receives monthly production data. Mattilsynet administers health, welfare, and food safety regulations and receives weekly or biweekly lice count data, disease notifications, veterinary treatment records, and welfare assessments.</w:t>
      </w:r>
    </w:p>
    <w:p>
      <w:pPr>
        <w:spacing w:after="100" w:before="80" w:line="276"/>
        <w:jc w:val="left"/>
      </w:pPr>
      <w:r>
        <w:rPr>
          <w:rFonts w:ascii="Arial" w:cs="Arial" w:eastAsia="Arial" w:hAnsi="Arial"/>
          <w:b w:val="false"/>
          <w:bCs w:val="false"/>
          <w:i w:val="false"/>
          <w:iCs w:val="false"/>
          <w:color w:val="1C2226"/>
          <w:sz w:val="22"/>
          <w:szCs w:val="22"/>
        </w:rPr>
        <w:t xml:space="preserve">All mandatory Norwegian regulatory submissions are made via the Altinn government digital portal. NBH holds an Altinn enterprise agreement enabling API-based submission. The data elements required for the various Altinn reporting schemas are documented in Fiskeridirektoratet and Mattilsynet technical specifications that NBH will make available to shortlisted vendors. These schemas are subject to periodic revision by the authorities and any compliance reporting functionality built into the platform must accommodate schema updates without requiring a full redevelopment cycle.</w:t>
      </w:r>
    </w:p>
    <w:p>
      <w:pPr>
        <w:spacing w:after="100" w:before="80" w:line="276"/>
        <w:jc w:val="left"/>
      </w:pPr>
      <w:r>
        <w:rPr>
          <w:rFonts w:ascii="Arial" w:cs="Arial" w:eastAsia="Arial" w:hAnsi="Arial"/>
          <w:b w:val="false"/>
          <w:bCs w:val="false"/>
          <w:i w:val="false"/>
          <w:iCs w:val="false"/>
          <w:color w:val="1C2226"/>
          <w:sz w:val="22"/>
          <w:szCs w:val="22"/>
        </w:rPr>
        <w:t xml:space="preserve">Norwegian aquaculture licences include specific maximum total biomass (MTB) limits for each site location, and exceeding the licensed MTB even temporarily is a serious regulatory breach that can trigger licence suspension. Any platform capability that tracks or projects site biomass must therefore incorporate these licence limits and provide alerting well in advance of potential breaches to give operations teams the ability to respond with harvest or transfer decisions.</w:t>
      </w:r>
    </w:p>
    <w:p>
      <w:pPr>
        <w:pStyle w:val="Heading2"/>
        <w:pBdr>
          <w:bottom w:val="single" w:color="0C6B6B" w:sz="6"/>
        </w:pBdr>
        <w:spacing w:after="120" w:before="300"/>
      </w:pPr>
      <w:r>
        <w:rPr>
          <w:rFonts w:ascii="Arial" w:cs="Arial" w:eastAsia="Arial" w:hAnsi="Arial"/>
          <w:b/>
          <w:bCs/>
          <w:color w:val="0C6B6B"/>
          <w:sz w:val="28"/>
          <w:szCs w:val="28"/>
        </w:rPr>
        <w:t xml:space="preserve">6.2   Faroese Regulatory Framework</w:t>
      </w:r>
    </w:p>
    <w:p>
      <w:pPr>
        <w:spacing w:after="100" w:before="80" w:line="276"/>
        <w:jc w:val="left"/>
      </w:pPr>
      <w:r>
        <w:rPr>
          <w:rFonts w:ascii="Arial" w:cs="Arial" w:eastAsia="Arial" w:hAnsi="Arial"/>
          <w:b w:val="false"/>
          <w:bCs w:val="false"/>
          <w:i w:val="false"/>
          <w:iCs w:val="false"/>
          <w:color w:val="1C2226"/>
          <w:sz w:val="22"/>
          <w:szCs w:val="22"/>
        </w:rPr>
        <w:t xml:space="preserve">NBH's Faroese operations are regulated by the Faroese Food and Veterinary Authority (FVST) and the Faroese Ministry of Fisheries, which administers aquaculture licences under the Faroese Act on Aquaculture. The Faroese framework shares some structural similarities with the Norwegian regulatory model but has distinct reporting requirements, different lice threshold values (the Faroese threshold for adult female lice is 0.5 per fish in common with Norway, but the treatment trigger protocols and notification procedures differ), and different data submission systems. Faroese licence conditions include site-specific biomass limits that vary from the Norwegian MTB model.</w:t>
      </w:r>
    </w:p>
    <w:p>
      <w:pPr>
        <w:spacing w:after="100" w:before="80" w:line="276"/>
        <w:jc w:val="left"/>
      </w:pPr>
      <w:r>
        <w:rPr>
          <w:rFonts w:ascii="Arial" w:cs="Arial" w:eastAsia="Arial" w:hAnsi="Arial"/>
          <w:b w:val="false"/>
          <w:bCs w:val="false"/>
          <w:i w:val="false"/>
          <w:iCs w:val="false"/>
          <w:color w:val="1C2226"/>
          <w:sz w:val="22"/>
          <w:szCs w:val="22"/>
        </w:rPr>
        <w:t xml:space="preserve">The Faroese operations were the most recent non-North American addition to NBH's estate and in several respects have the least mature digital compliance infrastructure. Regulatory affairs for the Faroe Islands is managed by a single coordinator based in the Klaksvík processing facility who also supports processing compliance, meaning that farming compliance tasks receive proportionally less dedicated attention than in the Norwegian operation. This vulnerability has been noted in internal risk assessments and NBH expects the digital transformation programme to materially reduce the per-submission workload for the Faroese coordinator.</w:t>
      </w:r>
    </w:p>
    <w:p>
      <w:pPr>
        <w:pStyle w:val="Heading2"/>
        <w:pBdr>
          <w:bottom w:val="single" w:color="0C6B6B" w:sz="6"/>
        </w:pBdr>
        <w:spacing w:after="120" w:before="300"/>
      </w:pPr>
      <w:r>
        <w:rPr>
          <w:rFonts w:ascii="Arial" w:cs="Arial" w:eastAsia="Arial" w:hAnsi="Arial"/>
          <w:b/>
          <w:bCs/>
          <w:color w:val="0C6B6B"/>
          <w:sz w:val="28"/>
          <w:szCs w:val="28"/>
        </w:rPr>
        <w:t xml:space="preserve">6.3   Canadian Regulatory Framework</w:t>
      </w:r>
    </w:p>
    <w:p>
      <w:pPr>
        <w:spacing w:after="100" w:before="80" w:line="276"/>
        <w:jc w:val="left"/>
      </w:pPr>
      <w:r>
        <w:rPr>
          <w:rFonts w:ascii="Arial" w:cs="Arial" w:eastAsia="Arial" w:hAnsi="Arial"/>
          <w:b w:val="false"/>
          <w:bCs w:val="false"/>
          <w:i w:val="false"/>
          <w:iCs w:val="false"/>
          <w:color w:val="1C2226"/>
          <w:sz w:val="22"/>
          <w:szCs w:val="22"/>
        </w:rPr>
        <w:t xml:space="preserve">NBH's New Brunswick operations are subject to federal regulation by Fisheries and Oceans Canada (DFO) under the Fisheries Act, the Aquaculture Activities Regulations, and the Species at Risk Act, as well as provincial regulation by the New Brunswick Department of Agriculture, Aquaculture and Fisheries under the Aquaculture Act (New Brunswick). DFO requires monthly aquaculture monitoring reports, sea lice reporting at the same cadence as Norwegian requirements, incident reports for escapes and disease events, and detailed environmental impact monitoring data under each site's Environmental Assessment consent conditions.</w:t>
      </w:r>
    </w:p>
    <w:p>
      <w:pPr>
        <w:spacing w:after="100" w:before="80" w:line="276"/>
        <w:jc w:val="left"/>
      </w:pPr>
      <w:r>
        <w:rPr>
          <w:rFonts w:ascii="Arial" w:cs="Arial" w:eastAsia="Arial" w:hAnsi="Arial"/>
          <w:b w:val="false"/>
          <w:bCs w:val="false"/>
          <w:i w:val="false"/>
          <w:iCs w:val="false"/>
          <w:color w:val="1C2226"/>
          <w:sz w:val="22"/>
          <w:szCs w:val="22"/>
        </w:rPr>
        <w:t xml:space="preserve">The Canadian regulatory environment has undergone significant changes in recent years following legal challenges and policy reviews of open-net salmon farming in British Columbia. While NBH's New Brunswick operations are in a different regulatory context from BC, the regulatory scrutiny applied to sea lice management, fish health, and environmental compliance has intensified across all Canadian jurisdictions. NBH is aware that the adequacy of its compliance data management in New Brunswick will be scrutinised as part of any future licence renewal or expansion application, and considers robust digital compliance infrastructure a commercial as well as a regulatory necessity for its Canadian operations.</w:t>
      </w:r>
    </w:p>
    <w:p>
      <w:pPr>
        <w:pStyle w:val="Heading2"/>
        <w:pBdr>
          <w:bottom w:val="single" w:color="0C6B6B" w:sz="6"/>
        </w:pBdr>
        <w:spacing w:after="120" w:before="300"/>
      </w:pPr>
      <w:r>
        <w:rPr>
          <w:rFonts w:ascii="Arial" w:cs="Arial" w:eastAsia="Arial" w:hAnsi="Arial"/>
          <w:b/>
          <w:bCs/>
          <w:color w:val="0C6B6B"/>
          <w:sz w:val="28"/>
          <w:szCs w:val="28"/>
        </w:rPr>
        <w:t xml:space="preserve">6.4   Voluntary Certification and Third-Party Audit</w:t>
      </w:r>
    </w:p>
    <w:p>
      <w:pPr>
        <w:spacing w:after="100" w:before="80" w:line="276"/>
        <w:jc w:val="left"/>
      </w:pPr>
      <w:r>
        <w:rPr>
          <w:rFonts w:ascii="Arial" w:cs="Arial" w:eastAsia="Arial" w:hAnsi="Arial"/>
          <w:b w:val="false"/>
          <w:bCs w:val="false"/>
          <w:i w:val="false"/>
          <w:iCs w:val="false"/>
          <w:color w:val="1C2226"/>
          <w:sz w:val="22"/>
          <w:szCs w:val="22"/>
        </w:rPr>
        <w:t xml:space="preserve">In addition to mandatory regulatory compliance, NBH holds and actively maintains a portfolio of voluntary certifications including ASC (Aquaculture Stewardship Council), GlobalG.A.P. Aquaculture, BAP four-star, Debio Organic (three sites), and ISO 14001. Each of these certification frameworks requires the collection, maintenance, and periodic third-party audit of specific operational data. The ASC Salmon Standard v1.3, in particular, requires detailed evidence on fourteen principles and associated criteria spanning environmental, social, feed sourcing, chemical usage, and disease management dimensions.</w:t>
      </w:r>
    </w:p>
    <w:p>
      <w:pPr>
        <w:spacing w:after="100" w:before="80" w:line="276"/>
        <w:jc w:val="left"/>
      </w:pPr>
      <w:r>
        <w:rPr>
          <w:rFonts w:ascii="Arial" w:cs="Arial" w:eastAsia="Arial" w:hAnsi="Arial"/>
          <w:b w:val="false"/>
          <w:bCs w:val="false"/>
          <w:i w:val="false"/>
          <w:iCs w:val="false"/>
          <w:color w:val="1C2226"/>
          <w:sz w:val="22"/>
          <w:szCs w:val="22"/>
        </w:rPr>
        <w:t xml:space="preserve">The current process for preparing ASC audit evidence involves the manual extraction of data from multiple systems and the assembly of bespoke reporting packages for each audit. This process typically occupies one full-time regulatory affairs coordinator for four to six weeks before each audit visit. NBH expects a significant reduction in this preparation effort to result from the consolidation of operational data in the new platform, and considers the ability to generate audit-ready evidence exports a commercially significant capability of the solution.</w:t>
      </w:r>
    </w:p>
    <w:p>
      <w:r>
        <w:br w:type="page"/>
      </w:r>
    </w:p>
    <w:p>
      <w:pPr>
        <w:pStyle w:val="Heading1"/>
        <w:spacing w:after="160" w:before="400"/>
      </w:pPr>
      <w:r>
        <w:rPr>
          <w:rFonts w:ascii="Arial" w:cs="Arial" w:eastAsia="Arial" w:hAnsi="Arial"/>
          <w:b/>
          <w:bCs/>
          <w:color w:val="0A2E52"/>
          <w:sz w:val="38"/>
          <w:szCs w:val="38"/>
        </w:rPr>
        <w:t xml:space="preserve">7.  Workforce and Organisational Considerations</w:t>
      </w:r>
    </w:p>
    <w:p>
      <w:pPr>
        <w:pStyle w:val="Heading2"/>
        <w:pBdr>
          <w:bottom w:val="single" w:color="0C6B6B" w:sz="6"/>
        </w:pBdr>
        <w:spacing w:after="120" w:before="300"/>
      </w:pPr>
      <w:r>
        <w:rPr>
          <w:rFonts w:ascii="Arial" w:cs="Arial" w:eastAsia="Arial" w:hAnsi="Arial"/>
          <w:b/>
          <w:bCs/>
          <w:color w:val="0C6B6B"/>
          <w:sz w:val="28"/>
          <w:szCs w:val="28"/>
        </w:rPr>
        <w:t xml:space="preserve">7.1   Farming Division Workforce Profile</w:t>
      </w:r>
    </w:p>
    <w:p>
      <w:pPr>
        <w:spacing w:after="100" w:before="80" w:line="276"/>
        <w:jc w:val="left"/>
      </w:pPr>
      <w:r>
        <w:rPr>
          <w:rFonts w:ascii="Arial" w:cs="Arial" w:eastAsia="Arial" w:hAnsi="Arial"/>
          <w:b w:val="false"/>
          <w:bCs w:val="false"/>
          <w:i w:val="false"/>
          <w:iCs w:val="false"/>
          <w:color w:val="1C2226"/>
          <w:sz w:val="22"/>
          <w:szCs w:val="22"/>
        </w:rPr>
        <w:t xml:space="preserve">The Farming Division's workforce of approximately 823 full-time equivalent staff spans a wide spectrum of roles, technical backgrounds, and digital experience. Understanding this diversity is essential to designing a platform that will actually be used effectively across the organisation, and NBH expects vendors to treat workforce considerations as a first-class design concern rather than a post-implementation training matter.</w:t>
      </w:r>
    </w:p>
    <w:p>
      <w:pPr>
        <w:spacing w:after="100" w:before="80" w:line="276"/>
        <w:jc w:val="left"/>
      </w:pPr>
      <w:r>
        <w:rPr>
          <w:rFonts w:ascii="Arial" w:cs="Arial" w:eastAsia="Arial" w:hAnsi="Arial"/>
          <w:b w:val="false"/>
          <w:bCs w:val="false"/>
          <w:i w:val="false"/>
          <w:iCs w:val="false"/>
          <w:color w:val="1C2226"/>
          <w:sz w:val="22"/>
          <w:szCs w:val="22"/>
        </w:rPr>
        <w:t xml:space="preserve">Regional farming managers — four individuals responsible for geographic clusters of sites — are experienced aquaculture professionals with fifteen or more years in the industry. They are comfortable with data and expect analytical capability from their tools, but they are also spending the overwhelming majority of their time either travelling between sites or in operational discussions and have very limited tolerance for platforms that require extensive navigation to access the information they need. They have explicitly stated in CSA interviews that the most valuable thing a new platform could offer them is a single view that tells them which of their sites requires attention today, without having to open multiple systems or compile information manually.</w:t>
      </w:r>
    </w:p>
    <w:p>
      <w:pPr>
        <w:spacing w:after="100" w:before="80" w:line="276"/>
        <w:jc w:val="left"/>
      </w:pPr>
      <w:r>
        <w:rPr>
          <w:rFonts w:ascii="Arial" w:cs="Arial" w:eastAsia="Arial" w:hAnsi="Arial"/>
          <w:b w:val="false"/>
          <w:bCs w:val="false"/>
          <w:i w:val="false"/>
          <w:iCs w:val="false"/>
          <w:color w:val="1C2226"/>
          <w:sz w:val="22"/>
          <w:szCs w:val="22"/>
        </w:rPr>
        <w:t xml:space="preserve">Farm site managers are the most intensively affected user group of any system change. They are the daily operational decision-makers for individual sites and the primary recipients of data from cage operations below them and information from management systems above them. The CSA found that site managers are highly heterogeneous in their digital comfort levels: some actively seek out data tools and have created sophisticated personal Excel-based tracking systems to compensate for the inadequacies of the official tools; others find even the current systems difficult to use and rely on informal verbal reporting chains to manage their sites. Any platform must accommodate both ends of this spectrum in a single interface, ideally through progressive disclosure of complexity.</w:t>
      </w:r>
    </w:p>
    <w:p>
      <w:pPr>
        <w:spacing w:after="100" w:before="80" w:line="276"/>
        <w:jc w:val="left"/>
      </w:pPr>
      <w:r>
        <w:rPr>
          <w:rFonts w:ascii="Arial" w:cs="Arial" w:eastAsia="Arial" w:hAnsi="Arial"/>
          <w:b w:val="false"/>
          <w:bCs w:val="false"/>
          <w:i w:val="false"/>
          <w:iCs w:val="false"/>
          <w:color w:val="1C2226"/>
          <w:sz w:val="22"/>
          <w:szCs w:val="22"/>
        </w:rPr>
        <w:t xml:space="preserve">Cage operators are the most numerous, the most mobile, and the most connectivity-constrained user group. They are digital natives in the sense of smartphone use but have had limited exposure to enterprise software. Their primary interaction with a new platform will be through data entry workflows — logging mortalities, recording feeding observations, completing health inspection checklists, noting equipment status. These interactions must be as simple and as fast as possible, must not require typing where structured input alternatives are available, and must function without internet connectivity. Cage operators in the CSA interviews were uniformly enthusiastic about the prospect of replacing paper forms and notebook entries with a phone-based digital process, provided it was genuinely faster and easier than the paper alternative and provided it worked reliably at sea.</w:t>
      </w:r>
    </w:p>
    <w:p>
      <w:pPr>
        <w:pStyle w:val="Heading2"/>
        <w:pBdr>
          <w:bottom w:val="single" w:color="0C6B6B" w:sz="6"/>
        </w:pBdr>
        <w:spacing w:after="120" w:before="300"/>
      </w:pPr>
      <w:r>
        <w:rPr>
          <w:rFonts w:ascii="Arial" w:cs="Arial" w:eastAsia="Arial" w:hAnsi="Arial"/>
          <w:b/>
          <w:bCs/>
          <w:color w:val="0C6B6B"/>
          <w:sz w:val="28"/>
          <w:szCs w:val="28"/>
        </w:rPr>
        <w:t xml:space="preserve">7.2   Fish Health and Veterinary Team</w:t>
      </w:r>
    </w:p>
    <w:p>
      <w:pPr>
        <w:spacing w:after="100" w:before="80" w:line="276"/>
        <w:jc w:val="left"/>
      </w:pPr>
      <w:r>
        <w:rPr>
          <w:rFonts w:ascii="Arial" w:cs="Arial" w:eastAsia="Arial" w:hAnsi="Arial"/>
          <w:b w:val="false"/>
          <w:bCs w:val="false"/>
          <w:i w:val="false"/>
          <w:iCs w:val="false"/>
          <w:color w:val="1C2226"/>
          <w:sz w:val="22"/>
          <w:szCs w:val="22"/>
        </w:rPr>
        <w:t xml:space="preserve">NBH's six fish health coordinators are specialist aquatic health professionals, four of whom hold veterinary or aquatic science doctoral qualifications, and two of whom have backgrounds in marine biology and certified fish health management training. They represent the highest concentration of specialist biological expertise in the Farming Division and are the primary users of health and biosecurity data. In CSA interviews, the coordinators expressed the most sophisticated and specific requirements of any user group: they want data that is precise, timely, and complete; they want analytical tools that allow them to look across sites for patterns; and they are explicitly interested in the prospect of predictive modelling based on environmental and historical health data.</w:t>
      </w:r>
    </w:p>
    <w:p>
      <w:pPr>
        <w:spacing w:after="100" w:before="80" w:line="276"/>
        <w:jc w:val="left"/>
      </w:pPr>
      <w:r>
        <w:rPr>
          <w:rFonts w:ascii="Arial" w:cs="Arial" w:eastAsia="Arial" w:hAnsi="Arial"/>
          <w:b w:val="false"/>
          <w:bCs w:val="false"/>
          <w:i w:val="false"/>
          <w:iCs w:val="false"/>
          <w:color w:val="1C2226"/>
          <w:sz w:val="22"/>
          <w:szCs w:val="22"/>
        </w:rPr>
        <w:t xml:space="preserve">The retained veterinary practice — Havbruksveterinærene AS, a specialist aquaculture veterinary partnership based in Bergen — works closely with NBH's coordinators on treatment decisions and prescription management. The practice's partners have expressed interest in having a structured digital interface for the prescription and treatment management workflow in place of the current email-based process, and have specifically noted the liability and professional indemnity implications of the current documentation practices.</w:t>
      </w:r>
    </w:p>
    <w:p>
      <w:pPr>
        <w:pStyle w:val="Heading2"/>
        <w:pBdr>
          <w:bottom w:val="single" w:color="0C6B6B" w:sz="6"/>
        </w:pBdr>
        <w:spacing w:after="120" w:before="300"/>
      </w:pPr>
      <w:r>
        <w:rPr>
          <w:rFonts w:ascii="Arial" w:cs="Arial" w:eastAsia="Arial" w:hAnsi="Arial"/>
          <w:b/>
          <w:bCs/>
          <w:color w:val="0C6B6B"/>
          <w:sz w:val="28"/>
          <w:szCs w:val="28"/>
        </w:rPr>
        <w:t xml:space="preserve">7.3   Technology and Digital Team</w:t>
      </w:r>
    </w:p>
    <w:p>
      <w:pPr>
        <w:spacing w:after="100" w:before="80" w:line="276"/>
        <w:jc w:val="left"/>
      </w:pPr>
      <w:r>
        <w:rPr>
          <w:rFonts w:ascii="Arial" w:cs="Arial" w:eastAsia="Arial" w:hAnsi="Arial"/>
          <w:b w:val="false"/>
          <w:bCs w:val="false"/>
          <w:i w:val="false"/>
          <w:iCs w:val="false"/>
          <w:color w:val="1C2226"/>
          <w:sz w:val="22"/>
          <w:szCs w:val="22"/>
        </w:rPr>
        <w:t xml:space="preserve">NBH's Technology and Digital team, led by Sigrid Halvorsen, comprises thirty-one full-time staff organised across five functional areas: enterprise architecture, software engineering, data and analytics, IT operations and security, product management, and change and training. The team has the capability to manage integrations, configure the platform, develop minor internal extensions, and operate the data infrastructure, but does not have the capacity to undertake the core platform development work that is the subject of this procurement. NBH expects the selected vendor to be responsible for platform development, but expects the Technology and Digital team to be deeply involved as an intelligent client throughout the design and delivery process.</w:t>
      </w:r>
    </w:p>
    <w:p>
      <w:pPr>
        <w:spacing w:after="100" w:before="80" w:line="276"/>
        <w:jc w:val="left"/>
      </w:pPr>
      <w:r>
        <w:rPr>
          <w:rFonts w:ascii="Arial" w:cs="Arial" w:eastAsia="Arial" w:hAnsi="Arial"/>
          <w:b w:val="false"/>
          <w:bCs w:val="false"/>
          <w:i w:val="false"/>
          <w:iCs w:val="false"/>
          <w:color w:val="1C2226"/>
          <w:sz w:val="22"/>
          <w:szCs w:val="22"/>
        </w:rPr>
        <w:t xml:space="preserve">The Company's data and analytics team — six individuals working on the Snowflake data warehouse and Power BI reporting environment — is a particularly important stakeholder for this procurement. NBH has invested significantly in building its analytics infrastructure and has explicit ambitions to use operational data from the new platform as an input to advanced analytics work including financial performance attribution, predictive yield modelling, and ESG reporting. Any platform that treats data as proprietary or makes it difficult to extract and use outside the platform's own analytical layer will be viewed very unfavourably.</w:t>
      </w:r>
    </w:p>
    <w:p>
      <w:pPr>
        <w:pStyle w:val="Heading2"/>
        <w:pBdr>
          <w:bottom w:val="single" w:color="0C6B6B" w:sz="6"/>
        </w:pBdr>
        <w:spacing w:after="120" w:before="300"/>
      </w:pPr>
      <w:r>
        <w:rPr>
          <w:rFonts w:ascii="Arial" w:cs="Arial" w:eastAsia="Arial" w:hAnsi="Arial"/>
          <w:b/>
          <w:bCs/>
          <w:color w:val="0C6B6B"/>
          <w:sz w:val="28"/>
          <w:szCs w:val="28"/>
        </w:rPr>
        <w:t xml:space="preserve">7.4   Change Management and Adoption</w:t>
      </w:r>
    </w:p>
    <w:p>
      <w:pPr>
        <w:spacing w:after="100" w:before="80" w:line="276"/>
        <w:jc w:val="left"/>
      </w:pPr>
      <w:r>
        <w:rPr>
          <w:rFonts w:ascii="Arial" w:cs="Arial" w:eastAsia="Arial" w:hAnsi="Arial"/>
          <w:b w:val="false"/>
          <w:bCs w:val="false"/>
          <w:i w:val="false"/>
          <w:iCs w:val="false"/>
          <w:color w:val="1C2226"/>
          <w:sz w:val="22"/>
          <w:szCs w:val="22"/>
        </w:rPr>
        <w:t xml:space="preserve">NBH has experienced two previous enterprise technology implementations in which adoption fell short of ambitions. The first, an attempted replacement of site-level paper forms with a mobile application in 2019, was abandoned after eight months due to persistent connectivity issues and user complaints about the interface. The second, the implementation of a group-level ERP consolidation in 2022, delivered technical success but has been used at only partial capability because structured change management and training investment ended prematurely. These experiences have made the organisation cautious but also clear-eyed about the conditions required for a successful implementation.</w:t>
      </w:r>
    </w:p>
    <w:p>
      <w:pPr>
        <w:spacing w:after="100" w:before="80" w:line="276"/>
        <w:jc w:val="left"/>
      </w:pPr>
      <w:r>
        <w:rPr>
          <w:rFonts w:ascii="Arial" w:cs="Arial" w:eastAsia="Arial" w:hAnsi="Arial"/>
          <w:b w:val="false"/>
          <w:bCs w:val="false"/>
          <w:i w:val="false"/>
          <w:iCs w:val="false"/>
          <w:color w:val="1C2226"/>
          <w:sz w:val="22"/>
          <w:szCs w:val="22"/>
        </w:rPr>
        <w:t xml:space="preserve">NBH expects the selected vendor to propose and resource a change management and adoption programme as an integral component of the engagement, not as an optional or post-go-live add-on. The Company's internal Change and Training team (three individuals) will partner with the vendor on this workstream but does not have the capacity to lead it independently. Site champions — experienced staff at pilot sites who are engaged early, involved in design decisions, and equipped to support their colleagues — have been identified by NBH as a critical adoption mechanism, and vendors are expected to incorporate this approach into their delivery planning.</w:t>
      </w:r>
    </w:p>
    <w:p>
      <w:r>
        <w:br w:type="page"/>
      </w:r>
    </w:p>
    <w:p>
      <w:pPr>
        <w:pStyle w:val="Heading1"/>
        <w:spacing w:after="160" w:before="400"/>
      </w:pPr>
      <w:r>
        <w:rPr>
          <w:rFonts w:ascii="Arial" w:cs="Arial" w:eastAsia="Arial" w:hAnsi="Arial"/>
          <w:b/>
          <w:bCs/>
          <w:color w:val="0A2E52"/>
          <w:sz w:val="38"/>
          <w:szCs w:val="38"/>
        </w:rPr>
        <w:t xml:space="preserve">8.  Data, Infrastructure, and Integration Landscape</w:t>
      </w:r>
    </w:p>
    <w:p>
      <w:pPr>
        <w:pStyle w:val="Heading2"/>
        <w:pBdr>
          <w:bottom w:val="single" w:color="0C6B6B" w:sz="6"/>
        </w:pBdr>
        <w:spacing w:after="120" w:before="300"/>
      </w:pPr>
      <w:r>
        <w:rPr>
          <w:rFonts w:ascii="Arial" w:cs="Arial" w:eastAsia="Arial" w:hAnsi="Arial"/>
          <w:b/>
          <w:bCs/>
          <w:color w:val="0C6B6B"/>
          <w:sz w:val="28"/>
          <w:szCs w:val="28"/>
        </w:rPr>
        <w:t xml:space="preserve">8.1   Data Governance Principles</w:t>
      </w:r>
    </w:p>
    <w:p>
      <w:pPr>
        <w:spacing w:after="100" w:before="80" w:line="276"/>
        <w:jc w:val="left"/>
      </w:pPr>
      <w:r>
        <w:rPr>
          <w:rFonts w:ascii="Arial" w:cs="Arial" w:eastAsia="Arial" w:hAnsi="Arial"/>
          <w:b w:val="false"/>
          <w:bCs w:val="false"/>
          <w:i w:val="false"/>
          <w:iCs w:val="false"/>
          <w:color w:val="1C2226"/>
          <w:sz w:val="22"/>
          <w:szCs w:val="22"/>
        </w:rPr>
        <w:t xml:space="preserve">NBH regards its operational data as a strategic asset and has developed a Data Governance Policy (version 2.3, published December 2024) that sets out the principles governing how data is collected, managed, shared, and retained across the Company. The key principles of direct relevance to this procurement are:</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NBH owns all operational data generated by its farming activities and its workforce. Any platform introduced through this procurement is a processor of NBH data, not an owner. The vendor has no right to use, aggregate, benchmark, or commercialise NBH data without explicit written authorisation from NBH.</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Data entered once should not need to be re-entered for any downstream purpose. The elimination of duplicate data entry is a design principle that the Company expects to see reflected in all workflow and integration design decisions.</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Data quality is a shared responsibility between the platform (which must validate inputs and flag anomalies) and the people who enter data (who must understand why data quality matters). The platform must support both dimensions of this responsibility.</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Data must be exportable at any time in standard open formats. NBH will not accept a platform that creates dependency on proprietary data formats or that imposes commercial barriers to data access.</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Regulatory data must be retained for the full statutory retention period applicable in each jurisdiction, which in Norway's case is a minimum of ten years for certain categories of health and production records.</w:t>
      </w:r>
    </w:p>
    <w:p>
      <w:pPr>
        <w:pStyle w:val="Heading2"/>
        <w:pBdr>
          <w:bottom w:val="single" w:color="0C6B6B" w:sz="6"/>
        </w:pBdr>
        <w:spacing w:after="120" w:before="300"/>
      </w:pPr>
      <w:r>
        <w:rPr>
          <w:rFonts w:ascii="Arial" w:cs="Arial" w:eastAsia="Arial" w:hAnsi="Arial"/>
          <w:b/>
          <w:bCs/>
          <w:color w:val="0C6B6B"/>
          <w:sz w:val="28"/>
          <w:szCs w:val="28"/>
        </w:rPr>
        <w:t xml:space="preserve">8.2   Data Migration Requirements</w:t>
      </w:r>
    </w:p>
    <w:p>
      <w:pPr>
        <w:spacing w:after="100" w:before="80" w:line="276"/>
        <w:jc w:val="left"/>
      </w:pPr>
      <w:r>
        <w:rPr>
          <w:rFonts w:ascii="Arial" w:cs="Arial" w:eastAsia="Arial" w:hAnsi="Arial"/>
          <w:b w:val="false"/>
          <w:bCs w:val="false"/>
          <w:i w:val="false"/>
          <w:iCs w:val="false"/>
          <w:color w:val="1C2226"/>
          <w:sz w:val="22"/>
          <w:szCs w:val="22"/>
        </w:rPr>
        <w:t xml:space="preserve">NBH holds significant volumes of historical operational data in AquaManager, iFarm, and various Excel archives that will need to be assessed, cleansed, and migrated to the new platform. The historical data is considered operationally valuable — a minimum of five complete production cycles per site is required for meaningful benchmarking and for populating predictive models — but the Company is realistic about the data quality challenges that a migration exercise will encounter given the inconsistency of data entry practices over the years.</w:t>
      </w:r>
    </w:p>
    <w:p>
      <w:pPr>
        <w:spacing w:after="100" w:before="80" w:line="276"/>
        <w:jc w:val="left"/>
      </w:pPr>
      <w:r>
        <w:rPr>
          <w:rFonts w:ascii="Arial" w:cs="Arial" w:eastAsia="Arial" w:hAnsi="Arial"/>
          <w:b w:val="false"/>
          <w:bCs w:val="false"/>
          <w:i w:val="false"/>
          <w:iCs w:val="false"/>
          <w:color w:val="1C2226"/>
          <w:sz w:val="22"/>
          <w:szCs w:val="22"/>
        </w:rPr>
        <w:t xml:space="preserve">NBH expects vendors to include in their proposals an approach to data migration that addresses data profiling, cleansing, transformation, and validation as discrete workstream activities, with a clear methodology for handling records of poor quality or incomplete provenance. A parallel-running period during which both the legacy and new systems contain the same data, with discrepancies resolved before the legacy system is decommissioned, is a minimum expectation for the biomass and stock management data migration.</w:t>
      </w:r>
    </w:p>
    <w:p>
      <w:pPr>
        <w:pStyle w:val="Heading2"/>
        <w:pBdr>
          <w:bottom w:val="single" w:color="0C6B6B" w:sz="6"/>
        </w:pBdr>
        <w:spacing w:after="120" w:before="300"/>
      </w:pPr>
      <w:r>
        <w:rPr>
          <w:rFonts w:ascii="Arial" w:cs="Arial" w:eastAsia="Arial" w:hAnsi="Arial"/>
          <w:b/>
          <w:bCs/>
          <w:color w:val="0C6B6B"/>
          <w:sz w:val="28"/>
          <w:szCs w:val="28"/>
        </w:rPr>
        <w:t xml:space="preserve">8.3   Cloud Infrastructure and Hosting</w:t>
      </w:r>
    </w:p>
    <w:p>
      <w:pPr>
        <w:spacing w:after="100" w:before="80" w:line="276"/>
        <w:jc w:val="left"/>
      </w:pPr>
      <w:r>
        <w:rPr>
          <w:rFonts w:ascii="Arial" w:cs="Arial" w:eastAsia="Arial" w:hAnsi="Arial"/>
          <w:b w:val="false"/>
          <w:bCs w:val="false"/>
          <w:i w:val="false"/>
          <w:iCs w:val="false"/>
          <w:color w:val="1C2226"/>
          <w:sz w:val="22"/>
          <w:szCs w:val="22"/>
        </w:rPr>
        <w:t xml:space="preserve">NBH's primary cloud platform is Microsoft Azure, with which the Company holds an Enterprise Agreement providing committed Azure consumption credits. NBH has a strong preference for deploying the new platform on Azure infrastructure, both for commercial efficiency and for the integration simplifications that Azure-to-Azure connectivity provides with the Company's existing Microsoft 365, Power BI, and Entra ID environments. The Company is not opposed to a multi-cloud architecture if a vendor can demonstrate a compelling technical rationale, but will expect any cloud cost differential to be reflected in the commercial proposal.</w:t>
      </w:r>
    </w:p>
    <w:p>
      <w:pPr>
        <w:spacing w:after="100" w:before="80" w:line="276"/>
        <w:jc w:val="left"/>
      </w:pPr>
      <w:r>
        <w:rPr>
          <w:rFonts w:ascii="Arial" w:cs="Arial" w:eastAsia="Arial" w:hAnsi="Arial"/>
          <w:b w:val="false"/>
          <w:bCs w:val="false"/>
          <w:i w:val="false"/>
          <w:iCs w:val="false"/>
          <w:color w:val="1C2226"/>
          <w:sz w:val="22"/>
          <w:szCs w:val="22"/>
        </w:rPr>
        <w:t xml:space="preserve">All data relating to Norwegian and Faroese operations must be hosted in data centres located within the European Economic Area. Canadian operational data must be hosted in Canada. NBH will not accept a data hosting arrangement that requires trans-border data transfers for Norwegian, Faroese, or Canadian operational data outside these boundaries, and vendors must demonstrate how their proposed infrastructure satisfies these requirements in their technical response.</w:t>
      </w:r>
    </w:p>
    <w:p>
      <w:pPr>
        <w:pStyle w:val="Heading2"/>
        <w:pBdr>
          <w:bottom w:val="single" w:color="0C6B6B" w:sz="6"/>
        </w:pBdr>
        <w:spacing w:after="120" w:before="300"/>
      </w:pPr>
      <w:r>
        <w:rPr>
          <w:rFonts w:ascii="Arial" w:cs="Arial" w:eastAsia="Arial" w:hAnsi="Arial"/>
          <w:b/>
          <w:bCs/>
          <w:color w:val="0C6B6B"/>
          <w:sz w:val="28"/>
          <w:szCs w:val="28"/>
        </w:rPr>
        <w:t xml:space="preserve">8.4   Security and Access Management</w:t>
      </w:r>
    </w:p>
    <w:p>
      <w:pPr>
        <w:spacing w:after="100" w:before="80" w:line="276"/>
        <w:jc w:val="left"/>
      </w:pPr>
      <w:r>
        <w:rPr>
          <w:rFonts w:ascii="Arial" w:cs="Arial" w:eastAsia="Arial" w:hAnsi="Arial"/>
          <w:b w:val="false"/>
          <w:bCs w:val="false"/>
          <w:i w:val="false"/>
          <w:iCs w:val="false"/>
          <w:color w:val="1C2226"/>
          <w:sz w:val="22"/>
          <w:szCs w:val="22"/>
        </w:rPr>
        <w:t xml:space="preserve">NBH's IT Operations and Security team is in the process of implementing an Information Security Management System aligned with ISO/IEC 27001:2022, with an initial certification audit planned for Q3 2025. Any vendor selected through this RFP will be subject to NBH's vendor security assessment process, which includes review of the vendor's own security certifications, evidence of regular penetration testing, and completion of NBH's third-party risk questionnaire. NBH expects the platform to support Microsoft Entra ID as the identity provider for single sign-on, to enforce multi-factor authentication for all users, and to implement role-based access control that can be administered by NBH's internal team.</w:t>
      </w:r>
    </w:p>
    <w:p>
      <w:pPr>
        <w:spacing w:after="100" w:before="80" w:line="276"/>
        <w:jc w:val="left"/>
      </w:pPr>
      <w:r>
        <w:rPr>
          <w:rFonts w:ascii="Arial" w:cs="Arial" w:eastAsia="Arial" w:hAnsi="Arial"/>
          <w:b w:val="false"/>
          <w:bCs w:val="false"/>
          <w:i w:val="false"/>
          <w:iCs w:val="false"/>
          <w:color w:val="1C2226"/>
          <w:sz w:val="22"/>
          <w:szCs w:val="22"/>
        </w:rPr>
        <w:t xml:space="preserve">The sensitivity of veterinary treatment records and the personal data implications of location-enabled mobile applications are areas of particular security concern that vendors must address explicitly in their proposals. NBH will require a data processing agreement compliant with GDPR Article 28 to be executed with the selected vendor, and expects vendors to demonstrate an established GDPR compliance programme rather than treat this as a documentation exercise.</w:t>
      </w:r>
    </w:p>
    <w:p>
      <w:pPr>
        <w:pStyle w:val="Heading2"/>
        <w:pBdr>
          <w:bottom w:val="single" w:color="0C6B6B" w:sz="6"/>
        </w:pBdr>
        <w:spacing w:after="120" w:before="300"/>
      </w:pPr>
      <w:r>
        <w:rPr>
          <w:rFonts w:ascii="Arial" w:cs="Arial" w:eastAsia="Arial" w:hAnsi="Arial"/>
          <w:b/>
          <w:bCs/>
          <w:color w:val="0C6B6B"/>
          <w:sz w:val="28"/>
          <w:szCs w:val="28"/>
        </w:rPr>
        <w:t xml:space="preserve">8.5   Service Continuity Requirements</w:t>
      </w:r>
    </w:p>
    <w:p>
      <w:pPr>
        <w:spacing w:after="100" w:before="80" w:line="276"/>
        <w:jc w:val="left"/>
      </w:pPr>
      <w:r>
        <w:rPr>
          <w:rFonts w:ascii="Arial" w:cs="Arial" w:eastAsia="Arial" w:hAnsi="Arial"/>
          <w:b w:val="false"/>
          <w:bCs w:val="false"/>
          <w:i w:val="false"/>
          <w:iCs w:val="false"/>
          <w:color w:val="1C2226"/>
          <w:sz w:val="22"/>
          <w:szCs w:val="22"/>
        </w:rPr>
        <w:t xml:space="preserve">Given the operational criticality of feeding management and environmental monitoring, NBH expects the platform to maintain very high availability. The Company has not specified precise SLA figures as fixed requirements in this document because the appropriate availability targets should be the subject of commercial negotiation informed by the vendor's architecture proposal. However, NBH's planning assumption is that unplanned unavailability of the feeding management or environmental monitoring components should be measured in minutes per month rather than hours, and vendors whose architecture cannot credibly support this should not represent otherwise in their proposals.</w:t>
      </w:r>
    </w:p>
    <w:p>
      <w:pPr>
        <w:spacing w:after="100" w:before="80" w:line="276"/>
        <w:jc w:val="left"/>
      </w:pPr>
      <w:r>
        <w:rPr>
          <w:rFonts w:ascii="Arial" w:cs="Arial" w:eastAsia="Arial" w:hAnsi="Arial"/>
          <w:b w:val="false"/>
          <w:bCs w:val="false"/>
          <w:i w:val="false"/>
          <w:iCs w:val="false"/>
          <w:color w:val="1C2226"/>
          <w:sz w:val="22"/>
          <w:szCs w:val="22"/>
        </w:rPr>
        <w:t xml:space="preserve">NBH's operational environment requires that planned maintenance activities be schedulable during periods of low operational activity, and that maintenance windows be communicated with sufficient notice to allow operational adjustments. Because NBH operates globally across multiple time zones, the concept of a universally low-activity maintenance window does not exist; vendors must address this in their platform architecture and operational procedures.</w:t>
      </w:r>
    </w:p>
    <w:p>
      <w:r>
        <w:br w:type="page"/>
      </w:r>
    </w:p>
    <w:p>
      <w:pPr>
        <w:pStyle w:val="Heading1"/>
        <w:spacing w:after="160" w:before="400"/>
      </w:pPr>
      <w:r>
        <w:rPr>
          <w:rFonts w:ascii="Arial" w:cs="Arial" w:eastAsia="Arial" w:hAnsi="Arial"/>
          <w:b/>
          <w:bCs/>
          <w:color w:val="0A2E52"/>
          <w:sz w:val="38"/>
          <w:szCs w:val="38"/>
        </w:rPr>
        <w:t xml:space="preserve">9.  Evaluation and Selection Process</w:t>
      </w:r>
    </w:p>
    <w:p>
      <w:pPr>
        <w:pStyle w:val="Heading2"/>
        <w:pBdr>
          <w:bottom w:val="single" w:color="0C6B6B" w:sz="6"/>
        </w:pBdr>
        <w:spacing w:after="120" w:before="300"/>
      </w:pPr>
      <w:r>
        <w:rPr>
          <w:rFonts w:ascii="Arial" w:cs="Arial" w:eastAsia="Arial" w:hAnsi="Arial"/>
          <w:b/>
          <w:bCs/>
          <w:color w:val="0C6B6B"/>
          <w:sz w:val="28"/>
          <w:szCs w:val="28"/>
        </w:rPr>
        <w:t xml:space="preserve">9.1   Evaluation Approach</w:t>
      </w:r>
    </w:p>
    <w:p>
      <w:pPr>
        <w:spacing w:after="100" w:before="80" w:line="276"/>
        <w:jc w:val="left"/>
      </w:pPr>
      <w:r>
        <w:rPr>
          <w:rFonts w:ascii="Arial" w:cs="Arial" w:eastAsia="Arial" w:hAnsi="Arial"/>
          <w:b w:val="false"/>
          <w:bCs w:val="false"/>
          <w:i w:val="false"/>
          <w:iCs w:val="false"/>
          <w:color w:val="1C2226"/>
          <w:sz w:val="22"/>
          <w:szCs w:val="22"/>
        </w:rPr>
        <w:t xml:space="preserve">NBH will evaluate proposals received in response to this RFP through a structured process conducted by a cross-functional Evaluation Committee. The Committee comprises representatives from the Technology and Digital team, the Farming Division leadership, the Fish Health team, the Supply Chain function, the Finance function, and an independent technology advisor with specific aquaculture sector experience engaged to provide objective technical evaluation capability.</w:t>
      </w:r>
    </w:p>
    <w:p>
      <w:pPr>
        <w:spacing w:after="100" w:before="80" w:line="276"/>
        <w:jc w:val="left"/>
      </w:pPr>
      <w:r>
        <w:rPr>
          <w:rFonts w:ascii="Arial" w:cs="Arial" w:eastAsia="Arial" w:hAnsi="Arial"/>
          <w:b w:val="false"/>
          <w:bCs w:val="false"/>
          <w:i w:val="false"/>
          <w:iCs w:val="false"/>
          <w:color w:val="1C2226"/>
          <w:sz w:val="22"/>
          <w:szCs w:val="22"/>
        </w:rPr>
        <w:t xml:space="preserve">NBH is not selecting the lowest-cost response. The Company is making a long-term strategic investment in digital infrastructure and will weight heavily the vendor's demonstrated understanding of the aquaculture industry, the credibility and quality of the proposed solution approach, the strength of the team proposed for the engagement, and the evidence of delivery track record in comparable environments. Commercial competitiveness matters and proposals substantially exceeding the programme budget envelope will not be progressed, but within a reasonable range of the budget, quality of solution and quality of vendor will be the determining factors.</w:t>
      </w:r>
    </w:p>
    <w:p>
      <w:pPr>
        <w:pStyle w:val="Heading2"/>
        <w:pBdr>
          <w:bottom w:val="single" w:color="0C6B6B" w:sz="6"/>
        </w:pBdr>
        <w:spacing w:after="120" w:before="300"/>
      </w:pPr>
      <w:r>
        <w:rPr>
          <w:rFonts w:ascii="Arial" w:cs="Arial" w:eastAsia="Arial" w:hAnsi="Arial"/>
          <w:b/>
          <w:bCs/>
          <w:color w:val="0C6B6B"/>
          <w:sz w:val="28"/>
          <w:szCs w:val="28"/>
        </w:rPr>
        <w:t xml:space="preserve">9.2   Evaluation Criteria and Weighting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200"/>
        <w:gridCol w:w="3360"/>
      </w:tblGrid>
      <w:tr>
        <w:tc>
          <w:tcPr>
            <w:tcW w:type="dxa" w:w="6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
            </w:r>
          </w:p>
        </w:tc>
        <w:tc>
          <w:tcPr>
            <w:tcW w:type="dxa" w:w="42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Evaluation Criterion</w:t>
            </w:r>
          </w:p>
        </w:tc>
        <w:tc>
          <w:tcPr>
            <w:tcW w:type="dxa" w:w="12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Weight</w:t>
            </w:r>
          </w:p>
        </w:tc>
        <w:tc>
          <w:tcPr>
            <w:tcW w:type="dxa" w:w="336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Primary Evidence Source</w:t>
            </w:r>
          </w:p>
        </w:tc>
      </w:tr>
      <w:tr>
        <w:tc>
          <w:tcPr>
            <w:tcW w:type="dxa" w:w="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1</w:t>
            </w:r>
          </w:p>
        </w:tc>
        <w:tc>
          <w:tcPr>
            <w:tcW w:type="dxa" w:w="4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Aquaculture industry expertise and operational understanding</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center"/>
            </w:pPr>
            <w:r>
              <w:rPr>
                <w:rFonts w:ascii="Arial" w:cs="Arial" w:eastAsia="Arial" w:hAnsi="Arial"/>
                <w:b/>
                <w:bCs/>
                <w:i w:val="false"/>
                <w:iCs w:val="false"/>
                <w:color w:val="0C6B6B"/>
                <w:sz w:val="20"/>
                <w:szCs w:val="20"/>
              </w:rPr>
              <w:t xml:space="preserve">25%</w:t>
            </w:r>
          </w:p>
        </w:tc>
        <w:tc>
          <w:tcPr>
            <w:tcW w:type="dxa" w:w="3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Reference projects; team credentials; quality of operational problem analysis in proposal narrative</w:t>
            </w:r>
          </w:p>
        </w:tc>
      </w:tr>
      <w:tr>
        <w:tc>
          <w:tcPr>
            <w:tcW w:type="dxa" w:w="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2</w:t>
            </w:r>
          </w:p>
        </w:tc>
        <w:tc>
          <w:tcPr>
            <w:tcW w:type="dxa" w:w="4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Solution approach, architecture quality, and technical credibility</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center"/>
            </w:pPr>
            <w:r>
              <w:rPr>
                <w:rFonts w:ascii="Arial" w:cs="Arial" w:eastAsia="Arial" w:hAnsi="Arial"/>
                <w:b/>
                <w:bCs/>
                <w:i w:val="false"/>
                <w:iCs w:val="false"/>
                <w:color w:val="0C6B6B"/>
                <w:sz w:val="20"/>
                <w:szCs w:val="20"/>
              </w:rPr>
              <w:t xml:space="preserve">20%</w:t>
            </w:r>
          </w:p>
        </w:tc>
        <w:tc>
          <w:tcPr>
            <w:tcW w:type="dxa" w:w="3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Technical architecture response; offline-first design; integration approach; AI/ML methodology</w:t>
            </w:r>
          </w:p>
        </w:tc>
      </w:tr>
      <w:tr>
        <w:tc>
          <w:tcPr>
            <w:tcW w:type="dxa" w:w="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3</w:t>
            </w:r>
          </w:p>
        </w:tc>
        <w:tc>
          <w:tcPr>
            <w:tcW w:type="dxa" w:w="4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Relevance and completeness of proposed functional scope</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center"/>
            </w:pPr>
            <w:r>
              <w:rPr>
                <w:rFonts w:ascii="Arial" w:cs="Arial" w:eastAsia="Arial" w:hAnsi="Arial"/>
                <w:b/>
                <w:bCs/>
                <w:i w:val="false"/>
                <w:iCs w:val="false"/>
                <w:color w:val="0C6B6B"/>
                <w:sz w:val="20"/>
                <w:szCs w:val="20"/>
              </w:rPr>
              <w:t xml:space="preserve">20%</w:t>
            </w:r>
          </w:p>
        </w:tc>
        <w:tc>
          <w:tcPr>
            <w:tcW w:type="dxa" w:w="3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Functional coverage narrative; demonstration performance; gap analysis quality</w:t>
            </w:r>
          </w:p>
        </w:tc>
      </w:tr>
      <w:tr>
        <w:tc>
          <w:tcPr>
            <w:tcW w:type="dxa" w:w="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4</w:t>
            </w:r>
          </w:p>
        </w:tc>
        <w:tc>
          <w:tcPr>
            <w:tcW w:type="dxa" w:w="4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Delivery methodology, team structure, and risk management</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center"/>
            </w:pPr>
            <w:r>
              <w:rPr>
                <w:rFonts w:ascii="Arial" w:cs="Arial" w:eastAsia="Arial" w:hAnsi="Arial"/>
                <w:b/>
                <w:bCs/>
                <w:i w:val="false"/>
                <w:iCs w:val="false"/>
                <w:color w:val="0C6B6B"/>
                <w:sz w:val="20"/>
                <w:szCs w:val="20"/>
              </w:rPr>
              <w:t xml:space="preserve">15%</w:t>
            </w:r>
          </w:p>
        </w:tc>
        <w:tc>
          <w:tcPr>
            <w:tcW w:type="dxa" w:w="3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Implementation plan; CVs of named key personnel; risk register; change management approach</w:t>
            </w:r>
          </w:p>
        </w:tc>
      </w:tr>
      <w:tr>
        <w:tc>
          <w:tcPr>
            <w:tcW w:type="dxa" w:w="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5</w:t>
            </w:r>
          </w:p>
        </w:tc>
        <w:tc>
          <w:tcPr>
            <w:tcW w:type="dxa" w:w="4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Commercial structure and total programme cost</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center"/>
            </w:pPr>
            <w:r>
              <w:rPr>
                <w:rFonts w:ascii="Arial" w:cs="Arial" w:eastAsia="Arial" w:hAnsi="Arial"/>
                <w:b/>
                <w:bCs/>
                <w:i w:val="false"/>
                <w:iCs w:val="false"/>
                <w:color w:val="0C6B6B"/>
                <w:sz w:val="20"/>
                <w:szCs w:val="20"/>
              </w:rPr>
              <w:t xml:space="preserve">10%</w:t>
            </w:r>
          </w:p>
        </w:tc>
        <w:tc>
          <w:tcPr>
            <w:tcW w:type="dxa" w:w="3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5-year total cost of ownership model; pricing transparency; commercial terms flexibility</w:t>
            </w:r>
          </w:p>
        </w:tc>
      </w:tr>
      <w:tr>
        <w:tc>
          <w:tcPr>
            <w:tcW w:type="dxa" w:w="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6</w:t>
            </w:r>
          </w:p>
        </w:tc>
        <w:tc>
          <w:tcPr>
            <w:tcW w:type="dxa" w:w="4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Security, data governance, and regulatory compliance posture</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center"/>
            </w:pPr>
            <w:r>
              <w:rPr>
                <w:rFonts w:ascii="Arial" w:cs="Arial" w:eastAsia="Arial" w:hAnsi="Arial"/>
                <w:b/>
                <w:bCs/>
                <w:i w:val="false"/>
                <w:iCs w:val="false"/>
                <w:color w:val="0C6B6B"/>
                <w:sz w:val="20"/>
                <w:szCs w:val="20"/>
              </w:rPr>
              <w:t xml:space="preserve">5%</w:t>
            </w:r>
          </w:p>
        </w:tc>
        <w:tc>
          <w:tcPr>
            <w:tcW w:type="dxa" w:w="3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Security certifications; GDPR compliance evidence; regulatory experience</w:t>
            </w:r>
          </w:p>
        </w:tc>
      </w:tr>
      <w:tr>
        <w:tc>
          <w:tcPr>
            <w:tcW w:type="dxa" w:w="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7</w:t>
            </w:r>
          </w:p>
        </w:tc>
        <w:tc>
          <w:tcPr>
            <w:tcW w:type="dxa" w:w="4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Vendor viability, support model, and long-term roadmap alignment</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center"/>
            </w:pPr>
            <w:r>
              <w:rPr>
                <w:rFonts w:ascii="Arial" w:cs="Arial" w:eastAsia="Arial" w:hAnsi="Arial"/>
                <w:b/>
                <w:bCs/>
                <w:i w:val="false"/>
                <w:iCs w:val="false"/>
                <w:color w:val="0C6B6B"/>
                <w:sz w:val="20"/>
                <w:szCs w:val="20"/>
              </w:rPr>
              <w:t xml:space="preserve">5%</w:t>
            </w:r>
          </w:p>
        </w:tc>
        <w:tc>
          <w:tcPr>
            <w:tcW w:type="dxa" w:w="3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Vendor financial health; support SLA terms; product roadmap disclosure</w:t>
            </w:r>
          </w:p>
        </w:tc>
      </w:tr>
    </w:tbl>
    <w:p>
      <w:pPr>
        <w:pStyle w:val="Heading2"/>
        <w:pBdr>
          <w:bottom w:val="single" w:color="0C6B6B" w:sz="6"/>
        </w:pBdr>
        <w:spacing w:after="120" w:before="300"/>
      </w:pPr>
      <w:r>
        <w:rPr>
          <w:rFonts w:ascii="Arial" w:cs="Arial" w:eastAsia="Arial" w:hAnsi="Arial"/>
          <w:b/>
          <w:bCs/>
          <w:color w:val="0C6B6B"/>
          <w:sz w:val="28"/>
          <w:szCs w:val="28"/>
        </w:rPr>
        <w:t xml:space="preserve">9.3   Minimum Qualification Requirements</w:t>
      </w:r>
    </w:p>
    <w:p>
      <w:pPr>
        <w:spacing w:after="100" w:before="80" w:line="276"/>
        <w:jc w:val="left"/>
      </w:pPr>
      <w:r>
        <w:rPr>
          <w:rFonts w:ascii="Arial" w:cs="Arial" w:eastAsia="Arial" w:hAnsi="Arial"/>
          <w:b w:val="false"/>
          <w:bCs w:val="false"/>
          <w:i w:val="false"/>
          <w:iCs w:val="false"/>
          <w:color w:val="1C2226"/>
          <w:sz w:val="22"/>
          <w:szCs w:val="22"/>
        </w:rPr>
        <w:t xml:space="preserve">The following are pass/fail prerequisites. Proposals that do not satisfy all of these requirements will not be progressed to scored evaluation, regardless of their merits in other respects:</w:t>
      </w:r>
    </w:p>
    <w:p>
      <w:pPr>
        <w:pStyle w:val="ListParagraph"/>
        <w:numPr>
          <w:ilvl w:val="0"/>
          <w:numId w:val="3"/>
        </w:numPr>
        <w:spacing w:after="50" w:before="50" w:line="276"/>
      </w:pPr>
      <w:r>
        <w:rPr>
          <w:rFonts w:ascii="Arial" w:cs="Arial" w:eastAsia="Arial" w:hAnsi="Arial"/>
          <w:color w:val="1C2226"/>
          <w:sz w:val="22"/>
          <w:szCs w:val="22"/>
        </w:rPr>
        <w:t xml:space="preserve">The vendor must have delivered a production farm management platform to at least two aquaculture operators each running a minimum of ten active farming sites. Reference client contact details must be provided and NBH will conduct direct reference calls.</w:t>
      </w:r>
    </w:p>
    <w:p>
      <w:pPr>
        <w:pStyle w:val="ListParagraph"/>
        <w:numPr>
          <w:ilvl w:val="0"/>
          <w:numId w:val="3"/>
        </w:numPr>
        <w:spacing w:after="50" w:before="50" w:line="276"/>
      </w:pPr>
      <w:r>
        <w:rPr>
          <w:rFonts w:ascii="Arial" w:cs="Arial" w:eastAsia="Arial" w:hAnsi="Arial"/>
          <w:color w:val="1C2226"/>
          <w:sz w:val="22"/>
          <w:szCs w:val="22"/>
        </w:rPr>
        <w:t xml:space="preserve">The vendor must be able to demonstrate, with reference to a live production deployment, that its mobile application functions reliably in offline conditions in a marine or remote industrial environment.</w:t>
      </w:r>
    </w:p>
    <w:p>
      <w:pPr>
        <w:pStyle w:val="ListParagraph"/>
        <w:numPr>
          <w:ilvl w:val="0"/>
          <w:numId w:val="3"/>
        </w:numPr>
        <w:spacing w:after="50" w:before="50" w:line="276"/>
      </w:pPr>
      <w:r>
        <w:rPr>
          <w:rFonts w:ascii="Arial" w:cs="Arial" w:eastAsia="Arial" w:hAnsi="Arial"/>
          <w:color w:val="1C2226"/>
          <w:sz w:val="22"/>
          <w:szCs w:val="22"/>
        </w:rPr>
        <w:t xml:space="preserve">The vendor must hold a current ISO/IEC 27001:2022 certificate or a SOC 2 Type II audit report issued within the eighteen months preceding the proposal submission date.</w:t>
      </w:r>
    </w:p>
    <w:p>
      <w:pPr>
        <w:pStyle w:val="ListParagraph"/>
        <w:numPr>
          <w:ilvl w:val="0"/>
          <w:numId w:val="3"/>
        </w:numPr>
        <w:spacing w:after="50" w:before="50" w:line="276"/>
      </w:pPr>
      <w:r>
        <w:rPr>
          <w:rFonts w:ascii="Arial" w:cs="Arial" w:eastAsia="Arial" w:hAnsi="Arial"/>
          <w:color w:val="1C2226"/>
          <w:sz w:val="22"/>
          <w:szCs w:val="22"/>
        </w:rPr>
        <w:t xml:space="preserve">The vendor's annual revenue must exceed EUR 5 million, or the vendor must be a wholly-owned subsidiary of a parent entity that meets this threshold, with parent guarantee provided.</w:t>
      </w:r>
    </w:p>
    <w:p>
      <w:pPr>
        <w:pStyle w:val="ListParagraph"/>
        <w:numPr>
          <w:ilvl w:val="0"/>
          <w:numId w:val="3"/>
        </w:numPr>
        <w:spacing w:after="50" w:before="50" w:line="276"/>
      </w:pPr>
      <w:r>
        <w:rPr>
          <w:rFonts w:ascii="Arial" w:cs="Arial" w:eastAsia="Arial" w:hAnsi="Arial"/>
          <w:color w:val="1C2226"/>
          <w:sz w:val="22"/>
          <w:szCs w:val="22"/>
        </w:rPr>
        <w:t xml:space="preserve">The vendor must provide signed confirmation that it will enter into NBH's standard Data Processing Agreement as a condition of contract award, and must confirm that its proposed data hosting architecture is consistent with the data sovereignty requirements described in Section 8.</w:t>
      </w:r>
    </w:p>
    <w:p>
      <w:pPr>
        <w:pStyle w:val="Heading2"/>
        <w:pBdr>
          <w:bottom w:val="single" w:color="0C6B6B" w:sz="6"/>
        </w:pBdr>
        <w:spacing w:after="120" w:before="300"/>
      </w:pPr>
      <w:r>
        <w:rPr>
          <w:rFonts w:ascii="Arial" w:cs="Arial" w:eastAsia="Arial" w:hAnsi="Arial"/>
          <w:b/>
          <w:bCs/>
          <w:color w:val="0C6B6B"/>
          <w:sz w:val="28"/>
          <w:szCs w:val="28"/>
        </w:rPr>
        <w:t xml:space="preserve">9.4   Process and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Stage</w:t>
            </w:r>
          </w:p>
        </w:tc>
        <w:tc>
          <w:tcPr>
            <w:tcW w:type="dxa" w:w="22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Dates</w:t>
            </w:r>
          </w:p>
        </w:tc>
        <w:tc>
          <w:tcPr>
            <w:tcW w:type="dxa" w:w="476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RFP Issuance</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3 March 2025</w:t>
            </w:r>
          </w:p>
        </w:tc>
        <w:tc>
          <w:tcPr>
            <w:tcW w:type="dxa" w:w="47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RFP distributed to eight pre-qualified vendors.</w:t>
            </w:r>
          </w:p>
        </w:tc>
      </w:tr>
      <w:tr>
        <w:tc>
          <w:tcPr>
            <w:tcW w:type="dxa" w:w="24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Clarification Period</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3 March – 4 April 2025</w:t>
            </w:r>
          </w:p>
        </w:tc>
        <w:tc>
          <w:tcPr>
            <w:tcW w:type="dxa" w:w="47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Written questions may be submitted to rfp@nordicblue-aqua.no. All questions and responses will be shared with all invited vendors simultaneously to ensure equal access to information.</w:t>
            </w:r>
          </w:p>
        </w:tc>
      </w:tr>
      <w:tr>
        <w:tc>
          <w:tcPr>
            <w:tcW w:type="dxa" w:w="24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NBH Responses to Questions</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11 April 2025</w:t>
            </w:r>
          </w:p>
        </w:tc>
        <w:tc>
          <w:tcPr>
            <w:tcW w:type="dxa" w:w="47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Consolidated Q&amp;A document distributed to all vendors.</w:t>
            </w:r>
          </w:p>
        </w:tc>
      </w:tr>
      <w:tr>
        <w:tc>
          <w:tcPr>
            <w:tcW w:type="dxa" w:w="24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Proposal Submission Deadline</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2 May 2025, 17:00 CET</w:t>
            </w:r>
          </w:p>
        </w:tc>
        <w:tc>
          <w:tcPr>
            <w:tcW w:type="dxa" w:w="47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Electronic submissions only. Proposals received after this deadline will not be accepted under any circumstances.</w:t>
            </w:r>
          </w:p>
        </w:tc>
      </w:tr>
      <w:tr>
        <w:tc>
          <w:tcPr>
            <w:tcW w:type="dxa" w:w="24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Preliminary Evaluation</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5–16 May 2025</w:t>
            </w:r>
          </w:p>
        </w:tc>
        <w:tc>
          <w:tcPr>
            <w:tcW w:type="dxa" w:w="47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Evaluation Committee scores written proposals against the criteria described above.</w:t>
            </w:r>
          </w:p>
        </w:tc>
      </w:tr>
      <w:tr>
        <w:tc>
          <w:tcPr>
            <w:tcW w:type="dxa" w:w="24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Shortlist Notification</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23 May 2025</w:t>
            </w:r>
          </w:p>
        </w:tc>
        <w:tc>
          <w:tcPr>
            <w:tcW w:type="dxa" w:w="47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Up to three vendors notified of shortlist status. Unsuccessful vendors notified and offered a brief debrief.</w:t>
            </w:r>
          </w:p>
        </w:tc>
      </w:tr>
      <w:tr>
        <w:tc>
          <w:tcPr>
            <w:tcW w:type="dxa" w:w="24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Demonstrations and Deep Dives</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2–13 June 2025</w:t>
            </w:r>
          </w:p>
        </w:tc>
        <w:tc>
          <w:tcPr>
            <w:tcW w:type="dxa" w:w="47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Shortlisted vendors invited to NBH's Stavanger offices for full-day sessions comprising solution demonstration, technical deep dive, and team presentation. NBH reserves the right to conduct a site visit to a reference client installation.</w:t>
            </w:r>
          </w:p>
        </w:tc>
      </w:tr>
      <w:tr>
        <w:tc>
          <w:tcPr>
            <w:tcW w:type="dxa" w:w="24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Reference Verification</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16–27 June 2025</w:t>
            </w:r>
          </w:p>
        </w:tc>
        <w:tc>
          <w:tcPr>
            <w:tcW w:type="dxa" w:w="47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TechDig team conducts structured reference calls with named client contacts provided by shortlisted vendors.</w:t>
            </w:r>
          </w:p>
        </w:tc>
      </w:tr>
      <w:tr>
        <w:tc>
          <w:tcPr>
            <w:tcW w:type="dxa" w:w="24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Commercial Negotiation</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July 2025</w:t>
            </w:r>
          </w:p>
        </w:tc>
        <w:tc>
          <w:tcPr>
            <w:tcW w:type="dxa" w:w="47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NBH enters commercial negotiation with the preferred vendor.</w:t>
            </w:r>
          </w:p>
        </w:tc>
      </w:tr>
      <w:tr>
        <w:tc>
          <w:tcPr>
            <w:tcW w:type="dxa" w:w="24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Contract Award (target)</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1 August 2025</w:t>
            </w:r>
          </w:p>
        </w:tc>
        <w:tc>
          <w:tcPr>
            <w:tcW w:type="dxa" w:w="47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Contract execution and programme kick-off.</w:t>
            </w:r>
          </w:p>
        </w:tc>
      </w:tr>
    </w:tbl>
    <w:p>
      <w:r>
        <w:br w:type="page"/>
      </w:r>
    </w:p>
    <w:p>
      <w:pPr>
        <w:pStyle w:val="Heading1"/>
        <w:spacing w:after="160" w:before="400"/>
      </w:pPr>
      <w:r>
        <w:rPr>
          <w:rFonts w:ascii="Arial" w:cs="Arial" w:eastAsia="Arial" w:hAnsi="Arial"/>
          <w:b/>
          <w:bCs/>
          <w:color w:val="0A2E52"/>
          <w:sz w:val="38"/>
          <w:szCs w:val="38"/>
        </w:rPr>
        <w:t xml:space="preserve">10.  Submission Requirements and Proposal Guidelines</w:t>
      </w:r>
    </w:p>
    <w:p>
      <w:pPr>
        <w:pStyle w:val="Heading2"/>
        <w:pBdr>
          <w:bottom w:val="single" w:color="0C6B6B" w:sz="6"/>
        </w:pBdr>
        <w:spacing w:after="120" w:before="300"/>
      </w:pPr>
      <w:r>
        <w:rPr>
          <w:rFonts w:ascii="Arial" w:cs="Arial" w:eastAsia="Arial" w:hAnsi="Arial"/>
          <w:b/>
          <w:bCs/>
          <w:color w:val="0C6B6B"/>
          <w:sz w:val="28"/>
          <w:szCs w:val="28"/>
        </w:rPr>
        <w:t xml:space="preserve">10.1   Required Proposal Contents</w:t>
      </w:r>
    </w:p>
    <w:p>
      <w:pPr>
        <w:spacing w:after="100" w:before="80" w:line="276"/>
        <w:jc w:val="left"/>
      </w:pPr>
      <w:r>
        <w:rPr>
          <w:rFonts w:ascii="Arial" w:cs="Arial" w:eastAsia="Arial" w:hAnsi="Arial"/>
          <w:b w:val="false"/>
          <w:bCs w:val="false"/>
          <w:i w:val="false"/>
          <w:iCs w:val="false"/>
          <w:color w:val="1C2226"/>
          <w:sz w:val="22"/>
          <w:szCs w:val="22"/>
        </w:rPr>
        <w:t xml:space="preserve">Proposals must be submitted as a single PDF document structured in the following order. All sections are mandatory; incomplete proposals may be disqualified at the Committee's discretion.</w:t>
      </w:r>
    </w:p>
    <w:p>
      <w:pPr>
        <w:pStyle w:val="ListParagraph"/>
        <w:numPr>
          <w:ilvl w:val="0"/>
          <w:numId w:val="3"/>
        </w:numPr>
        <w:spacing w:after="50" w:before="50" w:line="276"/>
      </w:pPr>
      <w:r>
        <w:rPr>
          <w:rFonts w:ascii="Arial" w:cs="Arial" w:eastAsia="Arial" w:hAnsi="Arial"/>
          <w:color w:val="1C2226"/>
          <w:sz w:val="22"/>
          <w:szCs w:val="22"/>
        </w:rPr>
        <w:t xml:space="preserve">Executive Summary (maximum three pages): A concise statement of the vendor's understanding of NBH's situation and objectives, a summary of the proposed approach, and the three most significant reasons why NBH should select this vendor.</w:t>
      </w:r>
    </w:p>
    <w:p>
      <w:pPr>
        <w:pStyle w:val="ListParagraph"/>
        <w:numPr>
          <w:ilvl w:val="0"/>
          <w:numId w:val="3"/>
        </w:numPr>
        <w:spacing w:after="50" w:before="50" w:line="276"/>
      </w:pPr>
      <w:r>
        <w:rPr>
          <w:rFonts w:ascii="Arial" w:cs="Arial" w:eastAsia="Arial" w:hAnsi="Arial"/>
          <w:color w:val="1C2226"/>
          <w:sz w:val="22"/>
          <w:szCs w:val="22"/>
        </w:rPr>
        <w:t xml:space="preserve">Company Background and Financial Information: Company history, ownership structure, number of employees, annual revenue for the two most recent financial years, and evidence of financial stability. For subsidiaries, include parent company information and a letter of support.</w:t>
      </w:r>
    </w:p>
    <w:p>
      <w:pPr>
        <w:pStyle w:val="ListParagraph"/>
        <w:numPr>
          <w:ilvl w:val="0"/>
          <w:numId w:val="3"/>
        </w:numPr>
        <w:spacing w:after="50" w:before="50" w:line="276"/>
      </w:pPr>
      <w:r>
        <w:rPr>
          <w:rFonts w:ascii="Arial" w:cs="Arial" w:eastAsia="Arial" w:hAnsi="Arial"/>
          <w:color w:val="1C2226"/>
          <w:sz w:val="22"/>
          <w:szCs w:val="22"/>
        </w:rPr>
        <w:t xml:space="preserve">Aquaculture Reference Projects: Detailed descriptions of at least two comparable deployments to aquaculture operators, including client name (with written consent to be used as a reference), scope of the engagement, number of sites, species farmed, modules delivered, go-live date, and the name and contact details of a senior client representative willing to speak with NBH's evaluation team.</w:t>
      </w:r>
    </w:p>
    <w:p>
      <w:pPr>
        <w:pStyle w:val="ListParagraph"/>
        <w:numPr>
          <w:ilvl w:val="0"/>
          <w:numId w:val="3"/>
        </w:numPr>
        <w:spacing w:after="50" w:before="50" w:line="276"/>
      </w:pPr>
      <w:r>
        <w:rPr>
          <w:rFonts w:ascii="Arial" w:cs="Arial" w:eastAsia="Arial" w:hAnsi="Arial"/>
          <w:color w:val="1C2226"/>
          <w:sz w:val="22"/>
          <w:szCs w:val="22"/>
        </w:rPr>
        <w:t xml:space="preserve">Proposed Solution Approach: A narrative description of how the vendor proposes to address NBH's challenges, the broad architecture of the proposed platform, the vendor's philosophy on areas where NBH has explicitly not specified a solution design, and any areas where the vendor proposes an approach that departs from common industry practice. This section should demonstrate genuine industry understanding and should not be a generic product brochure.</w:t>
      </w:r>
    </w:p>
    <w:p>
      <w:pPr>
        <w:pStyle w:val="ListParagraph"/>
        <w:numPr>
          <w:ilvl w:val="0"/>
          <w:numId w:val="3"/>
        </w:numPr>
        <w:spacing w:after="50" w:before="50" w:line="276"/>
      </w:pPr>
      <w:r>
        <w:rPr>
          <w:rFonts w:ascii="Arial" w:cs="Arial" w:eastAsia="Arial" w:hAnsi="Arial"/>
          <w:color w:val="1C2226"/>
          <w:sz w:val="22"/>
          <w:szCs w:val="22"/>
        </w:rPr>
        <w:t xml:space="preserve">Technical Architecture Overview: A diagram and supporting narrative describing the proposed cloud architecture, approach to offline-first mobile functionality, data integration strategy, and the vendor's approach to sensor data ingestion. This section need not be a complete technical specification but must be sufficiently detailed for NBH's TDA to assess architectural soundness.</w:t>
      </w:r>
    </w:p>
    <w:p>
      <w:pPr>
        <w:pStyle w:val="ListParagraph"/>
        <w:numPr>
          <w:ilvl w:val="0"/>
          <w:numId w:val="3"/>
        </w:numPr>
        <w:spacing w:after="50" w:before="50" w:line="276"/>
      </w:pPr>
      <w:r>
        <w:rPr>
          <w:rFonts w:ascii="Arial" w:cs="Arial" w:eastAsia="Arial" w:hAnsi="Arial"/>
          <w:color w:val="1C2226"/>
          <w:sz w:val="22"/>
          <w:szCs w:val="22"/>
        </w:rPr>
        <w:t xml:space="preserve">Implementation Approach and Programme Plan: Description of the vendor's delivery methodology, proposed team structure and CVs of all key personnel as defined in the governance expectations section, proposed phasing logic with rationale, approach to data migration, change management and adoption programme description, and a high-level programme timeline with key milestones.</w:t>
      </w:r>
    </w:p>
    <w:p>
      <w:pPr>
        <w:pStyle w:val="ListParagraph"/>
        <w:numPr>
          <w:ilvl w:val="0"/>
          <w:numId w:val="3"/>
        </w:numPr>
        <w:spacing w:after="50" w:before="50" w:line="276"/>
      </w:pPr>
      <w:r>
        <w:rPr>
          <w:rFonts w:ascii="Arial" w:cs="Arial" w:eastAsia="Arial" w:hAnsi="Arial"/>
          <w:color w:val="1C2226"/>
          <w:sz w:val="22"/>
          <w:szCs w:val="22"/>
        </w:rPr>
        <w:t xml:space="preserve">Commercial Proposal: Fixed-price implementation fees broken down by proposed phase; recurring licence or subscription fees by year over a five-year term with the basis for any escalation clearly stated; a five-year total cost of ownership model; support tier options and pricing; and any other cost items the vendor anticipates NBH will incur in connection with this engagement. All pricing in both NOK and EUR.</w:t>
      </w:r>
    </w:p>
    <w:p>
      <w:pPr>
        <w:pStyle w:val="ListParagraph"/>
        <w:numPr>
          <w:ilvl w:val="0"/>
          <w:numId w:val="3"/>
        </w:numPr>
        <w:spacing w:after="50" w:before="50" w:line="276"/>
      </w:pPr>
      <w:r>
        <w:rPr>
          <w:rFonts w:ascii="Arial" w:cs="Arial" w:eastAsia="Arial" w:hAnsi="Arial"/>
          <w:color w:val="1C2226"/>
          <w:sz w:val="22"/>
          <w:szCs w:val="22"/>
        </w:rPr>
        <w:t xml:space="preserve">Security, Compliance, and Data Governance Response: ISO 27001 certificate or SOC 2 Type II report; GDPR compliance statement; proposed data sovereignty architecture; approach to penetration testing and vulnerability management; and any relevant third-party security assessments.</w:t>
      </w:r>
    </w:p>
    <w:p>
      <w:pPr>
        <w:pStyle w:val="ListParagraph"/>
        <w:numPr>
          <w:ilvl w:val="0"/>
          <w:numId w:val="3"/>
        </w:numPr>
        <w:spacing w:after="50" w:before="50" w:line="276"/>
      </w:pPr>
      <w:r>
        <w:rPr>
          <w:rFonts w:ascii="Arial" w:cs="Arial" w:eastAsia="Arial" w:hAnsi="Arial"/>
          <w:color w:val="1C2226"/>
          <w:sz w:val="22"/>
          <w:szCs w:val="22"/>
        </w:rPr>
        <w:t xml:space="preserve">Risk Register: The vendor's top ten identified programme risks, with an assessment of probability and consequence and a description of the vendor's proposed mitigation or management approach for each.</w:t>
      </w:r>
    </w:p>
    <w:p>
      <w:pPr>
        <w:pStyle w:val="ListParagraph"/>
        <w:numPr>
          <w:ilvl w:val="0"/>
          <w:numId w:val="3"/>
        </w:numPr>
        <w:spacing w:after="50" w:before="50" w:line="276"/>
      </w:pPr>
      <w:r>
        <w:rPr>
          <w:rFonts w:ascii="Arial" w:cs="Arial" w:eastAsia="Arial" w:hAnsi="Arial"/>
          <w:color w:val="1C2226"/>
          <w:sz w:val="22"/>
          <w:szCs w:val="22"/>
        </w:rPr>
        <w:t xml:space="preserve">Vendor Questions for NBH: Any questions the vendor has for NBH that, if answered, would improve the quality or accuracy of the proposal. These will be answered in the Q&amp;A process or during the demonstration phase.</w:t>
      </w:r>
    </w:p>
    <w:p>
      <w:pPr>
        <w:pStyle w:val="Heading2"/>
        <w:pBdr>
          <w:bottom w:val="single" w:color="0C6B6B" w:sz="6"/>
        </w:pBdr>
        <w:spacing w:after="120" w:before="300"/>
      </w:pPr>
      <w:r>
        <w:rPr>
          <w:rFonts w:ascii="Arial" w:cs="Arial" w:eastAsia="Arial" w:hAnsi="Arial"/>
          <w:b/>
          <w:bCs/>
          <w:color w:val="0C6B6B"/>
          <w:sz w:val="28"/>
          <w:szCs w:val="28"/>
        </w:rPr>
        <w:t xml:space="preserve">10.2   Submission Instructions and Conditions</w:t>
      </w:r>
    </w:p>
    <w:p>
      <w:pPr>
        <w:spacing w:after="100" w:before="80" w:line="276"/>
        <w:jc w:val="left"/>
      </w:pPr>
      <w:r>
        <w:rPr>
          <w:rFonts w:ascii="Arial" w:cs="Arial" w:eastAsia="Arial" w:hAnsi="Arial"/>
          <w:b w:val="false"/>
          <w:bCs w:val="false"/>
          <w:i w:val="false"/>
          <w:iCs w:val="false"/>
          <w:color w:val="1C2226"/>
          <w:sz w:val="22"/>
          <w:szCs w:val="22"/>
        </w:rPr>
        <w:t xml:space="preserve">Proposals should be submitted electronically to rfp@nordicblue-aqua.no with the subject line formatted as: [VENDOR FULL LEGAL NAME] — RFP Response — NBH-RFP-2025-DIGI-004. Documents exceeding fifty megabytes should be submitted via a secure file-sharing link. NBH will acknowledge receipt within two business days; vendors who do not receive acknowledgement within this period should follow up directly.</w:t>
      </w:r>
    </w:p>
    <w:p>
      <w:pPr>
        <w:spacing w:after="100" w:before="80" w:line="276"/>
        <w:jc w:val="left"/>
      </w:pPr>
      <w:r>
        <w:rPr>
          <w:rFonts w:ascii="Arial" w:cs="Arial" w:eastAsia="Arial" w:hAnsi="Arial"/>
          <w:b w:val="false"/>
          <w:bCs w:val="false"/>
          <w:i w:val="false"/>
          <w:iCs w:val="false"/>
          <w:color w:val="1C2226"/>
          <w:sz w:val="22"/>
          <w:szCs w:val="22"/>
        </w:rPr>
        <w:t xml:space="preserve">All proposal materials must be submitted in English. Supporting technical exhibits may be provided in Norwegian. Pricing must be quoted in both NOK and EUR. NBH reserves the right to request clarification on any aspect of a submitted proposal, and such requests will not constitute negotiation or any commitment by NBH.</w:t>
      </w:r>
    </w:p>
    <w:p>
      <w:pPr>
        <w:spacing w:after="100" w:before="80" w:line="276"/>
        <w:jc w:val="left"/>
      </w:pPr>
      <w:r>
        <w:rPr>
          <w:rFonts w:ascii="Arial" w:cs="Arial" w:eastAsia="Arial" w:hAnsi="Arial"/>
          <w:b w:val="false"/>
          <w:bCs w:val="false"/>
          <w:i w:val="false"/>
          <w:iCs w:val="false"/>
          <w:color w:val="1C2226"/>
          <w:sz w:val="22"/>
          <w:szCs w:val="22"/>
        </w:rPr>
        <w:t xml:space="preserve">NBH will not reimburse any costs incurred by vendors in preparing or submitting proposals. Submission of a proposal does not create any right or legitimate expectation of contract award, and NBH reserves the right to cancel this procurement process at any stage without obligation.</w:t>
      </w:r>
    </w:p>
    <w:p>
      <w:r>
        <w:br w:type="page"/>
      </w:r>
    </w:p>
    <w:p>
      <w:pPr>
        <w:pStyle w:val="Heading1"/>
        <w:spacing w:after="160" w:before="400"/>
      </w:pPr>
      <w:r>
        <w:rPr>
          <w:rFonts w:ascii="Arial" w:cs="Arial" w:eastAsia="Arial" w:hAnsi="Arial"/>
          <w:b/>
          <w:bCs/>
          <w:color w:val="0A2E52"/>
          <w:sz w:val="38"/>
          <w:szCs w:val="38"/>
        </w:rPr>
        <w:t xml:space="preserve">11.  Contractual and Commercial Framework</w:t>
      </w:r>
    </w:p>
    <w:p>
      <w:pPr>
        <w:pStyle w:val="Heading2"/>
        <w:pBdr>
          <w:bottom w:val="single" w:color="0C6B6B" w:sz="6"/>
        </w:pBdr>
        <w:spacing w:after="120" w:before="300"/>
      </w:pPr>
      <w:r>
        <w:rPr>
          <w:rFonts w:ascii="Arial" w:cs="Arial" w:eastAsia="Arial" w:hAnsi="Arial"/>
          <w:b/>
          <w:bCs/>
          <w:color w:val="0C6B6B"/>
          <w:sz w:val="28"/>
          <w:szCs w:val="28"/>
        </w:rPr>
        <w:t xml:space="preserve">11.1   Programme Budget</w:t>
      </w:r>
    </w:p>
    <w:p>
      <w:pPr>
        <w:spacing w:after="100" w:before="80" w:line="276"/>
        <w:jc w:val="left"/>
      </w:pPr>
      <w:r>
        <w:rPr>
          <w:rFonts w:ascii="Arial" w:cs="Arial" w:eastAsia="Arial" w:hAnsi="Arial"/>
          <w:b w:val="false"/>
          <w:bCs w:val="false"/>
          <w:i w:val="false"/>
          <w:iCs w:val="false"/>
          <w:color w:val="1C2226"/>
          <w:sz w:val="22"/>
          <w:szCs w:val="22"/>
        </w:rPr>
        <w:t xml:space="preserve">NBH has approved a total programme budget of NOK 95 million over the thirty-six-month delivery period. This budget is inclusive of all costs associated with the selected vendor's fees — implementation services, software development or licensing, support during the programme period, and all directly associated project costs such as travel, tooling, and infrastructure provisioning. It does not include NBH's internal staff costs or the costs of NBH's SAP integration partner engagement.</w:t>
      </w:r>
    </w:p>
    <w:p>
      <w:pPr>
        <w:spacing w:after="100" w:before="80" w:line="276"/>
        <w:jc w:val="left"/>
      </w:pPr>
      <w:r>
        <w:rPr>
          <w:rFonts w:ascii="Arial" w:cs="Arial" w:eastAsia="Arial" w:hAnsi="Arial"/>
          <w:b w:val="false"/>
          <w:bCs w:val="false"/>
          <w:i w:val="false"/>
          <w:iCs w:val="false"/>
          <w:color w:val="1C2226"/>
          <w:sz w:val="22"/>
          <w:szCs w:val="22"/>
        </w:rPr>
        <w:t xml:space="preserve">The budget is allocated across the three planned phases with broadly equal weighting in the first two phases and a lighter budget for the third phase which is expected to consist primarily of capability extension and optimisation work rather than new development. Vendors should not regard this as a fixed budget architecture and are free to propose a phasing and cost allocation that better reflects their delivery approach, provided the total does not exceed the programme envelope.</w:t>
      </w:r>
    </w:p>
    <w:p>
      <w:pPr>
        <w:spacing w:after="100" w:before="80" w:line="276"/>
        <w:jc w:val="left"/>
      </w:pPr>
      <w:r>
        <w:rPr>
          <w:rFonts w:ascii="Arial" w:cs="Arial" w:eastAsia="Arial" w:hAnsi="Arial"/>
          <w:b w:val="false"/>
          <w:bCs w:val="false"/>
          <w:i w:val="false"/>
          <w:iCs w:val="false"/>
          <w:color w:val="1C2226"/>
          <w:sz w:val="22"/>
          <w:szCs w:val="22"/>
        </w:rPr>
        <w:t xml:space="preserve">NBH expects the ongoing annual platform cost from Year Four onwards — covering software licensing or subscription fees and operational support — to be materially lower than the annual implementation-period spend, and proposals that carry high recurring costs relative to programme-period costs will be viewed less favourably. A target of no more than NOK 8 million per year in Year Four software and support costs reflects the Company's long-term financial planning assumptions.</w:t>
      </w:r>
    </w:p>
    <w:p>
      <w:pPr>
        <w:pStyle w:val="Heading2"/>
        <w:pBdr>
          <w:bottom w:val="single" w:color="0C6B6B" w:sz="6"/>
        </w:pBdr>
        <w:spacing w:after="120" w:before="300"/>
      </w:pPr>
      <w:r>
        <w:rPr>
          <w:rFonts w:ascii="Arial" w:cs="Arial" w:eastAsia="Arial" w:hAnsi="Arial"/>
          <w:b/>
          <w:bCs/>
          <w:color w:val="0C6B6B"/>
          <w:sz w:val="28"/>
          <w:szCs w:val="28"/>
        </w:rPr>
        <w:t xml:space="preserve">11.2   Preferred Contractual Structure</w:t>
      </w:r>
    </w:p>
    <w:p>
      <w:pPr>
        <w:spacing w:after="100" w:before="80" w:line="276"/>
        <w:jc w:val="left"/>
      </w:pPr>
      <w:r>
        <w:rPr>
          <w:rFonts w:ascii="Arial" w:cs="Arial" w:eastAsia="Arial" w:hAnsi="Arial"/>
          <w:b w:val="false"/>
          <w:bCs w:val="false"/>
          <w:i w:val="false"/>
          <w:iCs w:val="false"/>
          <w:color w:val="1C2226"/>
          <w:sz w:val="22"/>
          <w:szCs w:val="22"/>
        </w:rPr>
        <w:t xml:space="preserve">NBH's strong preference is for a SaaS subscription model for the ongoing platform software, combined with a fixed-price professional services contract for the implementation engagement. NBH has learned from prior implementations that time-and-materials engagements transfer delivery risk to the client and create incentive misalignment; the Company will consider time-and-materials only for well-defined activities where scope uncertainty makes fixed pricing commercially unreasonable, and only as a secondary mechanism within a predominantly fixed-price structure.</w:t>
      </w:r>
    </w:p>
    <w:p>
      <w:pPr>
        <w:spacing w:after="100" w:before="80" w:line="276"/>
        <w:jc w:val="left"/>
      </w:pPr>
      <w:r>
        <w:rPr>
          <w:rFonts w:ascii="Arial" w:cs="Arial" w:eastAsia="Arial" w:hAnsi="Arial"/>
          <w:b w:val="false"/>
          <w:bCs w:val="false"/>
          <w:i w:val="false"/>
          <w:iCs w:val="false"/>
          <w:color w:val="1C2226"/>
          <w:sz w:val="22"/>
          <w:szCs w:val="22"/>
        </w:rPr>
        <w:t xml:space="preserve">For SaaS subscription pricing, NBH's preference is a per-active-site model rather than a per-user model, as per-site pricing aligns with how the Company plans and budgets its operations and provides predictability as the workforce composition changes over time. If a vendor strongly advocates an alternative pricing model, a clear and detailed rationale should be provided.</w:t>
      </w:r>
    </w:p>
    <w:p>
      <w:pPr>
        <w:spacing w:after="100" w:before="80" w:line="276"/>
        <w:jc w:val="left"/>
      </w:pPr>
      <w:r>
        <w:rPr>
          <w:rFonts w:ascii="Arial" w:cs="Arial" w:eastAsia="Arial" w:hAnsi="Arial"/>
          <w:b w:val="false"/>
          <w:bCs w:val="false"/>
          <w:i w:val="false"/>
          <w:iCs w:val="false"/>
          <w:color w:val="1C2226"/>
          <w:sz w:val="22"/>
          <w:szCs w:val="22"/>
        </w:rPr>
        <w:t xml:space="preserve">NBH's standard contractual requirements include: a minimum five-year subscription term with a thirty-six-month break clause on twelve months' written notice; annual subscription price escalation capped at the Norwegian CPI plus one and a half percent; a data portability guarantee providing complete machine-readable data export at any time at no charge; a transition assistance obligation requiring the vendor to support data migration to a successor system for up to twelve months following contract termination notice; and explicit prohibition of any clause that restricts NBH's ability to access, export, or use its own operational data.</w:t>
      </w:r>
    </w:p>
    <w:p>
      <w:pPr>
        <w:pStyle w:val="Heading2"/>
        <w:pBdr>
          <w:bottom w:val="single" w:color="0C6B6B" w:sz="6"/>
        </w:pBdr>
        <w:spacing w:after="120" w:before="300"/>
      </w:pPr>
      <w:r>
        <w:rPr>
          <w:rFonts w:ascii="Arial" w:cs="Arial" w:eastAsia="Arial" w:hAnsi="Arial"/>
          <w:b/>
          <w:bCs/>
          <w:color w:val="0C6B6B"/>
          <w:sz w:val="28"/>
          <w:szCs w:val="28"/>
        </w:rPr>
        <w:t xml:space="preserve">11.3   Payment Milestones</w:t>
      </w:r>
    </w:p>
    <w:p>
      <w:pPr>
        <w:spacing w:after="100" w:before="80" w:line="276"/>
        <w:jc w:val="left"/>
      </w:pPr>
      <w:r>
        <w:rPr>
          <w:rFonts w:ascii="Arial" w:cs="Arial" w:eastAsia="Arial" w:hAnsi="Arial"/>
          <w:b w:val="false"/>
          <w:bCs w:val="false"/>
          <w:i w:val="false"/>
          <w:iCs w:val="false"/>
          <w:color w:val="1C2226"/>
          <w:sz w:val="22"/>
          <w:szCs w:val="22"/>
        </w:rPr>
        <w:t xml:space="preserve">Implementation service fees will be structured as milestone-based payments tied to defined, objectively verifiable delivery events. NBH expects implementation milestone payments to be structured such that no single payment represents more than twenty-five percent of the total implementation fee, that payments are weighted toward delivery completion rather than commencement, and that a minimum of twenty percent of the total implementation fee is retained until final phase acceptance.</w:t>
      </w:r>
    </w:p>
    <w:p>
      <w:pPr>
        <w:spacing w:after="100" w:before="80" w:line="276"/>
        <w:jc w:val="left"/>
      </w:pPr>
      <w:r>
        <w:rPr>
          <w:rFonts w:ascii="Arial" w:cs="Arial" w:eastAsia="Arial" w:hAnsi="Arial"/>
          <w:b w:val="false"/>
          <w:bCs w:val="false"/>
          <w:i w:val="false"/>
          <w:iCs w:val="false"/>
          <w:color w:val="1C2226"/>
          <w:sz w:val="22"/>
          <w:szCs w:val="22"/>
        </w:rPr>
        <w:t xml:space="preserve">Vendors should propose specific milestone structures as part of their commercial proposals. NBH will negotiate the milestone definitions and payment schedules in the contracting phase with the preferred vendor.</w:t>
      </w:r>
    </w:p>
    <w:p>
      <w:pPr>
        <w:pStyle w:val="Heading2"/>
        <w:pBdr>
          <w:bottom w:val="single" w:color="0C6B6B" w:sz="6"/>
        </w:pBdr>
        <w:spacing w:after="120" w:before="300"/>
      </w:pPr>
      <w:r>
        <w:rPr>
          <w:rFonts w:ascii="Arial" w:cs="Arial" w:eastAsia="Arial" w:hAnsi="Arial"/>
          <w:b/>
          <w:bCs/>
          <w:color w:val="0C6B6B"/>
          <w:sz w:val="28"/>
          <w:szCs w:val="28"/>
        </w:rPr>
        <w:t xml:space="preserve">11.4   Intellectual Property</w:t>
      </w:r>
    </w:p>
    <w:p>
      <w:pPr>
        <w:spacing w:after="100" w:before="80" w:line="276"/>
        <w:jc w:val="left"/>
      </w:pPr>
      <w:r>
        <w:rPr>
          <w:rFonts w:ascii="Arial" w:cs="Arial" w:eastAsia="Arial" w:hAnsi="Arial"/>
          <w:b w:val="false"/>
          <w:bCs w:val="false"/>
          <w:i w:val="false"/>
          <w:iCs w:val="false"/>
          <w:color w:val="1C2226"/>
          <w:sz w:val="22"/>
          <w:szCs w:val="22"/>
        </w:rPr>
        <w:t xml:space="preserve">Any intellectual property in the platform software remains the property of the vendor. NBH requires a perpetual, irrevocable licence to access and use the platform software for its operations and, in the event of vendor insolvency or discontinuation of the product, a source code escrow arrangement through which NBH can access the platform source code to arrange for continued operation or migration. Any custom development undertaken specifically and exclusively for NBH's implementation will be owned by NBH and may not be incorporated into the vendor's standard product offering without NBH's written consent.</w:t>
      </w:r>
    </w:p>
    <w:p>
      <w:pPr>
        <w:spacing w:after="100" w:before="80" w:line="276"/>
        <w:jc w:val="left"/>
      </w:pPr>
      <w:r>
        <w:rPr>
          <w:rFonts w:ascii="Arial" w:cs="Arial" w:eastAsia="Arial" w:hAnsi="Arial"/>
          <w:b w:val="false"/>
          <w:bCs w:val="false"/>
          <w:i w:val="false"/>
          <w:iCs w:val="false"/>
          <w:color w:val="1C2226"/>
          <w:sz w:val="22"/>
          <w:szCs w:val="22"/>
        </w:rPr>
        <w:t xml:space="preserve">NBH retains exclusive ownership of all configuration, data models, workflow designs, and integration specifications created during the implementation engagement to the extent they are specific to NBH's operations and are not elements of the vendor's standard product.</w:t>
      </w:r>
    </w:p>
    <w:p>
      <w:r>
        <w:br w:type="page"/>
      </w:r>
    </w:p>
    <w:p>
      <w:pPr>
        <w:pStyle w:val="Heading1"/>
        <w:spacing w:after="160" w:before="400"/>
      </w:pPr>
      <w:r>
        <w:rPr>
          <w:rFonts w:ascii="Arial" w:cs="Arial" w:eastAsia="Arial" w:hAnsi="Arial"/>
          <w:b/>
          <w:bCs/>
          <w:color w:val="0A2E52"/>
          <w:sz w:val="38"/>
          <w:szCs w:val="38"/>
        </w:rPr>
        <w:t xml:space="preserve">12.  Governance, Delivery, and Programme Management Expectations</w:t>
      </w:r>
    </w:p>
    <w:p>
      <w:pPr>
        <w:pStyle w:val="Heading2"/>
        <w:pBdr>
          <w:bottom w:val="single" w:color="0C6B6B" w:sz="6"/>
        </w:pBdr>
        <w:spacing w:after="120" w:before="300"/>
      </w:pPr>
      <w:r>
        <w:rPr>
          <w:rFonts w:ascii="Arial" w:cs="Arial" w:eastAsia="Arial" w:hAnsi="Arial"/>
          <w:b/>
          <w:bCs/>
          <w:color w:val="0C6B6B"/>
          <w:sz w:val="28"/>
          <w:szCs w:val="28"/>
        </w:rPr>
        <w:t xml:space="preserve">12.1   Programme Governance Structure</w:t>
      </w:r>
    </w:p>
    <w:p>
      <w:pPr>
        <w:spacing w:after="100" w:before="80" w:line="276"/>
        <w:jc w:val="left"/>
      </w:pPr>
      <w:r>
        <w:rPr>
          <w:rFonts w:ascii="Arial" w:cs="Arial" w:eastAsia="Arial" w:hAnsi="Arial"/>
          <w:b w:val="false"/>
          <w:bCs w:val="false"/>
          <w:i w:val="false"/>
          <w:iCs w:val="false"/>
          <w:color w:val="1C2226"/>
          <w:sz w:val="22"/>
          <w:szCs w:val="22"/>
        </w:rPr>
        <w:t xml:space="preserve">The AquaCore programme will be governed through a formal structure that NBH will establish upon contract award. A Programme Steering Committee, chaired by the Chief Executive Officer and including the VP Product and Technology as programme sponsor, the Chief Farming Officer, the Chief Financial Officer, and the vendor's executive sponsor, will meet monthly to review progress, address strategic-level issues, and approve changes to programme scope or budget.</w:t>
      </w:r>
    </w:p>
    <w:p>
      <w:pPr>
        <w:spacing w:after="100" w:before="80" w:line="276"/>
        <w:jc w:val="left"/>
      </w:pPr>
      <w:r>
        <w:rPr>
          <w:rFonts w:ascii="Arial" w:cs="Arial" w:eastAsia="Arial" w:hAnsi="Arial"/>
          <w:b w:val="false"/>
          <w:bCs w:val="false"/>
          <w:i w:val="false"/>
          <w:iCs w:val="false"/>
          <w:color w:val="1C2226"/>
          <w:sz w:val="22"/>
          <w:szCs w:val="22"/>
        </w:rPr>
        <w:t xml:space="preserve">Day-to-day programme management will be led by an NBH Programme Director, a role currently being recruited. Until this appointment is confirmed, the VP Product and Technology will chair the programme management function with support from the Technology and Digital team's enterprise architects. The vendor is expected to provide a dedicated programme or project manager of senior capability who will operate as the primary counterpart to NBH's programme management function.</w:t>
      </w:r>
    </w:p>
    <w:p>
      <w:pPr>
        <w:spacing w:after="100" w:before="80" w:line="276"/>
        <w:jc w:val="left"/>
      </w:pPr>
      <w:r>
        <w:rPr>
          <w:rFonts w:ascii="Arial" w:cs="Arial" w:eastAsia="Arial" w:hAnsi="Arial"/>
          <w:b w:val="false"/>
          <w:bCs w:val="false"/>
          <w:i w:val="false"/>
          <w:iCs w:val="false"/>
          <w:color w:val="1C2226"/>
          <w:sz w:val="22"/>
          <w:szCs w:val="22"/>
        </w:rPr>
        <w:t xml:space="preserve">A Technical Design Authority, led by NBH's Enterprise Architect, will hold authority over all architectural decisions, integration standards, and security configurations. Major technical design choices must be approved by the TDA before implementation proceeds. A series of operational working groups, one for each major functional domain, will include domain expert representatives from the Farming Division and will be responsible for detailed design validation, UAT coordination, and change champion activities within their areas.</w:t>
      </w:r>
    </w:p>
    <w:p>
      <w:pPr>
        <w:pStyle w:val="Heading2"/>
        <w:pBdr>
          <w:bottom w:val="single" w:color="0C6B6B" w:sz="6"/>
        </w:pBdr>
        <w:spacing w:after="120" w:before="300"/>
      </w:pPr>
      <w:r>
        <w:rPr>
          <w:rFonts w:ascii="Arial" w:cs="Arial" w:eastAsia="Arial" w:hAnsi="Arial"/>
          <w:b/>
          <w:bCs/>
          <w:color w:val="0C6B6B"/>
          <w:sz w:val="28"/>
          <w:szCs w:val="28"/>
        </w:rPr>
        <w:t xml:space="preserve">12.2   NBH Commitments and Resources</w:t>
      </w:r>
    </w:p>
    <w:p>
      <w:pPr>
        <w:spacing w:after="100" w:before="80" w:line="276"/>
        <w:jc w:val="left"/>
      </w:pPr>
      <w:r>
        <w:rPr>
          <w:rFonts w:ascii="Arial" w:cs="Arial" w:eastAsia="Arial" w:hAnsi="Arial"/>
          <w:b w:val="false"/>
          <w:bCs w:val="false"/>
          <w:i w:val="false"/>
          <w:iCs w:val="false"/>
          <w:color w:val="1C2226"/>
          <w:sz w:val="22"/>
          <w:szCs w:val="22"/>
        </w:rPr>
        <w:t xml:space="preserve">NBH recognises that a programme of this scale and complexity requires genuine commitment of internal resources, not merely vendor management. The Company commits to providing dedicated Product Owner resource from the Technology and Digital team at a minimum of forty percent full-time equivalent throughout the programme; domain Subject Matter Expert access from the Farming Division at a minimum of four hours per active sprint per functional domain being designed; timely decision-making on all vendor-raised issues and change requests, with a target turnaround of five business days; and provision of a suitably provisioned test environment with realistic, appropriately anonymised data within six weeks of contract award.</w:t>
      </w:r>
    </w:p>
    <w:p>
      <w:pPr>
        <w:pStyle w:val="Heading2"/>
        <w:pBdr>
          <w:bottom w:val="single" w:color="0C6B6B" w:sz="6"/>
        </w:pBdr>
        <w:spacing w:after="120" w:before="300"/>
      </w:pPr>
      <w:r>
        <w:rPr>
          <w:rFonts w:ascii="Arial" w:cs="Arial" w:eastAsia="Arial" w:hAnsi="Arial"/>
          <w:b/>
          <w:bCs/>
          <w:color w:val="0C6B6B"/>
          <w:sz w:val="28"/>
          <w:szCs w:val="28"/>
        </w:rPr>
        <w:t xml:space="preserve">12.3   Key Personnel</w:t>
      </w:r>
    </w:p>
    <w:p>
      <w:pPr>
        <w:spacing w:after="100" w:before="80" w:line="276"/>
        <w:jc w:val="left"/>
      </w:pPr>
      <w:r>
        <w:rPr>
          <w:rFonts w:ascii="Arial" w:cs="Arial" w:eastAsia="Arial" w:hAnsi="Arial"/>
          <w:b w:val="false"/>
          <w:bCs w:val="false"/>
          <w:i w:val="false"/>
          <w:iCs w:val="false"/>
          <w:color w:val="1C2226"/>
          <w:sz w:val="22"/>
          <w:szCs w:val="22"/>
        </w:rPr>
        <w:t xml:space="preserve">NBH requires the following vendor roles to be resourced with named individuals whose CVs are submitted with the proposal. NBH reserves the right to approve or reject named key personnel and to require replacement of personnel whose performance falls significantly below expectations. Changes to key personnel after contract award require advance written approval from NBH's Programme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Role</w:t>
            </w:r>
          </w:p>
        </w:tc>
        <w:tc>
          <w:tcPr>
            <w:tcW w:type="dxa" w:w="16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Minimum Allocation</w:t>
            </w:r>
          </w:p>
        </w:tc>
        <w:tc>
          <w:tcPr>
            <w:tcW w:type="dxa" w:w="496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Experience Requirements</w:t>
            </w:r>
          </w:p>
        </w:tc>
      </w:tr>
      <w:tr>
        <w:tc>
          <w:tcPr>
            <w:tcW w:type="dxa" w:w="2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Programme / Delivery Manager</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C2226"/>
                <w:sz w:val="20"/>
                <w:szCs w:val="20"/>
              </w:rPr>
              <w:t xml:space="preserve">Full-time throughout</w:t>
            </w:r>
          </w:p>
        </w:tc>
        <w:tc>
          <w:tcPr>
            <w:tcW w:type="dxa" w:w="49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Minimum five years' delivery management experience; at least one comparable aquaculture or complex industrial IoT deployment; demonstrable Agile and structured project management capability.</w:t>
            </w:r>
          </w:p>
        </w:tc>
      </w:tr>
      <w:tr>
        <w:tc>
          <w:tcPr>
            <w:tcW w:type="dxa" w:w="2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Solution Architect</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C2226"/>
                <w:sz w:val="20"/>
                <w:szCs w:val="20"/>
              </w:rPr>
              <w:t xml:space="preserve">Full-time in Phases 1 and 2; fifty percent in Phase 3</w:t>
            </w:r>
          </w:p>
        </w:tc>
        <w:tc>
          <w:tcPr>
            <w:tcW w:type="dxa" w:w="49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Cloud-native architecture (Azure preferred); IoT and sensor integration; API-first design; experience with offline-first mobile applications in industrial settings.</w:t>
            </w:r>
          </w:p>
        </w:tc>
      </w:tr>
      <w:tr>
        <w:tc>
          <w:tcPr>
            <w:tcW w:type="dxa" w:w="2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Lead Software Engineer</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C2226"/>
                <w:sz w:val="20"/>
                <w:szCs w:val="20"/>
              </w:rPr>
              <w:t xml:space="preserve">Full-time throughout</w:t>
            </w:r>
          </w:p>
        </w:tc>
        <w:tc>
          <w:tcPr>
            <w:tcW w:type="dxa" w:w="49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Senior full-stack development capability; demonstrated experience with the proposed technology stack; performance engineering in high-throughput data environments.</w:t>
            </w:r>
          </w:p>
        </w:tc>
      </w:tr>
      <w:tr>
        <w:tc>
          <w:tcPr>
            <w:tcW w:type="dxa" w:w="2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Aquaculture Domain Specialist</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C2226"/>
                <w:sz w:val="20"/>
                <w:szCs w:val="20"/>
              </w:rPr>
              <w:t xml:space="preserve">Fifty percent throughout</w:t>
            </w:r>
          </w:p>
        </w:tc>
        <w:tc>
          <w:tcPr>
            <w:tcW w:type="dxa" w:w="49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Practical salmon or marine finfish farming experience; regulatory compliance knowledge across at least one of the three relevant jurisdictions; ability to translate biological operational requirements into software design.</w:t>
            </w:r>
          </w:p>
        </w:tc>
      </w:tr>
      <w:tr>
        <w:tc>
          <w:tcPr>
            <w:tcW w:type="dxa" w:w="2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UX and Product Design Lead</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C2226"/>
                <w:sz w:val="20"/>
                <w:szCs w:val="20"/>
              </w:rPr>
              <w:t xml:space="preserve">Full-time in Phases 1 and 2</w:t>
            </w:r>
          </w:p>
        </w:tc>
        <w:tc>
          <w:tcPr>
            <w:tcW w:type="dxa" w:w="49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Industrial mobile UX design; accessibility; experience designing for low-connectivity and harsh-environment use cases; portfolio evidence of field worker application design.</w:t>
            </w:r>
          </w:p>
        </w:tc>
      </w:tr>
      <w:tr>
        <w:tc>
          <w:tcPr>
            <w:tcW w:type="dxa" w:w="2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Data and ML Engineer</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C2226"/>
                <w:sz w:val="20"/>
                <w:szCs w:val="20"/>
              </w:rPr>
              <w:t xml:space="preserve">Fifty percent from Phase 2</w:t>
            </w:r>
          </w:p>
        </w:tc>
        <w:tc>
          <w:tcPr>
            <w:tcW w:type="dxa" w:w="49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ML pipeline architecture; time-series data management; biological or environmental modelling background advantageous.</w:t>
            </w:r>
          </w:p>
        </w:tc>
      </w:tr>
      <w:tr>
        <w:tc>
          <w:tcPr>
            <w:tcW w:type="dxa" w:w="2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Security and Compliance Lead</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C2226"/>
                <w:sz w:val="20"/>
                <w:szCs w:val="20"/>
              </w:rPr>
              <w:t xml:space="preserve">Twenty-five percent throughout</w:t>
            </w:r>
          </w:p>
        </w:tc>
        <w:tc>
          <w:tcPr>
            <w:tcW w:type="dxa" w:w="49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ISO 27001 and GDPR compliance; European regulatory technology frameworks; penetration testing programme management.</w:t>
            </w:r>
          </w:p>
        </w:tc>
      </w:tr>
    </w:tbl>
    <w:p>
      <w:pPr>
        <w:pStyle w:val="Heading2"/>
        <w:pBdr>
          <w:bottom w:val="single" w:color="0C6B6B" w:sz="6"/>
        </w:pBdr>
        <w:spacing w:after="120" w:before="300"/>
      </w:pPr>
      <w:r>
        <w:rPr>
          <w:rFonts w:ascii="Arial" w:cs="Arial" w:eastAsia="Arial" w:hAnsi="Arial"/>
          <w:b/>
          <w:bCs/>
          <w:color w:val="0C6B6B"/>
          <w:sz w:val="28"/>
          <w:szCs w:val="28"/>
        </w:rPr>
        <w:t xml:space="preserve">12.4   Reporting and Transparency</w:t>
      </w:r>
    </w:p>
    <w:p>
      <w:pPr>
        <w:spacing w:after="100" w:before="80" w:line="276"/>
        <w:jc w:val="left"/>
      </w:pPr>
      <w:r>
        <w:rPr>
          <w:rFonts w:ascii="Arial" w:cs="Arial" w:eastAsia="Arial" w:hAnsi="Arial"/>
          <w:b w:val="false"/>
          <w:bCs w:val="false"/>
          <w:i w:val="false"/>
          <w:iCs w:val="false"/>
          <w:color w:val="1C2226"/>
          <w:sz w:val="22"/>
          <w:szCs w:val="22"/>
        </w:rPr>
        <w:t xml:space="preserve">NBH expects full operational transparency from the selected vendor throughout the programme. This includes a shared, real-time accessible project backlog with traceability of work items to programme objectives; a weekly written progress report structured around a standard template agreed at programme initiation; a live RAID log (Risks, Assumptions, Issues, Dependencies) maintained and updated weekly by the vendor and accessible to NBH programme management; and demonstration environments updated within twenty-four hours of each sprint completion to allow ongoing review and feedback by NBH stakeholders.</w:t>
      </w:r>
    </w:p>
    <w:p>
      <w:r>
        <w:br w:type="page"/>
      </w:r>
    </w:p>
    <w:p>
      <w:pPr>
        <w:pStyle w:val="Heading1"/>
        <w:spacing w:after="160" w:before="400"/>
      </w:pPr>
      <w:r>
        <w:rPr>
          <w:rFonts w:ascii="Arial" w:cs="Arial" w:eastAsia="Arial" w:hAnsi="Arial"/>
          <w:b/>
          <w:bCs/>
          <w:color w:val="0A2E52"/>
          <w:sz w:val="38"/>
          <w:szCs w:val="38"/>
        </w:rPr>
        <w:t xml:space="preserve">13.  Assumptions, Constraints, and Dependencies</w:t>
      </w:r>
    </w:p>
    <w:p>
      <w:pPr>
        <w:pStyle w:val="Heading2"/>
        <w:pBdr>
          <w:bottom w:val="single" w:color="0C6B6B" w:sz="6"/>
        </w:pBdr>
        <w:spacing w:after="120" w:before="300"/>
      </w:pPr>
      <w:r>
        <w:rPr>
          <w:rFonts w:ascii="Arial" w:cs="Arial" w:eastAsia="Arial" w:hAnsi="Arial"/>
          <w:b/>
          <w:bCs/>
          <w:color w:val="0C6B6B"/>
          <w:sz w:val="28"/>
          <w:szCs w:val="28"/>
        </w:rPr>
        <w:t xml:space="preserve">13.1   NBH Programme Assumptions</w:t>
      </w:r>
    </w:p>
    <w:p>
      <w:pPr>
        <w:spacing w:after="100" w:before="80" w:line="276"/>
        <w:jc w:val="left"/>
      </w:pPr>
      <w:r>
        <w:rPr>
          <w:rFonts w:ascii="Arial" w:cs="Arial" w:eastAsia="Arial" w:hAnsi="Arial"/>
          <w:b w:val="false"/>
          <w:bCs w:val="false"/>
          <w:i w:val="false"/>
          <w:iCs w:val="false"/>
          <w:color w:val="1C2226"/>
          <w:sz w:val="22"/>
          <w:szCs w:val="22"/>
        </w:rPr>
        <w:t xml:space="preserve">The following assumptions underlie NBH's planning for this programme. Vendors should note these assumptions in their proposals and flag any concerns about their validity in their risk registers.</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NBH will complete recruitment of a Programme Director within four weeks of contract award. If this timeline is not met, the VP Product and Technology will temporarily perform the Programme Director function with appropriate additional resource support.</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FishTalk AS and ScaleAQ AS will provide API documentation, integration credentials, and sandbox environments within three weeks of a request facilitated by NBH. NBH will initiate these requests within one week of contract award and will manage the vendor relationships.</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The Norwegian-language (Bokmål) translation of all user interface text and documentation will be provided by NBH's internal communications function within the timelines agreed in the project schedule.</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Azure infrastructure provisioning and management is NBH's responsibility and will be performed by the IT Operations team using infrastructure-as-code templates provided by the selected vendor. Cloud spend is included in NBH's programme budget.</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NBH's farm site managers will make themselves available for UAT participation at a minimum of one two-hour session per sprint in which functionality relevant to their role is under test. Regional Farming Managers are accountable for securing this availability.</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The Accenture Norway SAP engagement will progress in parallel with the AquaCore programme on a broadly compatible timeline, with the SAP-side integration API interfaces available for testing by month eight of Phase One.</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Existing Navico/Simrad sensor hardware across the estate is in satisfactory working order for the purposes of data integration. Hardware replacement or upgrade, if required, is NBH's responsibility and is not included in this procurement scope.</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NBH will maintain operational manual fallback processes for all critical regulatory reporting functions until each automated equivalent has been validated in production and signed off by the regulatory affairs team.</w:t>
      </w:r>
    </w:p>
    <w:p>
      <w:pPr>
        <w:pStyle w:val="Heading2"/>
        <w:pBdr>
          <w:bottom w:val="single" w:color="0C6B6B" w:sz="6"/>
        </w:pBdr>
        <w:spacing w:after="120" w:before="300"/>
      </w:pPr>
      <w:r>
        <w:rPr>
          <w:rFonts w:ascii="Arial" w:cs="Arial" w:eastAsia="Arial" w:hAnsi="Arial"/>
          <w:b/>
          <w:bCs/>
          <w:color w:val="0C6B6B"/>
          <w:sz w:val="28"/>
          <w:szCs w:val="28"/>
        </w:rPr>
        <w:t xml:space="preserve">13.2   Known Constraints</w:t>
      </w:r>
    </w:p>
    <w:p>
      <w:pPr>
        <w:spacing w:after="100" w:before="80" w:line="276"/>
        <w:jc w:val="left"/>
      </w:pPr>
      <w:r>
        <w:rPr>
          <w:rFonts w:ascii="Arial" w:cs="Arial" w:eastAsia="Arial" w:hAnsi="Arial"/>
          <w:b w:val="false"/>
          <w:bCs w:val="false"/>
          <w:i w:val="false"/>
          <w:iCs w:val="false"/>
          <w:color w:val="1C2226"/>
          <w:sz w:val="22"/>
          <w:szCs w:val="22"/>
        </w:rPr>
        <w:t xml:space="preserve">Vendors should plan their proposals with the following hard constraints in mind:</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The Phase One go-live must be achieved before the start of the Norwegian sea lice monitoring season in May 2026, as the health monitoring workflow improvement is considered the highest-priority operational outcome of Phase One.</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No regulatory reporting capability can go live in production until it has been validated against at least one complete real reporting cycle in a parallel testing environment and signed off by the relevant regulatory affairs coordinator and, where applicable, reviewed by the relevant regulatory authority.</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NBH cannot decommission AquaManager until a minimum of three months of parallel running has confirmed data parity between AquaManager and the new platform's biomass and stock management capability. Vendors should plan for AquaManager licence costs to continue through this period.</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The Faroese and Canadian deployments are dependent on Phase Two delivery; NBH's Faroese and Canadian operations will continue on their current systems during Phase One. Vendors must ensure that no Phase One design decisions create architectural constraints that will make Phase Two multi-jurisdiction deployment materially more complex.</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NBH's Technology and Digital team does not have capacity to lead more than one major workstream in parallel. The vendor's programme management must accommodate this constraint in scheduling discovery, design, build, and UAT activities.</w:t>
      </w:r>
    </w:p>
    <w:p>
      <w:pPr>
        <w:pStyle w:val="Heading2"/>
        <w:pBdr>
          <w:bottom w:val="single" w:color="0C6B6B" w:sz="6"/>
        </w:pBdr>
        <w:spacing w:after="120" w:before="300"/>
      </w:pPr>
      <w:r>
        <w:rPr>
          <w:rFonts w:ascii="Arial" w:cs="Arial" w:eastAsia="Arial" w:hAnsi="Arial"/>
          <w:b/>
          <w:bCs/>
          <w:color w:val="0C6B6B"/>
          <w:sz w:val="28"/>
          <w:szCs w:val="28"/>
        </w:rPr>
        <w:t xml:space="preserve">13.3   External Dependencies</w:t>
      </w:r>
    </w:p>
    <w:p>
      <w:pPr>
        <w:spacing w:after="100" w:before="80" w:line="276"/>
        <w:jc w:val="left"/>
      </w:pPr>
      <w:r>
        <w:rPr>
          <w:rFonts w:ascii="Arial" w:cs="Arial" w:eastAsia="Arial" w:hAnsi="Arial"/>
          <w:b w:val="false"/>
          <w:bCs w:val="false"/>
          <w:i w:val="false"/>
          <w:iCs w:val="false"/>
          <w:color w:val="1C2226"/>
          <w:sz w:val="22"/>
          <w:szCs w:val="22"/>
        </w:rPr>
        <w:t xml:space="preserve">The following external dependencies are not within NBH's or the vendor's direct control and should be reflected in programme risk registers:</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Changes to Norwegian, Faroese, or Canadian regulatory reporting requirements, schemas, or submission systems. NBH monitors regulatory consultation processes in all jurisdictions and will provide advance warning where possible, but cannot guarantee stability in these requirements over a three-year programme horizon.</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Changes to third-party API specifications for integrated systems including FishTalk, ScaleAQ, Navico, and Aquabyte. NBH will use commercially reasonable efforts to maintain API access agreements and will flag known or anticipated changes as early as possible.</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BarentsWatch API availability and data quality. BarentsWatch is a Norwegian government open data platform and NBH has no contractual relationship governing its availability. The platform design should accommodate the possibility of BarentsWatch data being temporarily or permanently unavailable.</w:t>
      </w:r>
    </w:p>
    <w:p>
      <w:pPr>
        <w:pStyle w:val="ListParagraph"/>
        <w:numPr>
          <w:ilvl w:val="0"/>
          <w:numId w:val="2"/>
        </w:numPr>
        <w:spacing w:after="50" w:before="50" w:line="276"/>
      </w:pPr>
      <w:r>
        <w:rPr>
          <w:rFonts w:ascii="Arial" w:cs="Arial" w:eastAsia="Arial" w:hAnsi="Arial"/>
          <w:b w:val="false"/>
          <w:bCs w:val="false"/>
          <w:color w:val="1C2226"/>
          <w:sz w:val="22"/>
          <w:szCs w:val="22"/>
        </w:rPr>
        <w:t xml:space="preserve">Microsoft Azure service availability and Azure Entra ID authentication service availability, which underpin the platform's identity management and, in some architectures, data processing pipelines.</w:t>
      </w:r>
    </w:p>
    <w:p>
      <w:r>
        <w:br w:type="page"/>
      </w:r>
    </w:p>
    <w:p>
      <w:pPr>
        <w:pStyle w:val="Heading1"/>
        <w:spacing w:after="160" w:before="400"/>
      </w:pPr>
      <w:r>
        <w:rPr>
          <w:rFonts w:ascii="Arial" w:cs="Arial" w:eastAsia="Arial" w:hAnsi="Arial"/>
          <w:b/>
          <w:bCs/>
          <w:color w:val="0A2E52"/>
          <w:sz w:val="38"/>
          <w:szCs w:val="38"/>
        </w:rPr>
        <w:t xml:space="preserve">14.  Appendices</w:t>
      </w:r>
    </w:p>
    <w:p>
      <w:pPr>
        <w:pStyle w:val="Heading2"/>
        <w:pBdr>
          <w:bottom w:val="single" w:color="0C6B6B" w:sz="6"/>
        </w:pBdr>
        <w:spacing w:after="120" w:before="300"/>
      </w:pPr>
      <w:r>
        <w:rPr>
          <w:rFonts w:ascii="Arial" w:cs="Arial" w:eastAsia="Arial" w:hAnsi="Arial"/>
          <w:b/>
          <w:bCs/>
          <w:color w:val="0C6B6B"/>
          <w:sz w:val="28"/>
          <w:szCs w:val="28"/>
        </w:rPr>
        <w:t xml:space="preserve">Appendix A — Summary of Current State Assessment Key Findings</w:t>
      </w:r>
    </w:p>
    <w:p>
      <w:pPr>
        <w:spacing w:after="100" w:before="80" w:line="276"/>
        <w:jc w:val="left"/>
      </w:pPr>
      <w:r>
        <w:rPr>
          <w:rFonts w:ascii="Arial" w:cs="Arial" w:eastAsia="Arial" w:hAnsi="Arial"/>
          <w:b w:val="false"/>
          <w:bCs w:val="false"/>
          <w:i w:val="false"/>
          <w:iCs w:val="false"/>
          <w:color w:val="1C2226"/>
          <w:sz w:val="22"/>
          <w:szCs w:val="22"/>
        </w:rPr>
        <w:t xml:space="preserve">The findings below represent a distillation of the most significant themes from the sixty-seven structured interviews, eight site observation sessions, and ninety-four survey responses collected between October 2024 and January 2025. This summary is provided to assist vendors in understanding the operational context in sufficient depth to prepare a meaningful proposal. The complete anonymised CSA report, including individual interview notes, time-in-task study findings, and the quantitative survey instrument and response data, is available to shortlisted vendors under non-disclosure agreement.</w:t>
      </w:r>
    </w:p>
    <w:p>
      <w:pPr>
        <w:spacing w:after="60" w:before="180"/>
      </w:pPr>
      <w:r>
        <w:rPr>
          <w:rFonts w:ascii="Arial" w:cs="Arial" w:eastAsia="Arial" w:hAnsi="Arial"/>
          <w:b/>
          <w:bCs/>
          <w:i/>
          <w:iCs/>
          <w:color w:val="0C6B6B"/>
          <w:sz w:val="22"/>
          <w:szCs w:val="22"/>
        </w:rPr>
        <w:t xml:space="preserve">Finding A.1 — Data Entry Burden is the Single Largest Contributor to Job Dissatisfaction</w:t>
      </w:r>
    </w:p>
    <w:p>
      <w:pPr>
        <w:spacing w:after="100" w:before="80" w:line="276"/>
        <w:ind w:left="360"/>
        <w:jc w:val="left"/>
      </w:pPr>
      <w:r>
        <w:rPr>
          <w:rFonts w:ascii="Arial" w:cs="Arial" w:eastAsia="Arial" w:hAnsi="Arial"/>
          <w:b w:val="false"/>
          <w:bCs w:val="false"/>
          <w:i w:val="false"/>
          <w:iCs w:val="false"/>
          <w:color w:val="1C2226"/>
          <w:sz w:val="22"/>
          <w:szCs w:val="22"/>
        </w:rPr>
        <w:t xml:space="preserve">Across all interviewed role types, the volume and duplication of manual data entry was identified as the most significant negative aspect of current working conditions. Site managers described entering the same mortality and feeding data into an average of 2.8 different systems per event. Fish health coordinators described their weekly lice compilation process as "taking an entire working day that should be spent on farms." Cage operators described paper forms that get wet and lost, and the anxiety of knowing that data entered into a notebook may never reach the system it is supposed to reach.</w:t>
      </w:r>
    </w:p>
    <w:p>
      <w:pPr>
        <w:spacing w:after="60" w:before="180"/>
      </w:pPr>
      <w:r>
        <w:rPr>
          <w:rFonts w:ascii="Arial" w:cs="Arial" w:eastAsia="Arial" w:hAnsi="Arial"/>
          <w:b/>
          <w:bCs/>
          <w:i/>
          <w:iCs/>
          <w:color w:val="0C6B6B"/>
          <w:sz w:val="22"/>
          <w:szCs w:val="22"/>
        </w:rPr>
        <w:t xml:space="preserve">Finding A.2 — Connectivity Anxiety Shapes Every Field Technology Decision</w:t>
      </w:r>
    </w:p>
    <w:p>
      <w:pPr>
        <w:spacing w:after="100" w:before="80" w:line="276"/>
        <w:ind w:left="360"/>
        <w:jc w:val="left"/>
      </w:pPr>
      <w:r>
        <w:rPr>
          <w:rFonts w:ascii="Arial" w:cs="Arial" w:eastAsia="Arial" w:hAnsi="Arial"/>
          <w:b w:val="false"/>
          <w:bCs w:val="false"/>
          <w:i w:val="false"/>
          <w:iCs w:val="false"/>
          <w:color w:val="1C2226"/>
          <w:sz w:val="22"/>
          <w:szCs w:val="22"/>
        </w:rPr>
        <w:t xml:space="preserve">Without exception, every site manager and cage operator interviewed raised connectivity as a primary design requirement for any new mobile tool. Multiple interviewees had direct experience of a previous system that "stopped working at sea" and were sceptical that a new system would be any different. Several site managers had independently created offline-capable personal workarounds — using phone notes or voice memos to capture data on the water, then transcribing it at the shore station — indicating both the severity of the problem and the adaptability of the workforce.</w:t>
      </w:r>
    </w:p>
    <w:p>
      <w:pPr>
        <w:spacing w:after="60" w:before="180"/>
      </w:pPr>
      <w:r>
        <w:rPr>
          <w:rFonts w:ascii="Arial" w:cs="Arial" w:eastAsia="Arial" w:hAnsi="Arial"/>
          <w:b/>
          <w:bCs/>
          <w:i/>
          <w:iCs/>
          <w:color w:val="0C6B6B"/>
          <w:sz w:val="22"/>
          <w:szCs w:val="22"/>
        </w:rPr>
        <w:t xml:space="preserve">Finding A.3 — Biological Decision-Making is Constrained by Data Latency</w:t>
      </w:r>
    </w:p>
    <w:p>
      <w:pPr>
        <w:spacing w:after="100" w:before="80" w:line="276"/>
        <w:ind w:left="360"/>
        <w:jc w:val="left"/>
      </w:pPr>
      <w:r>
        <w:rPr>
          <w:rFonts w:ascii="Arial" w:cs="Arial" w:eastAsia="Arial" w:hAnsi="Arial"/>
          <w:b w:val="false"/>
          <w:bCs w:val="false"/>
          <w:i w:val="false"/>
          <w:iCs w:val="false"/>
          <w:color w:val="1C2226"/>
          <w:sz w:val="22"/>
          <w:szCs w:val="22"/>
        </w:rPr>
        <w:t xml:space="preserve">The fish health coordinators and the Chief Farming Officer were aligned in describing the most strategically costly problem as the gap between biological events occurring and the data describing those events becoming visible to decision-makers. In the case of sea lice, this gap averages five to seven days. In the case of mortality trends, it averages seven to ten days. In both cases, decision-makers described making treatment or management decisions later than they should, resulting in higher treatment costs, greater fish welfare impact, and increased regulatory scrutiny.</w:t>
      </w:r>
    </w:p>
    <w:p>
      <w:pPr>
        <w:spacing w:after="60" w:before="180"/>
      </w:pPr>
      <w:r>
        <w:rPr>
          <w:rFonts w:ascii="Arial" w:cs="Arial" w:eastAsia="Arial" w:hAnsi="Arial"/>
          <w:b/>
          <w:bCs/>
          <w:i/>
          <w:iCs/>
          <w:color w:val="0C6B6B"/>
          <w:sz w:val="22"/>
          <w:szCs w:val="22"/>
        </w:rPr>
        <w:t xml:space="preserve">Finding A.4 — Biomass Uncertainty Creates Downstream Commercial Risk</w:t>
      </w:r>
    </w:p>
    <w:p>
      <w:pPr>
        <w:spacing w:after="100" w:before="80" w:line="276"/>
        <w:ind w:left="360"/>
        <w:jc w:val="left"/>
      </w:pPr>
      <w:r>
        <w:rPr>
          <w:rFonts w:ascii="Arial" w:cs="Arial" w:eastAsia="Arial" w:hAnsi="Arial"/>
          <w:b w:val="false"/>
          <w:bCs w:val="false"/>
          <w:i w:val="false"/>
          <w:iCs w:val="false"/>
          <w:color w:val="1C2226"/>
          <w:sz w:val="22"/>
          <w:szCs w:val="22"/>
        </w:rPr>
        <w:t xml:space="preserve">Supply chain planners and the finance team expressed consistent frustration about the quality of biomass forecasts available for commercial planning purposes. The supply chain planning function described having to apply informal correction factors to AquaManager biomass outputs based on accumulated site-specific knowledge — an informal system that works reasonably well when experienced planners are in post but collapses when those planners leave or change roles. Two supply chain planners with combined tenure of twenty-six years will retire in 2026, creating urgency around encoding this tacit knowledge in structured system logic.</w:t>
      </w:r>
    </w:p>
    <w:p>
      <w:pPr>
        <w:spacing w:after="60" w:before="180"/>
      </w:pPr>
      <w:r>
        <w:rPr>
          <w:rFonts w:ascii="Arial" w:cs="Arial" w:eastAsia="Arial" w:hAnsi="Arial"/>
          <w:b/>
          <w:bCs/>
          <w:i/>
          <w:iCs/>
          <w:color w:val="0C6B6B"/>
          <w:sz w:val="22"/>
          <w:szCs w:val="22"/>
        </w:rPr>
        <w:t xml:space="preserve">Finding A.5 — Regulatory Affairs Coordinators Are Operating at System Capacity</w:t>
      </w:r>
    </w:p>
    <w:p>
      <w:pPr>
        <w:spacing w:after="100" w:before="80" w:line="276"/>
        <w:ind w:left="360"/>
        <w:jc w:val="left"/>
      </w:pPr>
      <w:r>
        <w:rPr>
          <w:rFonts w:ascii="Arial" w:cs="Arial" w:eastAsia="Arial" w:hAnsi="Arial"/>
          <w:b w:val="false"/>
          <w:bCs w:val="false"/>
          <w:i w:val="false"/>
          <w:iCs w:val="false"/>
          <w:color w:val="1C2226"/>
          <w:sz w:val="22"/>
          <w:szCs w:val="22"/>
        </w:rPr>
        <w:t xml:space="preserve">The three regulatory affairs coordinators participated in the most candid interviews of the CSA process. All three described their current workload as unsustainable at the Company's current site count and expressed serious concern about their ability to maintain compliance quality if the estate grows further, as planned, without a structural change to the data management infrastructure supporting their work. One coordinator, who has been with NBH for nine years, stated that she is "one staffing gap away from a significant compliance failure."</w:t>
      </w:r>
    </w:p>
    <w:p>
      <w:pPr>
        <w:spacing w:after="60" w:before="180"/>
      </w:pPr>
      <w:r>
        <w:rPr>
          <w:rFonts w:ascii="Arial" w:cs="Arial" w:eastAsia="Arial" w:hAnsi="Arial"/>
          <w:b/>
          <w:bCs/>
          <w:i/>
          <w:iCs/>
          <w:color w:val="0C6B6B"/>
          <w:sz w:val="22"/>
          <w:szCs w:val="22"/>
        </w:rPr>
        <w:t xml:space="preserve">Finding A.6 — Management Has Inadequate Visibility of Operational Performance</w:t>
      </w:r>
    </w:p>
    <w:p>
      <w:pPr>
        <w:spacing w:after="100" w:before="80" w:line="276"/>
        <w:ind w:left="360"/>
        <w:jc w:val="left"/>
      </w:pPr>
      <w:r>
        <w:rPr>
          <w:rFonts w:ascii="Arial" w:cs="Arial" w:eastAsia="Arial" w:hAnsi="Arial"/>
          <w:b w:val="false"/>
          <w:bCs w:val="false"/>
          <w:i w:val="false"/>
          <w:iCs w:val="false"/>
          <w:color w:val="1C2226"/>
          <w:sz w:val="22"/>
          <w:szCs w:val="22"/>
        </w:rPr>
        <w:t xml:space="preserve">Regional farming managers and the Chief Farming Officer described a reporting environment characterised by delay, inconsistency, and manual effort. The standard monthly performance report for the CFO-Ops takes approximately eighteen hours of staff time to compile across the regional managers and takes a further two days to aggregate at divisional level. By the time the report is presented at the monthly operations review, the data it contains is already four to five weeks old. Decisions made in the monthly review based on this data are therefore responding to a state of operations that may have changed materially.</w:t>
      </w:r>
    </w:p>
    <w:p>
      <w:pPr>
        <w:pStyle w:val="Heading2"/>
        <w:pBdr>
          <w:bottom w:val="single" w:color="0C6B6B" w:sz="6"/>
        </w:pBdr>
        <w:spacing w:after="120" w:before="300"/>
      </w:pPr>
      <w:r>
        <w:rPr>
          <w:rFonts w:ascii="Arial" w:cs="Arial" w:eastAsia="Arial" w:hAnsi="Arial"/>
          <w:b/>
          <w:bCs/>
          <w:color w:val="0C6B6B"/>
          <w:sz w:val="28"/>
          <w:szCs w:val="28"/>
        </w:rPr>
        <w:t xml:space="preserve">Appendix B — Site Register Overview</w:t>
      </w:r>
    </w:p>
    <w:p>
      <w:pPr>
        <w:spacing w:after="100" w:before="80" w:line="276"/>
        <w:jc w:val="left"/>
      </w:pPr>
      <w:r>
        <w:rPr>
          <w:rFonts w:ascii="Arial" w:cs="Arial" w:eastAsia="Arial" w:hAnsi="Arial"/>
          <w:b w:val="false"/>
          <w:bCs w:val="false"/>
          <w:i w:val="false"/>
          <w:iCs w:val="false"/>
          <w:color w:val="1C2226"/>
          <w:sz w:val="22"/>
          <w:szCs w:val="22"/>
        </w:rPr>
        <w:t xml:space="preserve">The following table provides a summary overview of NBH's active farming estate. A complete site register including GPS coordinates, exact licence numbers, current production cycle status, cohort details, biomass data, and regulatory authority contact information is available to shortlisted vendors under non-disclosure agreement and subject to the signing of NBH's standard confidentiality undertaking.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600"/>
        <w:gridCol w:w="1200"/>
        <w:gridCol w:w="1560"/>
        <w:gridCol w:w="1800"/>
      </w:tblGrid>
      <w:tr>
        <w:tc>
          <w:tcPr>
            <w:tcW w:type="dxa" w:w="10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Code</w:t>
            </w:r>
          </w:p>
        </w:tc>
        <w:tc>
          <w:tcPr>
            <w:tcW w:type="dxa" w:w="22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Site Name</w:t>
            </w:r>
          </w:p>
        </w:tc>
        <w:tc>
          <w:tcPr>
            <w:tcW w:type="dxa" w:w="16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Region</w:t>
            </w:r>
          </w:p>
        </w:tc>
        <w:tc>
          <w:tcPr>
            <w:tcW w:type="dxa" w:w="12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Type</w:t>
            </w:r>
          </w:p>
        </w:tc>
        <w:tc>
          <w:tcPr>
            <w:tcW w:type="dxa" w:w="156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MTB Licence</w:t>
            </w:r>
          </w:p>
        </w:tc>
        <w:tc>
          <w:tcPr>
            <w:tcW w:type="dxa" w:w="18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Current Status</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RC-01</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Utsira Nord Alpha</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Rogaland, NO</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2,340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Cycle 3 of 3</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RC-02</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Utsira Nord Beta</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Rogaland, NO</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2,340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Cycle 2 of 3</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RC-03</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Karmøy Vest</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Rogaland, NO</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1,980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Fallowing — resumes Oct 2025</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RC-04</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Sletta Nord</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Rogaland, NO</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2,100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Cycle 1 of 2</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RC-05</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Boknafjord Ytre</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Rogaland, NO</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2,600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Cycle 2 of 3</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RC-06</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Vindafjord Sør</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Rogaland, NO</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1,800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Cycle 1 of 2</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RC-07</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Sunnhordland Alpha</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Hordaland, NO</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2,200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Cycle 3 of 3</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RC-08</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Hardangerfjord Ytre</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Hordaland, NO</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1,980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Cycle 2 of 2</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RC-09</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Fensfjord Nord</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Hordaland, NO</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2,100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Fallowing — resumes Jan 2026</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NN-01</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Vefsn Alpha</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Nordland, NO</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1,800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Cycle 2 of 2</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NN-02</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Rødøy Vest</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Nordland, NO</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2,100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Cycle 1 of 2</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NN-03</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Meløy Nord</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Nordland, NO</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1,980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Cycle 3 of 3</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NN-04</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Tysfjord Alpha</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Nordland, NO</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2,100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Cycle 2 of 2</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NN-05</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Lofoten Ytre</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Nordland, NO</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2,400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Fallowing — resumes Mar 2026</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NN-06</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Hadsel Sør</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Nordland, NO</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1,980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Cycle 1 of 2</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NN-07</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Ibestad Alpha</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Troms, NO</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1,800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Cycle 2 of 2</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NN-08</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Lenvik Vest</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Troms, NO</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2,100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Cycle 1 of 2</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NN-09</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Steigen Outer</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Nordland, NO</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1,800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Cycle 3 of 3</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NN-10</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Sørreisa Beta</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Troms, NO</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2,340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Cycle 2 of 2</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NN-11</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Kvænangen Nord</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Troms, NO</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1,980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Fallowing — resumes Feb 2026</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FO-01</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Vágur North</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Faroe Islands</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3,200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Cycle 2 of 2</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FO-02</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Vágur South</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Faroe Islands</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3,200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Cycle 1 of 2</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FO-03</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Hvalba Outer</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Faroe Islands</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2,800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Cycle 2 of 2</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FO-04</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Sandvík Alpha</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Faroe Islands</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2,600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Fallowing — resumes Jul 2025</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FO-05</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Klaksvík Ytre</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Faroe Islands</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2,400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Cycle 1 of 2</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FO-06</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Eiðisvatn Sør</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Faroe Islands</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2,200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Cycle 3 of 3</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FO-07</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Funningsfjørður</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Faroe Islands</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2,800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Cycle 2 of 2</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CA-01</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Lime Kiln Bay</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New Brunswick, CA</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1,500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Cycle 2 of 2</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CA-02</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Letang Inlet West</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New Brunswick, CA</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1,200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Cycle 1 of 2</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CA-03</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Deer Island North</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New Brunswick, CA</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1,500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Fallowing — resumes Apr 2025</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CA-04</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Passamaquoddy Bay</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New Brunswick, CA</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1,200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Cycle 2 of 2</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CA-05</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Oak Bay East</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Nova Scotia, CA</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1,800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Cycle 1 of 2</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CA-06</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Mahone Bay Inner</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Nova Scotia, CA</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1,500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Cycle 2 of 2</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RAS-01</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Jæren RAS Facility</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Rogaland, NO</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RAS</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4,200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3 cohorts</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RAS-02</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Hordaland RAS Facility</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Hordaland, NO</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RAS</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3,800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2 cohorts — Phase 2 expansion ongoing</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RAS-03</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Nordland RAS Facility</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Nordland, NO</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RAS</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2,400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1 cohort</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RAS-04</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New Brunswick RAS</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New Brunswick, CA</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RAS</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1,600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2 cohorts</w:t>
            </w:r>
          </w:p>
        </w:tc>
      </w:tr>
      <w:tr>
        <w:tc>
          <w:tcPr>
            <w:tcW w:type="dxa" w:w="1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TR-01</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Rainbow Trout — Jæren Fjord</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Rogaland, NO</w:t>
            </w:r>
          </w:p>
        </w:tc>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Sea Cage (trout)</w:t>
            </w:r>
          </w:p>
        </w:tc>
        <w:tc>
          <w:tcPr>
            <w:tcW w:type="dxa" w:w="1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right"/>
            </w:pPr>
            <w:r>
              <w:rPr>
                <w:rFonts w:ascii="Arial" w:cs="Arial" w:eastAsia="Arial" w:hAnsi="Arial"/>
                <w:b w:val="false"/>
                <w:bCs w:val="false"/>
                <w:i w:val="false"/>
                <w:iCs w:val="false"/>
                <w:color w:val="1C2226"/>
                <w:sz w:val="20"/>
                <w:szCs w:val="20"/>
              </w:rPr>
              <w:t xml:space="preserve">1,200 t</w:t>
            </w:r>
          </w:p>
        </w:tc>
        <w:tc>
          <w:tcPr>
            <w:tcW w:type="dxa" w:w="1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Active, annual cycle</w:t>
            </w:r>
          </w:p>
        </w:tc>
      </w:tr>
    </w:tbl>
    <w:p>
      <w:pPr>
        <w:pStyle w:val="Heading2"/>
        <w:pBdr>
          <w:bottom w:val="single" w:color="0C6B6B" w:sz="6"/>
        </w:pBdr>
        <w:spacing w:after="120" w:before="300"/>
      </w:pPr>
      <w:r>
        <w:rPr>
          <w:rFonts w:ascii="Arial" w:cs="Arial" w:eastAsia="Arial" w:hAnsi="Arial"/>
          <w:b/>
          <w:bCs/>
          <w:color w:val="0C6B6B"/>
          <w:sz w:val="28"/>
          <w:szCs w:val="28"/>
        </w:rPr>
        <w:t xml:space="preserve">Appendix C — Key Personnel Directory</w:t>
      </w:r>
    </w:p>
    <w:p>
      <w:pPr>
        <w:spacing w:after="100" w:before="80" w:line="276"/>
        <w:jc w:val="left"/>
      </w:pPr>
      <w:r>
        <w:rPr>
          <w:rFonts w:ascii="Arial" w:cs="Arial" w:eastAsia="Arial" w:hAnsi="Arial"/>
          <w:b w:val="false"/>
          <w:bCs w:val="false"/>
          <w:i w:val="false"/>
          <w:iCs w:val="false"/>
          <w:color w:val="1C2226"/>
          <w:sz w:val="22"/>
          <w:szCs w:val="22"/>
        </w:rPr>
        <w:t xml:space="preserve">The following individuals are relevant contacts for the purposes of this procurement. Vendors should direct all procurement queries to the primary contact listed on the cover page and must not contact other NBH personnel directly during the RFP process without prior authorisation.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Name and Title</w:t>
            </w:r>
          </w:p>
        </w:tc>
        <w:tc>
          <w:tcPr>
            <w:tcW w:type="dxa" w:w="22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Function</w:t>
            </w:r>
          </w:p>
        </w:tc>
        <w:tc>
          <w:tcPr>
            <w:tcW w:type="dxa" w:w="456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Role in Programme</w:t>
            </w:r>
          </w:p>
        </w:tc>
      </w:tr>
      <w:tr>
        <w:tc>
          <w:tcPr>
            <w:tcW w:type="dxa" w:w="2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Einar Thorvaldsen, Chief Executive Officer</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Group Executive</w:t>
            </w:r>
          </w:p>
        </w:tc>
        <w:tc>
          <w:tcPr>
            <w:tcW w:type="dxa" w:w="4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Programme Steering Committee Chair; ultimate approval authority for contract award above NOK 20 million.</w:t>
            </w:r>
          </w:p>
        </w:tc>
      </w:tr>
      <w:tr>
        <w:tc>
          <w:tcPr>
            <w:tcW w:type="dxa" w:w="2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Sigrid Halvorsen, VP Product &amp; Technology</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Technology &amp; Digital</w:t>
            </w:r>
          </w:p>
        </w:tc>
        <w:tc>
          <w:tcPr>
            <w:tcW w:type="dxa" w:w="4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Programme Sponsor; RFP primary contact; will lead vendor evaluation and commercial negotiation.</w:t>
            </w:r>
          </w:p>
        </w:tc>
      </w:tr>
      <w:tr>
        <w:tc>
          <w:tcPr>
            <w:tcW w:type="dxa" w:w="2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Dr. Petter Lindqvist, Chief Farming Officer</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Farming Division</w:t>
            </w:r>
          </w:p>
        </w:tc>
        <w:tc>
          <w:tcPr>
            <w:tcW w:type="dxa" w:w="4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Operational requirements authority; Phase One and Phase Two operational acceptance sign-off; sponsor of health and feeding module design.</w:t>
            </w:r>
          </w:p>
        </w:tc>
      </w:tr>
      <w:tr>
        <w:tc>
          <w:tcPr>
            <w:tcW w:type="dxa" w:w="2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Kristian Nygaard, Chief Financial Officer</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Finance</w:t>
            </w:r>
          </w:p>
        </w:tc>
        <w:tc>
          <w:tcPr>
            <w:tcW w:type="dxa" w:w="4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Budget oversight; financial reporting integration requirements; programme ROI accountability.</w:t>
            </w:r>
          </w:p>
        </w:tc>
      </w:tr>
      <w:tr>
        <w:tc>
          <w:tcPr>
            <w:tcW w:type="dxa" w:w="2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Helene Krogh, Enterprise Architect</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Technology &amp; Digital</w:t>
            </w:r>
          </w:p>
        </w:tc>
        <w:tc>
          <w:tcPr>
            <w:tcW w:type="dxa" w:w="4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Technical Design Authority lead; architecture review and approval; integration standards owner.</w:t>
            </w:r>
          </w:p>
        </w:tc>
      </w:tr>
      <w:tr>
        <w:tc>
          <w:tcPr>
            <w:tcW w:type="dxa" w:w="2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Anita Bergstrøm, VP Supply Chain</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Processing &amp; Supply Chain</w:t>
            </w:r>
          </w:p>
        </w:tc>
        <w:tc>
          <w:tcPr>
            <w:tcW w:type="dxa" w:w="4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Supply chain and harvest planning requirements; integration with processing operations.</w:t>
            </w:r>
          </w:p>
        </w:tc>
      </w:tr>
      <w:tr>
        <w:tc>
          <w:tcPr>
            <w:tcW w:type="dxa" w:w="2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Dr. Ingeborg Dahl, Head of Fish Health</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Farming Division</w:t>
            </w:r>
          </w:p>
        </w:tc>
        <w:tc>
          <w:tcPr>
            <w:tcW w:type="dxa" w:w="4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Fish health, sea lice, and veterinary compliance requirements; health module design authority.</w:t>
            </w:r>
          </w:p>
        </w:tc>
      </w:tr>
      <w:tr>
        <w:tc>
          <w:tcPr>
            <w:tcW w:type="dxa" w:w="2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Håkon Berg, Head of IT Operations</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Technology &amp; Digital</w:t>
            </w:r>
          </w:p>
        </w:tc>
        <w:tc>
          <w:tcPr>
            <w:tcW w:type="dxa" w:w="4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Infrastructure, security, and network requirements; Azure environment management.</w:t>
            </w:r>
          </w:p>
        </w:tc>
      </w:tr>
      <w:tr>
        <w:tc>
          <w:tcPr>
            <w:tcW w:type="dxa" w:w="2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Lars Eriksen, Head of Data &amp; Analytics</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Technology &amp; Digital</w:t>
            </w:r>
          </w:p>
        </w:tc>
        <w:tc>
          <w:tcPr>
            <w:tcW w:type="dxa" w:w="4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Snowflake integration; analytics requirements; data governance.</w:t>
            </w:r>
          </w:p>
        </w:tc>
      </w:tr>
      <w:tr>
        <w:tc>
          <w:tcPr>
            <w:tcW w:type="dxa" w:w="2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Ragnhild Sørensen, Regulatory Affairs Manager</w:t>
            </w:r>
          </w:p>
        </w:tc>
        <w:tc>
          <w:tcPr>
            <w:tcW w:type="dxa" w:w="2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Corporate</w:t>
            </w:r>
          </w:p>
        </w:tc>
        <w:tc>
          <w:tcPr>
            <w:tcW w:type="dxa" w:w="45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Compliance reporting requirements across all three jurisdictions; regulatory authority liaison.</w:t>
            </w:r>
          </w:p>
        </w:tc>
      </w:tr>
    </w:tbl>
    <w:p>
      <w:pPr>
        <w:pStyle w:val="Heading2"/>
        <w:pBdr>
          <w:bottom w:val="single" w:color="0C6B6B" w:sz="6"/>
        </w:pBdr>
        <w:spacing w:after="120" w:before="300"/>
      </w:pPr>
      <w:r>
        <w:rPr>
          <w:rFonts w:ascii="Arial" w:cs="Arial" w:eastAsia="Arial" w:hAnsi="Arial"/>
          <w:b/>
          <w:bCs/>
          <w:color w:val="0C6B6B"/>
          <w:sz w:val="28"/>
          <w:szCs w:val="28"/>
        </w:rPr>
        <w:t xml:space="preserve">Appendix D — Glossary of Industry and Company Terminology</w:t>
      </w:r>
    </w:p>
    <w:p>
      <w:pPr>
        <w:spacing w:after="100" w:before="80" w:line="276"/>
        <w:jc w:val="left"/>
      </w:pPr>
      <w:r>
        <w:rPr>
          <w:rFonts w:ascii="Arial" w:cs="Arial" w:eastAsia="Arial" w:hAnsi="Arial"/>
          <w:b w:val="false"/>
          <w:bCs w:val="false"/>
          <w:i w:val="false"/>
          <w:iCs w:val="false"/>
          <w:color w:val="1C2226"/>
          <w:sz w:val="22"/>
          <w:szCs w:val="22"/>
        </w:rPr>
        <w:t xml:space="preserve">The following glossary is provided to assist vendors who may not be fully familiar with all terms used in this document in the context of Norwegian and North Atlantic salmon farming.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Term</w:t>
            </w:r>
          </w:p>
        </w:tc>
        <w:tc>
          <w:tcPr>
            <w:tcW w:type="dxa" w:w="736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Definition as used in this document</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MTB / MTW</w:t>
            </w:r>
          </w:p>
        </w:tc>
        <w:tc>
          <w:tcPr>
            <w:tcW w:type="dxa" w:w="7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Maximum Total Biomass (the regulatory cap on live fish weight held at a site at any time) and Metric Tonnes Gutted Weight (the commercial measure of harvest volume after slaughter and gutting).</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FCR</w:t>
            </w:r>
          </w:p>
        </w:tc>
        <w:tc>
          <w:tcPr>
            <w:tcW w:type="dxa" w:w="7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Feed Conversion Ratio. The ratio of kilograms of feed delivered to kilograms of live weight gain achieved. A lower FCR indicates more efficient feed utilisation. Industry benchmark for well-managed Norwegian sites is approximately 1.05–1.15.</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Production Cycle</w:t>
            </w:r>
          </w:p>
        </w:tc>
        <w:tc>
          <w:tcPr>
            <w:tcW w:type="dxa" w:w="7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The full grow-out period from smolt transfer to sea through to harvest. For Atlantic salmon in Norwegian conditions this is typically fourteen to twenty-two months depending on smolt size, site thermal profile, and target harvest weight.</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Cohort</w:t>
            </w:r>
          </w:p>
        </w:tc>
        <w:tc>
          <w:tcPr>
            <w:tcW w:type="dxa" w:w="7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 discrete population of fish of the same species, generation, and batch origin, stocked at the same time and tracked as a unit through the production cycle. A single sea cage site may hold multiple concurrent cohorts at different growth stages.</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Smolt</w:t>
            </w:r>
          </w:p>
        </w:tc>
        <w:tc>
          <w:tcPr>
            <w:tcW w:type="dxa" w:w="7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 juvenile Atlantic salmon that has undergone the physiological transformation (smoltification) enabling it to survive and grow in seawater. NBH receives smolts at sea transfer at weights ranging from 80 to 200 grams depending on the hatchery programme.</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Fallowing</w:t>
            </w:r>
          </w:p>
        </w:tc>
        <w:tc>
          <w:tcPr>
            <w:tcW w:type="dxa" w:w="7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 mandatory rest period during which no fish are held at a sea cage site, allowing recovery of the seabed environment beneath the cages. Norwegian regulations mandate minimum fallowing periods between production cycles; the duration depends on the licence category and site classification.</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Sea Lice</w:t>
            </w:r>
          </w:p>
        </w:tc>
        <w:tc>
          <w:tcPr>
            <w:tcW w:type="dxa" w:w="7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Parasitic copepods (primarily Lepeophtheirus salmonis and Caligus elongatus) that attach to and feed on salmon skin and mucus. Sea lice management is the most regulated and commercially costly biological challenge in Norwegian Atlantic salmon farming.</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Altinn</w:t>
            </w:r>
          </w:p>
        </w:tc>
        <w:tc>
          <w:tcPr>
            <w:tcW w:type="dxa" w:w="7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The Norwegian government's centralised digital portal for mandatory public reporting and regulatory submissions, used by NBH for Fiskeridirektoratet and Mattilsynet regulatory filings.</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Fiskeridirektoratet</w:t>
            </w:r>
          </w:p>
        </w:tc>
        <w:tc>
          <w:tcPr>
            <w:tcW w:type="dxa" w:w="7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The Norwegian Directorate of Fisheries. Administers aquaculture production licences and receives monthly production reports.</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Mattilsynet</w:t>
            </w:r>
          </w:p>
        </w:tc>
        <w:tc>
          <w:tcPr>
            <w:tcW w:type="dxa" w:w="7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The Norwegian Food Safety Authority. Regulates animal health, welfare, and veterinary medicine use in Norwegian aquaculture, and receives sea lice monitoring reports and disease notifications.</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FVST</w:t>
            </w:r>
          </w:p>
        </w:tc>
        <w:tc>
          <w:tcPr>
            <w:tcW w:type="dxa" w:w="7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Fødevarestyrelsen — the Faroese Food and Veterinary Authority. Primary aquaculture health and welfare regulator in the Faroe Islands.</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DFO</w:t>
            </w:r>
          </w:p>
        </w:tc>
        <w:tc>
          <w:tcPr>
            <w:tcW w:type="dxa" w:w="7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Fisheries and Oceans Canada. Federal regulator for aquaculture licensing, sea lice reporting, and environmental monitoring in Canadian waters.</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ASC</w:t>
            </w:r>
          </w:p>
        </w:tc>
        <w:tc>
          <w:tcPr>
            <w:tcW w:type="dxa" w:w="7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Aquaculture Stewardship Council. Independent international body that sets and certifies against environmental and social standards for responsible aquaculture. ASC certification is a commercial requirement for NBH's European retail customers.</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RAS</w:t>
            </w:r>
          </w:p>
        </w:tc>
        <w:tc>
          <w:tcPr>
            <w:tcW w:type="dxa" w:w="7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Recirculating Aquaculture System. A land-based intensive farming system in which water is continuously filtered, treated, and recirculated rather than exchanged with the surrounding environment. NBH's four RAS facilities are used for grow-out of post-smolt fish before sea transfer, extending the hatchery phase and allowing smolts to be stocked at larger sizes.</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ScaleAQ</w:t>
            </w:r>
          </w:p>
        </w:tc>
        <w:tc>
          <w:tcPr>
            <w:tcW w:type="dxa" w:w="7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ScaleAQ AS, a Norwegian company providing automated feed delivery systems and feed barge infrastructure to the salmon farming industry. NBH uses ScaleAQ equipment at all of its sea cage sites.</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Aquabyte</w:t>
            </w:r>
          </w:p>
        </w:tc>
        <w:tc>
          <w:tcPr>
            <w:tcW w:type="dxa" w:w="7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Aquabyte Inc., a Norwegian-American company providing AI-powered optical monitoring cameras for salmon farms, primarily used for biomass estimation and sea lice counting via underwater camera images and machine learning models.</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BarentsWatch</w:t>
            </w:r>
          </w:p>
        </w:tc>
        <w:tc>
          <w:tcPr>
            <w:tcW w:type="dxa" w:w="7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 Norwegian government open platform providing ocean monitoring data including sea surface temperature, currents, and a compiled sea lice infestation index derived from mandatory lice reporting data.</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Withdrawal Period</w:t>
            </w:r>
          </w:p>
        </w:tc>
        <w:tc>
          <w:tcPr>
            <w:tcW w:type="dxa" w:w="7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The mandatory interval between the last administration of a veterinary medicine to farmed fish and the earliest date on which those fish may legally be harvested for human consumption. Withdrawal periods vary by product and are specified in the product marketing authorisation.</w:t>
            </w:r>
          </w:p>
        </w:tc>
      </w:tr>
      <w:tr>
        <w:tc>
          <w:tcPr>
            <w:tcW w:type="dxa" w:w="20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bCs/>
                <w:i w:val="false"/>
                <w:iCs w:val="false"/>
                <w:color w:val="1C2226"/>
                <w:sz w:val="20"/>
                <w:szCs w:val="20"/>
              </w:rPr>
              <w:t xml:space="preserve">WellBoat</w:t>
            </w:r>
          </w:p>
        </w:tc>
        <w:tc>
          <w:tcPr>
            <w:tcW w:type="dxa" w:w="73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 specialist vessel used for live fish transport in Norwegian aquaculture. Wellboats are equipped with large tanks of seawater in which salmon can be transported live over distances, primarily used for smolt transfer, treatment operations, and harvest transport.</w:t>
            </w:r>
          </w:p>
        </w:tc>
      </w:tr>
    </w:tbl>
    <w:p>
      <w:pPr>
        <w:pStyle w:val="Heading2"/>
        <w:pBdr>
          <w:bottom w:val="single" w:color="0C6B6B" w:sz="6"/>
        </w:pBdr>
        <w:spacing w:after="120" w:before="300"/>
      </w:pPr>
      <w:r>
        <w:rPr>
          <w:rFonts w:ascii="Arial" w:cs="Arial" w:eastAsia="Arial" w:hAnsi="Arial"/>
          <w:b/>
          <w:bCs/>
          <w:color w:val="0C6B6B"/>
          <w:sz w:val="28"/>
          <w:szCs w:val="28"/>
        </w:rPr>
        <w:t xml:space="preserve">Appendix E — Document Control and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3760"/>
      </w:tblGrid>
      <w:tr>
        <w:tc>
          <w:tcPr>
            <w:tcW w:type="dxa" w:w="12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Version</w:t>
            </w:r>
          </w:p>
        </w:tc>
        <w:tc>
          <w:tcPr>
            <w:tcW w:type="dxa" w:w="16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Date</w:t>
            </w:r>
          </w:p>
        </w:tc>
        <w:tc>
          <w:tcPr>
            <w:tcW w:type="dxa" w:w="280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Author</w:t>
            </w:r>
          </w:p>
        </w:tc>
        <w:tc>
          <w:tcPr>
            <w:tcW w:type="dxa" w:w="3760"/>
            <w:tcBorders>
              <w:top w:val="single" w:color="0A2E52" w:sz="1"/>
              <w:left w:val="single" w:color="0A2E52" w:sz="1"/>
              <w:bottom w:val="single" w:color="0A2E52" w:sz="1"/>
              <w:right w:val="single" w:color="0A2E52" w:sz="1"/>
            </w:tcBorders>
            <w:shd w:fill="0A2E52"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Description of Changes</w:t>
            </w:r>
          </w:p>
        </w:tc>
      </w:tr>
      <w:tr>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0.1 Draft</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8 Oct 2024</w:t>
            </w:r>
          </w:p>
        </w:tc>
        <w:tc>
          <w:tcPr>
            <w:tcW w:type="dxa" w:w="2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 Halvorsen</w:t>
            </w:r>
          </w:p>
        </w:tc>
        <w:tc>
          <w:tcPr>
            <w:tcW w:type="dxa" w:w="37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Initial document structure and scope outline prepared for internal stakeholder alignment.</w:t>
            </w:r>
          </w:p>
        </w:tc>
      </w:tr>
      <w:tr>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0.3 Draft</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5 Nov 2024</w:t>
            </w:r>
          </w:p>
        </w:tc>
        <w:tc>
          <w:tcPr>
            <w:tcW w:type="dxa" w:w="2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 Halvorsen / H. Krogh</w:t>
            </w:r>
          </w:p>
        </w:tc>
        <w:tc>
          <w:tcPr>
            <w:tcW w:type="dxa" w:w="37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Operational environment and technology landscape sections developed following CSA site visits.</w:t>
            </w:r>
          </w:p>
        </w:tc>
      </w:tr>
      <w:tr>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0.6 Draft</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12 Dec 2024</w:t>
            </w:r>
          </w:p>
        </w:tc>
        <w:tc>
          <w:tcPr>
            <w:tcW w:type="dxa" w:w="2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TechDig + Farming Division</w:t>
            </w:r>
          </w:p>
        </w:tc>
        <w:tc>
          <w:tcPr>
            <w:tcW w:type="dxa" w:w="37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First integrated draft incorporating CSA findings from interview programme. Circulated to CFO-Ops and VP Supply Chain for review.</w:t>
            </w:r>
          </w:p>
        </w:tc>
      </w:tr>
      <w:tr>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0.9 Draft</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17 Jan 2025</w:t>
            </w:r>
          </w:p>
        </w:tc>
        <w:tc>
          <w:tcPr>
            <w:tcW w:type="dxa" w:w="2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TechDig</w:t>
            </w:r>
          </w:p>
        </w:tc>
        <w:tc>
          <w:tcPr>
            <w:tcW w:type="dxa" w:w="37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Commercial framework, contractual requirements, and evaluation criteria incorporated following review by CFO and Legal.</w:t>
            </w:r>
          </w:p>
        </w:tc>
      </w:tr>
      <w:tr>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1.5 Internal Review</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6 Feb 2025</w:t>
            </w:r>
          </w:p>
        </w:tc>
        <w:tc>
          <w:tcPr>
            <w:tcW w:type="dxa" w:w="2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Full review group</w:t>
            </w:r>
          </w:p>
        </w:tc>
        <w:tc>
          <w:tcPr>
            <w:tcW w:type="dxa" w:w="37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All-stakeholder review cycle. Significant revisions to Sections 3, 4, and 11 based on feedback from Dr. Lindqvist and Kristian Nygaard.</w:t>
            </w:r>
          </w:p>
        </w:tc>
      </w:tr>
      <w:tr>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2.0 Pre-Final</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19 Feb 2025</w:t>
            </w:r>
          </w:p>
        </w:tc>
        <w:tc>
          <w:tcPr>
            <w:tcW w:type="dxa" w:w="2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 Halvorsen</w:t>
            </w:r>
          </w:p>
        </w:tc>
        <w:tc>
          <w:tcPr>
            <w:tcW w:type="dxa" w:w="37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Integrated final review comments. Submitted to CEO and CFO for programme approval.</w:t>
            </w:r>
          </w:p>
        </w:tc>
      </w:tr>
      <w:tr>
        <w:tc>
          <w:tcPr>
            <w:tcW w:type="dxa" w:w="12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3.0 Issued for Tender</w:t>
            </w:r>
          </w:p>
        </w:tc>
        <w:tc>
          <w:tcPr>
            <w:tcW w:type="dxa" w:w="16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3 Mar 2025</w:t>
            </w:r>
          </w:p>
        </w:tc>
        <w:tc>
          <w:tcPr>
            <w:tcW w:type="dxa" w:w="280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S. Halvorsen</w:t>
            </w:r>
          </w:p>
        </w:tc>
        <w:tc>
          <w:tcPr>
            <w:tcW w:type="dxa" w:w="3760"/>
            <w:tcBorders>
              <w:top w:val="single" w:color="C8D0D8" w:sz="1"/>
              <w:left w:val="single" w:color="C8D0D8" w:sz="1"/>
              <w:bottom w:val="single" w:color="C8D0D8" w:sz="1"/>
              <w:right w:val="single" w:color="C8D0D8"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C2226"/>
                <w:sz w:val="20"/>
                <w:szCs w:val="20"/>
              </w:rPr>
              <w:t xml:space="preserve">Board approval confirmed 28 February 2025. Minor editorial corrections. Issued to vendor list.</w:t>
            </w:r>
          </w:p>
        </w:tc>
      </w:tr>
    </w:tbl>
    <w:p>
      <w:pPr>
        <w:spacing w:after="80" w:before="280" w:line="276"/>
        <w:jc w:val="left"/>
      </w:pPr>
      <w:r>
        <w:rPr>
          <w:rFonts w:ascii="Arial" w:cs="Arial" w:eastAsia="Arial" w:hAnsi="Arial"/>
          <w:b w:val="false"/>
          <w:bCs w:val="false"/>
          <w:i w:val="false"/>
          <w:iCs w:val="false"/>
          <w:color w:val="1C2226"/>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E52" w:val="clear"/>
            <w:tcMar>
              <w:top w:type="dxa" w:w="200"/>
              <w:left w:type="dxa" w:w="320"/>
              <w:bottom w:type="dxa" w:w="200"/>
              <w:right w:type="dxa" w:w="320"/>
            </w:tcMar>
          </w:tcPr>
          <w:p>
            <w:pPr>
              <w:jc w:val="center"/>
            </w:pPr>
            <w:r>
              <w:rPr>
                <w:rFonts w:ascii="Arial" w:cs="Arial" w:eastAsia="Arial" w:hAnsi="Arial"/>
                <w:b/>
                <w:bCs/>
                <w:color w:val="FFFFFF"/>
                <w:sz w:val="24"/>
                <w:szCs w:val="24"/>
              </w:rPr>
              <w:t xml:space="preserve">END OF DOCUMENT</w:t>
            </w:r>
          </w:p>
          <w:p>
            <w:pPr>
              <w:jc w:val="center"/>
            </w:pPr>
            <w:r>
              <w:rPr>
                <w:rFonts w:ascii="Arial" w:cs="Arial" w:eastAsia="Arial" w:hAnsi="Arial"/>
                <w:color w:val="A3CECE"/>
                <w:sz w:val="18"/>
                <w:szCs w:val="18"/>
              </w:rPr>
              <w:t xml:space="preserve">NordicBlue Aquaculture Holdings AS  ·  NBH-RFP-2025-DIGI-004  ·  Version 3.0  ·  3 March 2025</w:t>
            </w:r>
          </w:p>
          <w:p>
            <w:pPr>
              <w:jc w:val="center"/>
            </w:pPr>
            <w:r>
              <w:rPr>
                <w:rFonts w:ascii="Arial" w:cs="Arial" w:eastAsia="Arial" w:hAnsi="Arial"/>
                <w:b/>
                <w:bCs/>
                <w:color w:val="FFB347"/>
                <w:sz w:val="18"/>
                <w:szCs w:val="18"/>
              </w:rPr>
              <w:t xml:space="preserve">CONFIDENTIAL — RESTRICTED TO INVITED RECIPIENTS ONLY</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3CECE" w:sz="4"/>
      </w:pBdr>
      <w:tabs>
        <w:tab w:val="right" w:pos="9360"/>
      </w:tabs>
      <w:spacing w:after="0" w:before="80"/>
    </w:pPr>
    <w:r>
      <w:rPr>
        <w:rFonts w:ascii="Arial" w:cs="Arial" w:eastAsia="Arial" w:hAnsi="Arial"/>
        <w:color w:val="888888"/>
        <w:sz w:val="16"/>
        <w:szCs w:val="16"/>
      </w:rPr>
      <w:t xml:space="preserve">Version 3.0 FINAL — Issued 3 March 2025</w:t>
    </w:r>
    <w:r>
      <w:rPr>
        <w:rFonts w:ascii="Arial" w:cs="Arial" w:eastAsia="Arial" w:hAnsi="Arial"/>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C6B6B" w:sz="4"/>
      </w:pBdr>
      <w:tabs>
        <w:tab w:val="right" w:pos="9360"/>
      </w:tabs>
      <w:spacing w:after="80" w:before="0"/>
    </w:pPr>
    <w:r>
      <w:rPr>
        <w:rFonts w:ascii="Arial" w:cs="Arial" w:eastAsia="Arial" w:hAnsi="Arial"/>
        <w:b/>
        <w:bCs/>
        <w:color w:val="0A2E52"/>
        <w:sz w:val="18"/>
        <w:szCs w:val="18"/>
      </w:rPr>
      <w:t xml:space="preserve">NordicBlue Aquaculture Holdings AS</w:t>
    </w:r>
    <w:r>
      <w:rPr>
        <w:rFonts w:ascii="Arial" w:cs="Arial" w:eastAsia="Arial" w:hAnsi="Arial"/>
        <w:color w:val="888888"/>
        <w:sz w:val="18"/>
        <w:szCs w:val="18"/>
      </w:rPr>
      <w:t xml:space="preserve">	Request for Proposal — NBH-RFP-2025-DIGI-004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0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2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2E52"/>
      <w:sz w:val="38"/>
      <w:szCs w:val="38"/>
    </w:rPr>
  </w:style>
  <w:style w:type="paragraph" w:styleId="Heading2">
    <w:name w:val="Heading 2"/>
    <w:basedOn w:val="Normal"/>
    <w:next w:val="Normal"/>
    <w:qFormat/>
    <w:pPr>
      <w:spacing w:after="120" w:before="300"/>
      <w:outlineLvl w:val="1"/>
    </w:pPr>
    <w:rPr>
      <w:rFonts w:ascii="Arial" w:cs="Arial" w:eastAsia="Arial" w:hAnsi="Arial"/>
      <w:b/>
      <w:bCs/>
      <w:color w:val="0C6B6B"/>
      <w:sz w:val="28"/>
      <w:szCs w:val="28"/>
    </w:rPr>
  </w:style>
  <w:style w:type="paragraph" w:styleId="Heading3">
    <w:name w:val="Heading 3"/>
    <w:basedOn w:val="Normal"/>
    <w:next w:val="Normal"/>
    <w:qFormat/>
    <w:pPr>
      <w:spacing w:after="80" w:before="220"/>
      <w:outlineLvl w:val="2"/>
    </w:pPr>
    <w:rPr>
      <w:rFonts w:ascii="Arial" w:cs="Arial" w:eastAsia="Arial" w:hAnsi="Arial"/>
      <w:b/>
      <w:bCs/>
      <w:color w:val="0A2E5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2026-03-13T22:17:57.771Z</dcterms:created>
  <dcterms:modified xsi:type="dcterms:W3CDTF">2026-03-13T22:17:57.772Z</dcterms:modified>
</cp:coreProperties>
</file>

<file path=docProps/custom.xml><?xml version="1.0" encoding="utf-8"?>
<Properties xmlns="http://schemas.openxmlformats.org/officeDocument/2006/custom-properties" xmlns:vt="http://schemas.openxmlformats.org/officeDocument/2006/docPropsVTypes"/>
</file>