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120"/>
        <w:jc w:val="center"/>
      </w:pPr>
      <w:r>
        <w:rPr>
          <w:rFonts w:ascii="Arial" w:cs="Arial" w:eastAsia="Arial" w:hAnsi="Arial"/>
          <w:b/>
          <w:bCs/>
          <w:color w:val="1B3A6B"/>
          <w:sz w:val="52"/>
          <w:szCs w:val="52"/>
        </w:rPr>
        <w:t xml:space="preserve">PROJET ALIA</w:t>
      </w:r>
    </w:p>
    <w:p>
      <w:pPr>
        <w:pBdr>
          <w:bottom w:val="single" w:color="41A0D6" w:sz="8" w:space="8"/>
        </w:pBdr>
        <w:spacing w:before="0" w:after="80"/>
        <w:jc w:val="center"/>
      </w:pPr>
      <w:r>
        <w:rPr>
          <w:rFonts w:ascii="Arial" w:cs="Arial" w:eastAsia="Arial" w:hAnsi="Arial"/>
          <w:b/>
          <w:bCs/>
          <w:color w:val="2E75B6"/>
          <w:sz w:val="36"/>
          <w:szCs w:val="36"/>
        </w:rPr>
        <w:t xml:space="preserve">Rapport Technique — DSO 1</w:t>
      </w:r>
    </w:p>
    <w:p>
      <w:pPr>
        <w:spacing w:before="200" w:after="0"/>
      </w:pPr>
      <w:r>
        <w:t xml:space="preserve"/>
      </w:r>
    </w:p>
    <w:p>
      <w:pPr>
        <w:spacing w:before="0" w:after="400"/>
        <w:jc w:val="center"/>
      </w:pPr>
      <w:r>
        <w:rPr>
          <w:rFonts w:ascii="Arial" w:cs="Arial" w:eastAsia="Arial" w:hAnsi="Arial"/>
          <w:i/>
          <w:iCs/>
          <w:color w:val="546E7A"/>
          <w:sz w:val="26"/>
          <w:szCs w:val="26"/>
        </w:rPr>
        <w:t xml:space="preserve">Modèles de Performance &amp; Détection du Langage Corporel</w:t>
      </w:r>
    </w:p>
    <w:p>
      <w:pPr>
        <w:spacing w:before="60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shd w:fill="1B3A6B" w:val="clear"/>
            <w:tcMar>
              <w:top w:type="dxa" w:w="100"/>
              <w:left w:type="dxa" w:w="160"/>
              <w:bottom w:type="dxa" w:w="100"/>
              <w:right w:type="dxa" w:w="120"/>
            </w:tcMar>
          </w:tcPr>
          <w:p>
            <w:r>
              <w:rPr>
                <w:rFonts w:ascii="Arial" w:cs="Arial" w:eastAsia="Arial" w:hAnsi="Arial"/>
                <w:b/>
                <w:bCs/>
                <w:color w:val="FFFFFF"/>
                <w:sz w:val="20"/>
                <w:szCs w:val="20"/>
              </w:rPr>
              <w:t xml:space="preserve">Projet</w:t>
            </w:r>
          </w:p>
        </w:tc>
        <w:tc>
          <w:tcPr>
            <w:tcW w:type="dxa" w:w="3600"/>
            <w:tcBorders>
              <w:top w:val="none" w:color="FFFFFF" w:sz="0"/>
              <w:left w:val="none" w:color="FFFFFF" w:sz="0"/>
              <w:bottom w:val="none" w:color="FFFFFF" w:sz="0"/>
              <w:right w:val="none" w:color="FFFFFF" w:sz="0"/>
            </w:tcBorders>
            <w:shd w:fill="EBF3FB" w:val="clear"/>
            <w:tcMar>
              <w:top w:type="dxa" w:w="100"/>
              <w:left w:type="dxa" w:w="160"/>
              <w:bottom w:type="dxa" w:w="100"/>
              <w:right w:type="dxa" w:w="120"/>
            </w:tcMar>
          </w:tcPr>
          <w:p>
            <w:r>
              <w:rPr>
                <w:rFonts w:ascii="Arial" w:cs="Arial" w:eastAsia="Arial" w:hAnsi="Arial"/>
                <w:color w:val="222222"/>
                <w:sz w:val="20"/>
                <w:szCs w:val="20"/>
              </w:rPr>
              <w:t xml:space="preserve">ALIA — Avatar Pharmaceutique Intelligent</w:t>
            </w:r>
          </w:p>
        </w:tc>
      </w:tr>
      <w:tr>
        <w:tc>
          <w:tcPr>
            <w:tcW w:type="dxa" w:w="2400"/>
            <w:tcBorders>
              <w:top w:val="none" w:color="FFFFFF" w:sz="0"/>
              <w:left w:val="none" w:color="FFFFFF" w:sz="0"/>
              <w:bottom w:val="none" w:color="FFFFFF" w:sz="0"/>
              <w:right w:val="none" w:color="FFFFFF" w:sz="0"/>
            </w:tcBorders>
            <w:shd w:fill="1B3A6B" w:val="clear"/>
            <w:tcMar>
              <w:top w:type="dxa" w:w="100"/>
              <w:left w:type="dxa" w:w="160"/>
              <w:bottom w:type="dxa" w:w="100"/>
              <w:right w:type="dxa" w:w="120"/>
            </w:tcMar>
          </w:tcPr>
          <w:p>
            <w:r>
              <w:rPr>
                <w:rFonts w:ascii="Arial" w:cs="Arial" w:eastAsia="Arial" w:hAnsi="Arial"/>
                <w:b/>
                <w:bCs/>
                <w:color w:val="FFFFFF"/>
                <w:sz w:val="20"/>
                <w:szCs w:val="20"/>
              </w:rPr>
              <w:t xml:space="preserve">DSO</w:t>
            </w:r>
          </w:p>
        </w:tc>
        <w:tc>
          <w:tcPr>
            <w:tcW w:type="dxa" w:w="3600"/>
            <w:tcBorders>
              <w:top w:val="none" w:color="FFFFFF" w:sz="0"/>
              <w:left w:val="none" w:color="FFFFFF" w:sz="0"/>
              <w:bottom w:val="none" w:color="FFFFFF" w:sz="0"/>
              <w:right w:val="none" w:color="FFFFFF" w:sz="0"/>
            </w:tcBorders>
            <w:shd w:fill="FFFFFF" w:val="clear"/>
            <w:tcMar>
              <w:top w:type="dxa" w:w="100"/>
              <w:left w:type="dxa" w:w="160"/>
              <w:bottom w:type="dxa" w:w="100"/>
              <w:right w:type="dxa" w:w="120"/>
            </w:tcMar>
          </w:tcPr>
          <w:p>
            <w:r>
              <w:rPr>
                <w:rFonts w:ascii="Arial" w:cs="Arial" w:eastAsia="Arial" w:hAnsi="Arial"/>
                <w:color w:val="222222"/>
                <w:sz w:val="20"/>
                <w:szCs w:val="20"/>
              </w:rPr>
              <w:t xml:space="preserve">DSO 1 — Performance &amp; Langage Corporel</w:t>
            </w:r>
          </w:p>
        </w:tc>
      </w:tr>
      <w:tr>
        <w:tc>
          <w:tcPr>
            <w:tcW w:type="dxa" w:w="2400"/>
            <w:tcBorders>
              <w:top w:val="none" w:color="FFFFFF" w:sz="0"/>
              <w:left w:val="none" w:color="FFFFFF" w:sz="0"/>
              <w:bottom w:val="none" w:color="FFFFFF" w:sz="0"/>
              <w:right w:val="none" w:color="FFFFFF" w:sz="0"/>
            </w:tcBorders>
            <w:shd w:fill="1B3A6B" w:val="clear"/>
            <w:tcMar>
              <w:top w:type="dxa" w:w="100"/>
              <w:left w:type="dxa" w:w="160"/>
              <w:bottom w:type="dxa" w:w="100"/>
              <w:right w:type="dxa" w:w="120"/>
            </w:tcMar>
          </w:tcPr>
          <w:p>
            <w:r>
              <w:rPr>
                <w:rFonts w:ascii="Arial" w:cs="Arial" w:eastAsia="Arial" w:hAnsi="Arial"/>
                <w:b/>
                <w:bCs/>
                <w:color w:val="FFFFFF"/>
                <w:sz w:val="20"/>
                <w:szCs w:val="20"/>
              </w:rPr>
              <w:t xml:space="preserve">Phase TDSP</w:t>
            </w:r>
          </w:p>
        </w:tc>
        <w:tc>
          <w:tcPr>
            <w:tcW w:type="dxa" w:w="3600"/>
            <w:tcBorders>
              <w:top w:val="none" w:color="FFFFFF" w:sz="0"/>
              <w:left w:val="none" w:color="FFFFFF" w:sz="0"/>
              <w:bottom w:val="none" w:color="FFFFFF" w:sz="0"/>
              <w:right w:val="none" w:color="FFFFFF" w:sz="0"/>
            </w:tcBorders>
            <w:shd w:fill="EBF3FB" w:val="clear"/>
            <w:tcMar>
              <w:top w:type="dxa" w:w="100"/>
              <w:left w:type="dxa" w:w="160"/>
              <w:bottom w:type="dxa" w:w="100"/>
              <w:right w:type="dxa" w:w="120"/>
            </w:tcMar>
          </w:tcPr>
          <w:p>
            <w:r>
              <w:rPr>
                <w:rFonts w:ascii="Arial" w:cs="Arial" w:eastAsia="Arial" w:hAnsi="Arial"/>
                <w:color w:val="222222"/>
                <w:sz w:val="20"/>
                <w:szCs w:val="20"/>
              </w:rPr>
              <w:t xml:space="preserve">Phase 3 — Model Development</w:t>
            </w:r>
          </w:p>
        </w:tc>
      </w:tr>
      <w:tr>
        <w:tc>
          <w:tcPr>
            <w:tcW w:type="dxa" w:w="2400"/>
            <w:tcBorders>
              <w:top w:val="none" w:color="FFFFFF" w:sz="0"/>
              <w:left w:val="none" w:color="FFFFFF" w:sz="0"/>
              <w:bottom w:val="none" w:color="FFFFFF" w:sz="0"/>
              <w:right w:val="none" w:color="FFFFFF" w:sz="0"/>
            </w:tcBorders>
            <w:shd w:fill="1B3A6B" w:val="clear"/>
            <w:tcMar>
              <w:top w:type="dxa" w:w="100"/>
              <w:left w:type="dxa" w:w="160"/>
              <w:bottom w:type="dxa" w:w="100"/>
              <w:right w:type="dxa" w:w="120"/>
            </w:tcMar>
          </w:tcPr>
          <w:p>
            <w:r>
              <w:rPr>
                <w:rFonts w:ascii="Arial" w:cs="Arial" w:eastAsia="Arial" w:hAnsi="Arial"/>
                <w:b/>
                <w:bCs/>
                <w:color w:val="FFFFFF"/>
                <w:sz w:val="20"/>
                <w:szCs w:val="20"/>
              </w:rPr>
              <w:t xml:space="preserve">Période</w:t>
            </w:r>
          </w:p>
        </w:tc>
        <w:tc>
          <w:tcPr>
            <w:tcW w:type="dxa" w:w="3600"/>
            <w:tcBorders>
              <w:top w:val="none" w:color="FFFFFF" w:sz="0"/>
              <w:left w:val="none" w:color="FFFFFF" w:sz="0"/>
              <w:bottom w:val="none" w:color="FFFFFF" w:sz="0"/>
              <w:right w:val="none" w:color="FFFFFF" w:sz="0"/>
            </w:tcBorders>
            <w:shd w:fill="FFFFFF" w:val="clear"/>
            <w:tcMar>
              <w:top w:type="dxa" w:w="100"/>
              <w:left w:type="dxa" w:w="160"/>
              <w:bottom w:type="dxa" w:w="100"/>
              <w:right w:type="dxa" w:w="120"/>
            </w:tcMar>
          </w:tcPr>
          <w:p>
            <w:r>
              <w:rPr>
                <w:rFonts w:ascii="Arial" w:cs="Arial" w:eastAsia="Arial" w:hAnsi="Arial"/>
                <w:color w:val="222222"/>
                <w:sz w:val="20"/>
                <w:szCs w:val="20"/>
              </w:rPr>
              <w:t xml:space="preserve">Février – Mars 2026</w:t>
            </w:r>
          </w:p>
        </w:tc>
      </w:tr>
      <w:tr>
        <w:tc>
          <w:tcPr>
            <w:tcW w:type="dxa" w:w="2400"/>
            <w:tcBorders>
              <w:top w:val="none" w:color="FFFFFF" w:sz="0"/>
              <w:left w:val="none" w:color="FFFFFF" w:sz="0"/>
              <w:bottom w:val="none" w:color="FFFFFF" w:sz="0"/>
              <w:right w:val="none" w:color="FFFFFF" w:sz="0"/>
            </w:tcBorders>
            <w:shd w:fill="1B3A6B" w:val="clear"/>
            <w:tcMar>
              <w:top w:type="dxa" w:w="100"/>
              <w:left w:type="dxa" w:w="160"/>
              <w:bottom w:type="dxa" w:w="100"/>
              <w:right w:type="dxa" w:w="120"/>
            </w:tcMar>
          </w:tcPr>
          <w:p>
            <w:r>
              <w:rPr>
                <w:rFonts w:ascii="Arial" w:cs="Arial" w:eastAsia="Arial" w:hAnsi="Arial"/>
                <w:b/>
                <w:bCs/>
                <w:color w:val="FFFFFF"/>
                <w:sz w:val="20"/>
                <w:szCs w:val="20"/>
              </w:rPr>
              <w:t xml:space="preserve">Statut</w:t>
            </w:r>
          </w:p>
        </w:tc>
        <w:tc>
          <w:tcPr>
            <w:tcW w:type="dxa" w:w="3600"/>
            <w:tcBorders>
              <w:top w:val="none" w:color="FFFFFF" w:sz="0"/>
              <w:left w:val="none" w:color="FFFFFF" w:sz="0"/>
              <w:bottom w:val="none" w:color="FFFFFF" w:sz="0"/>
              <w:right w:val="none" w:color="FFFFFF" w:sz="0"/>
            </w:tcBorders>
            <w:shd w:fill="EBF3FB" w:val="clear"/>
            <w:tcMar>
              <w:top w:type="dxa" w:w="100"/>
              <w:left w:type="dxa" w:w="160"/>
              <w:bottom w:type="dxa" w:w="100"/>
              <w:right w:type="dxa" w:w="120"/>
            </w:tcMar>
          </w:tcPr>
          <w:p>
            <w:r>
              <w:rPr>
                <w:rFonts w:ascii="Arial" w:cs="Arial" w:eastAsia="Arial" w:hAnsi="Arial"/>
                <w:color w:val="222222"/>
                <w:sz w:val="20"/>
                <w:szCs w:val="20"/>
              </w:rPr>
              <w:t xml:space="preserve">✅  Complété</w:t>
            </w:r>
          </w:p>
        </w:tc>
      </w:tr>
    </w:tbl>
    <w:p>
      <w:r>
        <w:br w:type="page"/>
      </w:r>
    </w:p>
    <w:p>
      <w:pPr>
        <w:pStyle w:val="Heading1"/>
        <w:pBdr>
          <w:bottom w:val="single" w:color="2E75B6" w:sz="6" w:space="4"/>
        </w:pBdr>
        <w:spacing w:before="360" w:after="180"/>
      </w:pPr>
      <w:r>
        <w:rPr>
          <w:rFonts w:ascii="Arial" w:cs="Arial" w:eastAsia="Arial" w:hAnsi="Arial"/>
          <w:b/>
          <w:bCs/>
          <w:color w:val="1B3A6B"/>
          <w:sz w:val="30"/>
          <w:szCs w:val="30"/>
        </w:rPr>
        <w:t xml:space="preserve">1. Contexte &amp; Objectifs</w:t>
      </w:r>
    </w:p>
    <w:p>
      <w:pPr>
        <w:spacing w:before="80" w:after="100"/>
        <w:jc w:val="both"/>
      </w:pPr>
      <w:r>
        <w:rPr>
          <w:rFonts w:ascii="Arial" w:cs="Arial" w:eastAsia="Arial" w:hAnsi="Arial"/>
          <w:b w:val="false"/>
          <w:bCs w:val="false"/>
          <w:i w:val="false"/>
          <w:iCs w:val="false"/>
          <w:color w:val="222222"/>
          <w:sz w:val="22"/>
          <w:szCs w:val="22"/>
        </w:rPr>
        <w:t xml:space="preserve">ALIA (Artificial Learning &amp; Intelligence for Agents) est un avatar pharmaceutique intelligent conçu pour simuler des interactions entre délégués médicaux et professionnels de santé (pharmaciens, médecins). Le système est décomposé en quatre Deliverable Sub-Objectives (DSO), dont le DSO 1 constitue le moteur d'évaluation de performance.</w:t>
      </w:r>
    </w:p>
    <w:p>
      <w:pPr>
        <w:spacing w:before="80" w:after="80"/>
        <w:jc w:val="both"/>
      </w:pPr>
      <w:r>
        <w:rPr>
          <w:rFonts w:ascii="Arial" w:cs="Arial" w:eastAsia="Arial" w:hAnsi="Arial"/>
          <w:b/>
          <w:bCs/>
          <w:i w:val="false"/>
          <w:iCs w:val="false"/>
          <w:color w:val="222222"/>
          <w:sz w:val="22"/>
          <w:szCs w:val="22"/>
        </w:rPr>
        <w:t xml:space="preserve">L'objectif du DSO 1 est double :</w:t>
      </w:r>
    </w:p>
    <w:p>
      <w:pPr>
        <w:pStyle w:val="ListParagraph"/>
        <w:numPr>
          <w:ilvl w:val="0"/>
          <w:numId w:val="2"/>
        </w:numPr>
        <w:spacing w:before="60" w:after="60"/>
      </w:pPr>
      <w:r>
        <w:rPr>
          <w:rFonts w:ascii="Arial" w:cs="Arial" w:eastAsia="Arial" w:hAnsi="Arial"/>
          <w:color w:val="222222"/>
          <w:sz w:val="22"/>
          <w:szCs w:val="22"/>
        </w:rPr>
        <w:t xml:space="preserve">Évaluer automatiquement la qualité des réponses du délégué médical via des modèles NLP : score de compétence, précision scientifique, clarté de communication, gestion des objections.</w:t>
      </w:r>
    </w:p>
    <w:p>
      <w:pPr>
        <w:pStyle w:val="ListParagraph"/>
        <w:numPr>
          <w:ilvl w:val="0"/>
          <w:numId w:val="2"/>
        </w:numPr>
        <w:spacing w:before="60" w:after="60"/>
      </w:pPr>
      <w:r>
        <w:rPr>
          <w:rFonts w:ascii="Arial" w:cs="Arial" w:eastAsia="Arial" w:hAnsi="Arial"/>
          <w:color w:val="222222"/>
          <w:sz w:val="22"/>
          <w:szCs w:val="22"/>
        </w:rPr>
        <w:t xml:space="preserve">Détecter et analyser le langage corporel du délégué via un modèle LSTM entraîné sur des séquences temporelles de landmarks MediaPipe : posture, niveau de stress, niveau de confiance.</w:t>
      </w:r>
    </w:p>
    <w:p>
      <w:pPr>
        <w:spacing w:before="12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Vision DSO 1 — Architecture cible</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Conversation délégué ↔ avatar  →  NLP Scoring Model  →  Score de compétence + Feedback coaching</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Flux vidéo webcam              →  LSTM Body Language  →  Posture + Confidence + Stress (temps réel)</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Les deux signaux combinés alimentent le moteur adaptatif de recommandation de scénarios.</w:t>
            </w:r>
          </w:p>
        </w:tc>
      </w:tr>
    </w:tbl>
    <w:p>
      <w:pPr>
        <w:spacing w:before="160" w:after="0"/>
      </w:pPr>
      <w:r>
        <w:t xml:space="preserve"/>
      </w:r>
    </w:p>
    <w:p>
      <w:pPr>
        <w:pStyle w:val="Heading1"/>
        <w:pBdr>
          <w:bottom w:val="single" w:color="2E75B6" w:sz="6" w:space="4"/>
        </w:pBdr>
        <w:spacing w:before="360" w:after="180"/>
      </w:pPr>
      <w:r>
        <w:rPr>
          <w:rFonts w:ascii="Arial" w:cs="Arial" w:eastAsia="Arial" w:hAnsi="Arial"/>
          <w:b/>
          <w:bCs/>
          <w:color w:val="1B3A6B"/>
          <w:sz w:val="30"/>
          <w:szCs w:val="30"/>
        </w:rPr>
        <w:t xml:space="preserve">2. Données Utilisées — DS4</w:t>
      </w:r>
    </w:p>
    <w:p>
      <w:pPr>
        <w:pStyle w:val="Heading2"/>
        <w:spacing w:before="280" w:after="140"/>
      </w:pPr>
      <w:r>
        <w:rPr>
          <w:rFonts w:ascii="Arial" w:cs="Arial" w:eastAsia="Arial" w:hAnsi="Arial"/>
          <w:b/>
          <w:bCs/>
          <w:color w:val="2E75B6"/>
          <w:sz w:val="26"/>
          <w:szCs w:val="26"/>
        </w:rPr>
        <w:t xml:space="preserve">2.1 Dataset DS4 — Conversations &amp; Objections</w:t>
      </w:r>
    </w:p>
    <w:p>
      <w:pPr>
        <w:spacing w:before="80" w:after="80"/>
        <w:jc w:val="both"/>
      </w:pPr>
      <w:r>
        <w:rPr>
          <w:rFonts w:ascii="Arial" w:cs="Arial" w:eastAsia="Arial" w:hAnsi="Arial"/>
          <w:b w:val="false"/>
          <w:bCs w:val="false"/>
          <w:i w:val="false"/>
          <w:iCs w:val="false"/>
          <w:color w:val="222222"/>
          <w:sz w:val="22"/>
          <w:szCs w:val="22"/>
        </w:rPr>
        <w:t xml:space="preserve">Le dataset DS4 constitue la source principale pour les modèles NLP. Il a été construit pour simuler fidèlement les patterns de conversations terrain entre délégués médicaux et professionnels de santé tunisiens.</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Attribut</w:t>
            </w:r>
          </w:p>
        </w:tc>
        <w:tc>
          <w:tcPr>
            <w:tcW w:type="dxa" w:w="5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Valeur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Volume</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400 conversations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Objection types</w:t>
            </w:r>
          </w:p>
        </w:tc>
        <w:tc>
          <w:tcPr>
            <w:tcW w:type="dxa" w:w="5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8 types d'objections médicales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Produits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8 produits du catalogue Vital</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Fenêtre temporelle</w:t>
            </w:r>
          </w:p>
        </w:tc>
        <w:tc>
          <w:tcPr>
            <w:tcW w:type="dxa" w:w="5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Octobre – Décembre 2025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Colonnes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17 variables (texte + scores + metadata)</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Taille</w:t>
            </w:r>
          </w:p>
        </w:tc>
        <w:tc>
          <w:tcPr>
            <w:tcW w:type="dxa" w:w="5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149 KB</w:t>
            </w:r>
          </w:p>
        </w:tc>
      </w:tr>
    </w:tbl>
    <w:p>
      <w:pPr>
        <w:spacing w:before="160" w:after="0"/>
      </w:pPr>
      <w:r>
        <w:t xml:space="preserve"/>
      </w:r>
    </w:p>
    <w:p>
      <w:pPr>
        <w:pStyle w:val="Heading2"/>
        <w:spacing w:before="280" w:after="140"/>
      </w:pPr>
      <w:r>
        <w:rPr>
          <w:rFonts w:ascii="Arial" w:cs="Arial" w:eastAsia="Arial" w:hAnsi="Arial"/>
          <w:b/>
          <w:bCs/>
          <w:color w:val="2E75B6"/>
          <w:sz w:val="26"/>
          <w:szCs w:val="26"/>
        </w:rPr>
        <w:t xml:space="preserve">2.2 Distribution des classes</w:t>
      </w:r>
    </w:p>
    <w:p>
      <w:pPr>
        <w:spacing w:before="80" w:after="80"/>
        <w:jc w:val="both"/>
      </w:pPr>
      <w:r>
        <w:rPr>
          <w:rFonts w:ascii="Arial" w:cs="Arial" w:eastAsia="Arial" w:hAnsi="Arial"/>
          <w:b w:val="false"/>
          <w:bCs w:val="false"/>
          <w:i w:val="false"/>
          <w:iCs w:val="false"/>
          <w:color w:val="222222"/>
          <w:sz w:val="22"/>
          <w:szCs w:val="22"/>
        </w:rPr>
        <w:t xml:space="preserve">Le dataset présente une distribution réaliste et légèrement déséquilibrée, reflétant les proportions observées dans les données terrain d'origine :</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40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Classe</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Effectif</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Proportion</w:t>
            </w:r>
          </w:p>
        </w:tc>
        <w:tc>
          <w:tcPr>
            <w:tcW w:type="dxa" w:w="3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Score global moyen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Excellent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133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33.3 %</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8.42 / 10</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Bon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189</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47.3 %</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6.86 / 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Faible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 78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19.5 %</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4.24 / 10</w:t>
            </w:r>
          </w:p>
        </w:tc>
      </w:tr>
    </w:tbl>
    <w:p>
      <w:pPr>
        <w:spacing w:before="160" w:after="0"/>
      </w:pPr>
      <w:r>
        <w:t xml:space="preserve"/>
      </w:r>
    </w:p>
    <w:p>
      <w:pPr>
        <w:pStyle w:val="Heading2"/>
        <w:spacing w:before="280" w:after="140"/>
      </w:pPr>
      <w:r>
        <w:rPr>
          <w:rFonts w:ascii="Arial" w:cs="Arial" w:eastAsia="Arial" w:hAnsi="Arial"/>
          <w:b/>
          <w:bCs/>
          <w:color w:val="2E75B6"/>
          <w:sz w:val="26"/>
          <w:szCs w:val="26"/>
        </w:rPr>
        <w:t xml:space="preserve">2.3 Formule de scoring ALIA</w:t>
      </w:r>
    </w:p>
    <w:p>
      <w:pPr>
        <w:spacing w:before="80" w:after="80"/>
        <w:jc w:val="both"/>
      </w:pPr>
      <w:r>
        <w:rPr>
          <w:rFonts w:ascii="Arial" w:cs="Arial" w:eastAsia="Arial" w:hAnsi="Arial"/>
          <w:b w:val="false"/>
          <w:bCs w:val="false"/>
          <w:i w:val="false"/>
          <w:iCs w:val="false"/>
          <w:color w:val="222222"/>
          <w:sz w:val="22"/>
          <w:szCs w:val="22"/>
        </w:rPr>
        <w:t xml:space="preserve">Le score global de compétence est calculé par une formule pondérée reflétant les priorités métier du secteur pharmaceutique :</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Formule ALIA — Overall Score</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overall_score  =  0.25 × scientific_accuracy  +  0.30 × communication_clarity  +  0.45 × objection_handling</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Pondération justifiée : la gestion des objections (45%) est le critère le plus critique pour convaincre</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un professionnel de santé sceptique. La clarté de communication (30%) est le second levier.</w:t>
            </w:r>
          </w:p>
        </w:tc>
      </w:tr>
    </w:tbl>
    <w:p>
      <w:pPr>
        <w:spacing w:before="160" w:after="0"/>
      </w:pPr>
      <w:r>
        <w:t xml:space="preserve"/>
      </w:r>
    </w:p>
    <w:p>
      <w:pPr>
        <w:pStyle w:val="Heading2"/>
        <w:spacing w:before="280" w:after="140"/>
      </w:pPr>
      <w:r>
        <w:rPr>
          <w:rFonts w:ascii="Arial" w:cs="Arial" w:eastAsia="Arial" w:hAnsi="Arial"/>
          <w:b/>
          <w:bCs/>
          <w:color w:val="2E75B6"/>
          <w:sz w:val="26"/>
          <w:szCs w:val="26"/>
        </w:rPr>
        <w:t xml:space="preserve">2.4 Dataset LSTM — Séquences de landmarks</w:t>
      </w:r>
    </w:p>
    <w:p>
      <w:pPr>
        <w:spacing w:before="80" w:after="80"/>
        <w:jc w:val="both"/>
      </w:pPr>
      <w:r>
        <w:rPr>
          <w:rFonts w:ascii="Arial" w:cs="Arial" w:eastAsia="Arial" w:hAnsi="Arial"/>
          <w:b w:val="false"/>
          <w:bCs w:val="false"/>
          <w:i w:val="false"/>
          <w:iCs w:val="false"/>
          <w:color w:val="222222"/>
          <w:sz w:val="22"/>
          <w:szCs w:val="22"/>
        </w:rPr>
        <w:t xml:space="preserve">Pour le module de détection du langage corporel, un dataset de séquences temporelles de landmarks a été généré en reproduisant fidèlement la logique géométrique du détecteur existant (Body-language-detection.py) :</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Attribut</w:t>
            </w:r>
          </w:p>
        </w:tc>
        <w:tc>
          <w:tcPr>
            <w:tcW w:type="dxa" w:w="5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Valeur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Séquences totales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400 séquences</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Frames par séquence</w:t>
            </w:r>
          </w:p>
        </w:tc>
        <w:tc>
          <w:tcPr>
            <w:tcW w:type="dxa" w:w="5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30 frames (≈ 1 seconde à 30 fps)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Features par frame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66 (33 landmarks MediaPipe × x,y)</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Classes</w:t>
            </w:r>
          </w:p>
        </w:tc>
        <w:tc>
          <w:tcPr>
            <w:tcW w:type="dxa" w:w="5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upright (120) / neutral (160) / slouched (120)</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Shape tensor</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(400, 30, 66)</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Taille</w:t>
            </w:r>
          </w:p>
        </w:tc>
        <w:tc>
          <w:tcPr>
            <w:tcW w:type="dxa" w:w="5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6.1 MB</w:t>
            </w:r>
          </w:p>
        </w:tc>
      </w:tr>
    </w:tbl>
    <w:p>
      <w:r>
        <w:br w:type="page"/>
      </w:r>
    </w:p>
    <w:p>
      <w:pPr>
        <w:pStyle w:val="Heading1"/>
        <w:pBdr>
          <w:bottom w:val="single" w:color="2E75B6" w:sz="6" w:space="4"/>
        </w:pBdr>
        <w:spacing w:before="360" w:after="180"/>
      </w:pPr>
      <w:r>
        <w:rPr>
          <w:rFonts w:ascii="Arial" w:cs="Arial" w:eastAsia="Arial" w:hAnsi="Arial"/>
          <w:b/>
          <w:bCs/>
          <w:color w:val="1B3A6B"/>
          <w:sz w:val="30"/>
          <w:szCs w:val="30"/>
        </w:rPr>
        <w:t xml:space="preserve">3. Méthodologie — TDSP Phase 3</w:t>
      </w:r>
    </w:p>
    <w:p>
      <w:pPr>
        <w:spacing w:before="80" w:after="80"/>
        <w:jc w:val="both"/>
      </w:pPr>
      <w:r>
        <w:rPr>
          <w:rFonts w:ascii="Arial" w:cs="Arial" w:eastAsia="Arial" w:hAnsi="Arial"/>
          <w:b w:val="false"/>
          <w:bCs w:val="false"/>
          <w:i w:val="false"/>
          <w:iCs w:val="false"/>
          <w:color w:val="222222"/>
          <w:sz w:val="22"/>
          <w:szCs w:val="22"/>
        </w:rPr>
        <w:t xml:space="preserve">L'ensemble du développement suit la méthodologie TDSP (Team Data Science Process) de Microsoft, Phase 3 : Model Development. Pour chaque module, trois fichiers ont été produits selon une architecture reproductible :</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00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Fichier</w:t>
            </w:r>
          </w:p>
        </w:tc>
        <w:tc>
          <w:tcPr>
            <w:tcW w:type="dxa" w:w="4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Rôle</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Utilisé par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*_exploration.ipynb</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Exploration, visualisations, choix de modèle, benchmarks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Chercheur / PFE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*_train.py</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Entraînement reproductible, CLI, sauvegarde artifacts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Pipeline CI/CD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*_model.py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Classe d'inférence pure, importable par l'avatar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Avatar DSO 1</w:t>
            </w:r>
          </w:p>
        </w:tc>
      </w:tr>
    </w:tbl>
    <w:p>
      <w:pPr>
        <w:spacing w:before="160" w:after="0"/>
      </w:pPr>
      <w:r>
        <w:t xml:space="preserve"/>
      </w:r>
    </w:p>
    <w:p>
      <w:pPr>
        <w:pStyle w:val="Heading2"/>
        <w:spacing w:before="280" w:after="140"/>
      </w:pPr>
      <w:r>
        <w:rPr>
          <w:rFonts w:ascii="Arial" w:cs="Arial" w:eastAsia="Arial" w:hAnsi="Arial"/>
          <w:b/>
          <w:bCs/>
          <w:color w:val="2E75B6"/>
          <w:sz w:val="26"/>
          <w:szCs w:val="26"/>
        </w:rPr>
        <w:t xml:space="preserve">3.1 Module NLP — Pipeline de traitement</w:t>
      </w:r>
    </w:p>
    <w:p>
      <w:pPr>
        <w:spacing w:before="80" w:after="80"/>
        <w:jc w:val="both"/>
      </w:pPr>
      <w:r>
        <w:rPr>
          <w:rFonts w:ascii="Arial" w:cs="Arial" w:eastAsia="Arial" w:hAnsi="Arial"/>
          <w:b w:val="false"/>
          <w:bCs w:val="false"/>
          <w:i w:val="false"/>
          <w:iCs w:val="false"/>
          <w:color w:val="222222"/>
          <w:sz w:val="22"/>
          <w:szCs w:val="22"/>
        </w:rPr>
        <w:t xml:space="preserve">Le module NLP implémente trois tâches complémentaires (multi-task learning) sur le même texte d'entrée :</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Architecture NLP — 3 tâches simultanées</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Input : objection_text + [SEP] + rep_response</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T1 — Classification qualité     : TF-IDF (ngram 1-2, 5000 features) + SVM RBF</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T2 — Régression scores (×3)     : TF-IDF + Ridge MultiOutputRegressor</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T3 — Prédiction sentiment       : TF-IDF + Logistic Regression</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Feature Engineering (10 features linguistiques interprétables) :</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  has_empathy | has_data_args | has_followup_q | has_solution | is_vague</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  word_count | response_length | sentence_count | has_numbers | argumentation_richness</w:t>
            </w:r>
          </w:p>
        </w:tc>
      </w:tr>
    </w:tbl>
    <w:p>
      <w:pPr>
        <w:spacing w:before="160" w:after="0"/>
      </w:pPr>
      <w:r>
        <w:t xml:space="preserve"/>
      </w:r>
    </w:p>
    <w:p>
      <w:pPr>
        <w:pStyle w:val="Heading3"/>
        <w:spacing w:before="200" w:after="100"/>
      </w:pPr>
      <w:r>
        <w:rPr>
          <w:rFonts w:ascii="Arial" w:cs="Arial" w:eastAsia="Arial" w:hAnsi="Arial"/>
          <w:b/>
          <w:bCs/>
          <w:color w:val="546E7A"/>
          <w:sz w:val="22"/>
          <w:szCs w:val="22"/>
        </w:rPr>
        <w:t xml:space="preserve">Choix des modèles — justification</w:t>
      </w:r>
    </w:p>
    <w:p>
      <w:pPr>
        <w:spacing w:before="80" w:after="80"/>
        <w:jc w:val="both"/>
      </w:pPr>
      <w:r>
        <w:rPr>
          <w:rFonts w:ascii="Arial" w:cs="Arial" w:eastAsia="Arial" w:hAnsi="Arial"/>
          <w:b w:val="false"/>
          <w:bCs w:val="false"/>
          <w:i w:val="false"/>
          <w:iCs w:val="false"/>
          <w:color w:val="222222"/>
          <w:sz w:val="22"/>
          <w:szCs w:val="22"/>
        </w:rPr>
        <w:t xml:space="preserve">Plusieurs algorithmes ont été évalués en cross-validation 5-fold stratifiée. Le SVM avec noyau RBF a été retenu pour T1 pour sa capacité à trouver des hyperplans optimaux dans l'espace TF-IDF de haute dimension. Ridge Regression a été retenu pour T2 pour sa régularisation L2 adaptée aux features TF-IDF corrélées.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40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Tâche</w:t>
            </w:r>
          </w:p>
        </w:tc>
        <w:tc>
          <w:tcPr>
            <w:tcW w:type="dxa" w:w="2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Modèles comparés</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Modèle retenu</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Critère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T1 — Qualité</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LR / RF / SVM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SVM (RBF)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F1-Macro CV</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T2 — Scores</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Ridge / RF Regressor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Ridge MultiOutput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MAE + R²</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T3 — Sentiment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Logistic Regression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LogReg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F1-Macro CV</w:t>
            </w:r>
          </w:p>
        </w:tc>
      </w:tr>
    </w:tbl>
    <w:p>
      <w:pPr>
        <w:spacing w:before="160" w:after="0"/>
      </w:pPr>
      <w:r>
        <w:t xml:space="preserve"/>
      </w:r>
    </w:p>
    <w:p>
      <w:pPr>
        <w:pStyle w:val="Heading2"/>
        <w:spacing w:before="280" w:after="140"/>
      </w:pPr>
      <w:r>
        <w:rPr>
          <w:rFonts w:ascii="Arial" w:cs="Arial" w:eastAsia="Arial" w:hAnsi="Arial"/>
          <w:b/>
          <w:bCs/>
          <w:color w:val="2E75B6"/>
          <w:sz w:val="26"/>
          <w:szCs w:val="26"/>
        </w:rPr>
        <w:t xml:space="preserve">3.2 Module LSTM — Architecture séquentielle</w:t>
      </w:r>
    </w:p>
    <w:p>
      <w:pPr>
        <w:spacing w:before="80" w:after="80"/>
        <w:jc w:val="both"/>
      </w:pPr>
      <w:r>
        <w:rPr>
          <w:rFonts w:ascii="Arial" w:cs="Arial" w:eastAsia="Arial" w:hAnsi="Arial"/>
          <w:b w:val="false"/>
          <w:bCs w:val="false"/>
          <w:i w:val="false"/>
          <w:iCs w:val="false"/>
          <w:color w:val="222222"/>
          <w:sz w:val="22"/>
          <w:szCs w:val="22"/>
        </w:rPr>
        <w:t xml:space="preserve">Le module LSTM remplace les règles géométriques fixes du détecteur existant par un modèle appris sur les patterns temporels de landmarks. L'avantage clé est la capture des dépendances temporelles inter-frames, impossible avec une approche frame-par-frame.</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Architecture LSTM — 2 couches</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Input    : (batch_size, 30 frames, 66 features)</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LSTM Layer 1  : 64 unités, Xavier initialization, forget bias = 1.0</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Dropout       : 0.30 (inverted dropout — appliqué uniquement en training)</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LSTM Layer 2  : 32 unités</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Dense         : 16 unités, activation ReLU</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Output        : 3 classes (Softmax) — upright / neutral / slouched</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Paramètres totaux : 46,531  (modèle léger, embarquable en production)</w:t>
            </w:r>
          </w:p>
        </w:tc>
      </w:tr>
    </w:tbl>
    <w:p>
      <w:pPr>
        <w:spacing w:before="160" w:after="0"/>
      </w:pPr>
      <w:r>
        <w:t xml:space="preserve"/>
      </w:r>
    </w:p>
    <w:p>
      <w:pPr>
        <w:pStyle w:val="Heading3"/>
        <w:spacing w:before="200" w:after="100"/>
      </w:pPr>
      <w:r>
        <w:rPr>
          <w:rFonts w:ascii="Arial" w:cs="Arial" w:eastAsia="Arial" w:hAnsi="Arial"/>
          <w:b/>
          <w:bCs/>
          <w:color w:val="546E7A"/>
          <w:sz w:val="22"/>
          <w:szCs w:val="22"/>
        </w:rPr>
        <w:t xml:space="preserve">Algorithme d'entraînement</w:t>
      </w:r>
    </w:p>
    <w:p>
      <w:pPr>
        <w:spacing w:before="80" w:after="80"/>
        <w:jc w:val="both"/>
      </w:pPr>
      <w:r>
        <w:rPr>
          <w:rFonts w:ascii="Arial" w:cs="Arial" w:eastAsia="Arial" w:hAnsi="Arial"/>
          <w:b w:val="false"/>
          <w:bCs w:val="false"/>
          <w:i w:val="false"/>
          <w:iCs w:val="false"/>
          <w:color w:val="222222"/>
          <w:sz w:val="22"/>
          <w:szCs w:val="22"/>
        </w:rPr>
        <w:t xml:space="preserve">L'entraînement est implémenté en NumPy pur (sans framework deep learning) pour une compatibilité maximale avec l'environnement offline. L'implémentation comprend la rétropropagation à travers le temps (BPTT) et l'optimiseur Adam :</w:t>
      </w:r>
    </w:p>
    <w:p>
      <w:pPr>
        <w:pStyle w:val="ListParagraph"/>
        <w:numPr>
          <w:ilvl w:val="0"/>
          <w:numId w:val="2"/>
        </w:numPr>
        <w:spacing w:before="60" w:after="60"/>
      </w:pPr>
      <w:r>
        <w:rPr>
          <w:rFonts w:ascii="Arial" w:cs="Arial" w:eastAsia="Arial" w:hAnsi="Arial"/>
          <w:color w:val="222222"/>
          <w:sz w:val="22"/>
          <w:szCs w:val="22"/>
        </w:rPr>
        <w:t xml:space="preserve">Optimiseur : Adam (β₁=0.9, β₂=0.999, ε=1e-8)</w:t>
      </w:r>
    </w:p>
    <w:p>
      <w:pPr>
        <w:pStyle w:val="ListParagraph"/>
        <w:numPr>
          <w:ilvl w:val="0"/>
          <w:numId w:val="2"/>
        </w:numPr>
        <w:spacing w:before="60" w:after="60"/>
      </w:pPr>
      <w:r>
        <w:rPr>
          <w:rFonts w:ascii="Arial" w:cs="Arial" w:eastAsia="Arial" w:hAnsi="Arial"/>
          <w:color w:val="222222"/>
          <w:sz w:val="22"/>
          <w:szCs w:val="22"/>
        </w:rPr>
        <w:t xml:space="preserve">Learning rate : 0.001 avec decay ×0.95 tous les 10 epochs</w:t>
      </w:r>
    </w:p>
    <w:p>
      <w:pPr>
        <w:pStyle w:val="ListParagraph"/>
        <w:numPr>
          <w:ilvl w:val="0"/>
          <w:numId w:val="2"/>
        </w:numPr>
        <w:spacing w:before="60" w:after="60"/>
      </w:pPr>
      <w:r>
        <w:rPr>
          <w:rFonts w:ascii="Arial" w:cs="Arial" w:eastAsia="Arial" w:hAnsi="Arial"/>
          <w:color w:val="222222"/>
          <w:sz w:val="22"/>
          <w:szCs w:val="22"/>
        </w:rPr>
        <w:t xml:space="preserve">Gradient clipping : seuil 5.0 (prévention de l'explosion de gradient)</w:t>
      </w:r>
    </w:p>
    <w:p>
      <w:pPr>
        <w:pStyle w:val="ListParagraph"/>
        <w:numPr>
          <w:ilvl w:val="0"/>
          <w:numId w:val="2"/>
        </w:numPr>
        <w:spacing w:before="60" w:after="60"/>
      </w:pPr>
      <w:r>
        <w:rPr>
          <w:rFonts w:ascii="Arial" w:cs="Arial" w:eastAsia="Arial" w:hAnsi="Arial"/>
          <w:color w:val="222222"/>
          <w:sz w:val="22"/>
          <w:szCs w:val="22"/>
        </w:rPr>
        <w:t xml:space="preserve">Early stopping : patience = 15 epochs sur la val loss</w:t>
      </w:r>
    </w:p>
    <w:p>
      <w:pPr>
        <w:pStyle w:val="ListParagraph"/>
        <w:numPr>
          <w:ilvl w:val="0"/>
          <w:numId w:val="2"/>
        </w:numPr>
        <w:spacing w:before="60" w:after="60"/>
      </w:pPr>
      <w:r>
        <w:rPr>
          <w:rFonts w:ascii="Arial" w:cs="Arial" w:eastAsia="Arial" w:hAnsi="Arial"/>
          <w:color w:val="222222"/>
          <w:sz w:val="22"/>
          <w:szCs w:val="22"/>
        </w:rPr>
        <w:t xml:space="preserve">Initialisation oubli (forget gate bias = 1.0) : réduit le problème du gradient vanishing</w:t>
      </w:r>
    </w:p>
    <w:p>
      <w:r>
        <w:br w:type="page"/>
      </w:r>
    </w:p>
    <w:p>
      <w:pPr>
        <w:pStyle w:val="Heading1"/>
        <w:pBdr>
          <w:bottom w:val="single" w:color="2E75B6" w:sz="6" w:space="4"/>
        </w:pBdr>
        <w:spacing w:before="360" w:after="180"/>
      </w:pPr>
      <w:r>
        <w:rPr>
          <w:rFonts w:ascii="Arial" w:cs="Arial" w:eastAsia="Arial" w:hAnsi="Arial"/>
          <w:b/>
          <w:bCs/>
          <w:color w:val="1B3A6B"/>
          <w:sz w:val="30"/>
          <w:szCs w:val="30"/>
        </w:rPr>
        <w:t xml:space="preserve">4. Résultats &amp; Évaluation</w:t>
      </w:r>
    </w:p>
    <w:p>
      <w:pPr>
        <w:pStyle w:val="Heading2"/>
        <w:spacing w:before="280" w:after="140"/>
      </w:pPr>
      <w:r>
        <w:rPr>
          <w:rFonts w:ascii="Arial" w:cs="Arial" w:eastAsia="Arial" w:hAnsi="Arial"/>
          <w:b/>
          <w:bCs/>
          <w:color w:val="2E75B6"/>
          <w:sz w:val="26"/>
          <w:szCs w:val="26"/>
        </w:rPr>
        <w:t xml:space="preserve">4.1 Module NLP — Résultats sur données synthétiques réalistes</w:t>
      </w:r>
    </w:p>
    <w:p>
      <w:pPr>
        <w:spacing w:before="80" w:after="80"/>
        <w:jc w:val="both"/>
      </w:pPr>
      <w:r>
        <w:rPr>
          <w:rFonts w:ascii="Arial" w:cs="Arial" w:eastAsia="Arial" w:hAnsi="Arial"/>
          <w:b w:val="false"/>
          <w:bCs w:val="false"/>
          <w:i w:val="false"/>
          <w:iCs w:val="false"/>
          <w:color w:val="222222"/>
          <w:sz w:val="22"/>
          <w:szCs w:val="22"/>
        </w:rPr>
        <w:t xml:space="preserve">Les résultats suivants sont obtenus sur le split test (80 conversations, 20% du dataset). Les données synthétiques comportent un overlap intentionnel entre classes Bon/Excellent (~5% de bruit de labellisation) pour simuler des conditions terrain réalistes.</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250"/>
            <w:tcBorders>
              <w:top w:val="single" w:color="CCCCCC" w:sz="1"/>
              <w:left w:val="single" w:color="CCCCCC" w:sz="1"/>
              <w:bottom w:val="single" w:color="CCCCCC" w:sz="1"/>
              <w:right w:val="single" w:color="CCCCCC" w:sz="1"/>
            </w:tcBorders>
            <w:shd w:fill="F5F7FA" w:val="clear"/>
            <w:tcMar>
              <w:top w:type="dxa" w:w="120"/>
              <w:left w:type="dxa" w:w="120"/>
              <w:bottom w:type="dxa" w:w="120"/>
              <w:right w:type="dxa" w:w="120"/>
            </w:tcMar>
          </w:tcPr>
          <w:p>
            <w:pPr>
              <w:jc w:val="center"/>
            </w:pPr>
            <w:r>
              <w:rPr>
                <w:rFonts w:ascii="Arial" w:cs="Arial" w:eastAsia="Arial" w:hAnsi="Arial"/>
                <w:b/>
                <w:bCs/>
                <w:color w:val="2E75B6"/>
                <w:sz w:val="36"/>
                <w:szCs w:val="36"/>
              </w:rPr>
              <w:t xml:space="preserve">0.960</w:t>
            </w:r>
          </w:p>
          <w:p>
            <w:pPr>
              <w:spacing w:before="60" w:after="40"/>
              <w:jc w:val="center"/>
            </w:pPr>
            <w:r>
              <w:rPr>
                <w:rFonts w:ascii="Arial" w:cs="Arial" w:eastAsia="Arial" w:hAnsi="Arial"/>
                <w:b/>
                <w:bCs/>
                <w:color w:val="333333"/>
                <w:sz w:val="18"/>
                <w:szCs w:val="18"/>
              </w:rPr>
              <w:t xml:space="preserve">T1 — CV F1-Macro</w:t>
            </w:r>
          </w:p>
          <w:p>
            <w:pPr>
              <w:jc w:val="center"/>
            </w:pPr>
            <w:r>
              <w:rPr>
                <w:rFonts w:ascii="Arial" w:cs="Arial" w:eastAsia="Arial" w:hAnsi="Arial"/>
                <w:color w:val="546E7A"/>
                <w:sz w:val="16"/>
                <w:szCs w:val="16"/>
              </w:rPr>
              <w:t xml:space="preserve">±0.008 — SVM RBF</w:t>
            </w:r>
          </w:p>
        </w:tc>
        <w:tc>
          <w:tcPr>
            <w:tcW w:type="dxa" w:w="2250"/>
            <w:tcBorders>
              <w:top w:val="single" w:color="CCCCCC" w:sz="1"/>
              <w:left w:val="single" w:color="CCCCCC" w:sz="1"/>
              <w:bottom w:val="single" w:color="CCCCCC" w:sz="1"/>
              <w:right w:val="single" w:color="CCCCCC" w:sz="1"/>
            </w:tcBorders>
            <w:shd w:fill="F5F7FA" w:val="clear"/>
            <w:tcMar>
              <w:top w:type="dxa" w:w="120"/>
              <w:left w:type="dxa" w:w="120"/>
              <w:bottom w:type="dxa" w:w="120"/>
              <w:right w:type="dxa" w:w="120"/>
            </w:tcMar>
          </w:tcPr>
          <w:p>
            <w:pPr>
              <w:jc w:val="center"/>
            </w:pPr>
            <w:r>
              <w:rPr>
                <w:rFonts w:ascii="Arial" w:cs="Arial" w:eastAsia="Arial" w:hAnsi="Arial"/>
                <w:b/>
                <w:bCs/>
                <w:color w:val="2E7D32"/>
                <w:sz w:val="36"/>
                <w:szCs w:val="36"/>
              </w:rPr>
              <w:t xml:space="preserve">0.968</w:t>
            </w:r>
          </w:p>
          <w:p>
            <w:pPr>
              <w:spacing w:before="60" w:after="40"/>
              <w:jc w:val="center"/>
            </w:pPr>
            <w:r>
              <w:rPr>
                <w:rFonts w:ascii="Arial" w:cs="Arial" w:eastAsia="Arial" w:hAnsi="Arial"/>
                <w:b/>
                <w:bCs/>
                <w:color w:val="333333"/>
                <w:sz w:val="18"/>
                <w:szCs w:val="18"/>
              </w:rPr>
              <w:t xml:space="preserve">T1 — Test F1</w:t>
            </w:r>
          </w:p>
          <w:p>
            <w:pPr>
              <w:jc w:val="center"/>
            </w:pPr>
            <w:r>
              <w:rPr>
                <w:rFonts w:ascii="Arial" w:cs="Arial" w:eastAsia="Arial" w:hAnsi="Arial"/>
                <w:color w:val="546E7A"/>
                <w:sz w:val="16"/>
                <w:szCs w:val="16"/>
              </w:rPr>
              <w:t xml:space="preserve">Accuracy 96.25%</w:t>
            </w:r>
          </w:p>
        </w:tc>
        <w:tc>
          <w:tcPr>
            <w:tcW w:type="dxa" w:w="2250"/>
            <w:tcBorders>
              <w:top w:val="single" w:color="CCCCCC" w:sz="1"/>
              <w:left w:val="single" w:color="CCCCCC" w:sz="1"/>
              <w:bottom w:val="single" w:color="CCCCCC" w:sz="1"/>
              <w:right w:val="single" w:color="CCCCCC" w:sz="1"/>
            </w:tcBorders>
            <w:shd w:fill="F5F7FA" w:val="clear"/>
            <w:tcMar>
              <w:top w:type="dxa" w:w="120"/>
              <w:left w:type="dxa" w:w="120"/>
              <w:bottom w:type="dxa" w:w="120"/>
              <w:right w:type="dxa" w:w="120"/>
            </w:tcMar>
          </w:tcPr>
          <w:p>
            <w:pPr>
              <w:jc w:val="center"/>
            </w:pPr>
            <w:r>
              <w:rPr>
                <w:rFonts w:ascii="Arial" w:cs="Arial" w:eastAsia="Arial" w:hAnsi="Arial"/>
                <w:b/>
                <w:bCs/>
                <w:color w:val="2E75B6"/>
                <w:sz w:val="36"/>
                <w:szCs w:val="36"/>
              </w:rPr>
              <w:t xml:space="preserve">0.833</w:t>
            </w:r>
          </w:p>
          <w:p>
            <w:pPr>
              <w:spacing w:before="60" w:after="40"/>
              <w:jc w:val="center"/>
            </w:pPr>
            <w:r>
              <w:rPr>
                <w:rFonts w:ascii="Arial" w:cs="Arial" w:eastAsia="Arial" w:hAnsi="Arial"/>
                <w:b/>
                <w:bCs/>
                <w:color w:val="333333"/>
                <w:sz w:val="18"/>
                <w:szCs w:val="18"/>
              </w:rPr>
              <w:t xml:space="preserve">T2 — Overall R²</w:t>
            </w:r>
          </w:p>
          <w:p>
            <w:pPr>
              <w:jc w:val="center"/>
            </w:pPr>
            <w:r>
              <w:rPr>
                <w:rFonts w:ascii="Arial" w:cs="Arial" w:eastAsia="Arial" w:hAnsi="Arial"/>
                <w:color w:val="546E7A"/>
                <w:sz w:val="16"/>
                <w:szCs w:val="16"/>
              </w:rPr>
              <w:t xml:space="preserve">MAE = 0.52 / 10</w:t>
            </w:r>
          </w:p>
        </w:tc>
        <w:tc>
          <w:tcPr>
            <w:tcW w:type="dxa" w:w="2250"/>
            <w:tcBorders>
              <w:top w:val="single" w:color="CCCCCC" w:sz="1"/>
              <w:left w:val="single" w:color="CCCCCC" w:sz="1"/>
              <w:bottom w:val="single" w:color="CCCCCC" w:sz="1"/>
              <w:right w:val="single" w:color="CCCCCC" w:sz="1"/>
            </w:tcBorders>
            <w:shd w:fill="F5F7FA" w:val="clear"/>
            <w:tcMar>
              <w:top w:type="dxa" w:w="120"/>
              <w:left w:type="dxa" w:w="120"/>
              <w:bottom w:type="dxa" w:w="120"/>
              <w:right w:type="dxa" w:w="120"/>
            </w:tcMar>
          </w:tcPr>
          <w:p>
            <w:pPr>
              <w:jc w:val="center"/>
            </w:pPr>
            <w:r>
              <w:rPr>
                <w:rFonts w:ascii="Arial" w:cs="Arial" w:eastAsia="Arial" w:hAnsi="Arial"/>
                <w:b/>
                <w:bCs/>
                <w:color w:val="E65100"/>
                <w:sz w:val="36"/>
                <w:szCs w:val="36"/>
              </w:rPr>
              <w:t xml:space="preserve">0.400</w:t>
            </w:r>
          </w:p>
          <w:p>
            <w:pPr>
              <w:spacing w:before="60" w:after="40"/>
              <w:jc w:val="center"/>
            </w:pPr>
            <w:r>
              <w:rPr>
                <w:rFonts w:ascii="Arial" w:cs="Arial" w:eastAsia="Arial" w:hAnsi="Arial"/>
                <w:b/>
                <w:bCs/>
                <w:color w:val="333333"/>
                <w:sz w:val="18"/>
                <w:szCs w:val="18"/>
              </w:rPr>
              <w:t xml:space="preserve">T3 — CV F1-Macro</w:t>
            </w:r>
          </w:p>
          <w:p>
            <w:pPr>
              <w:jc w:val="center"/>
            </w:pPr>
            <w:r>
              <w:rPr>
                <w:rFonts w:ascii="Arial" w:cs="Arial" w:eastAsia="Arial" w:hAnsi="Arial"/>
                <w:color w:val="546E7A"/>
                <w:sz w:val="16"/>
                <w:szCs w:val="16"/>
              </w:rPr>
              <w:t xml:space="preserve">Ambiguïté naturelle</w:t>
            </w:r>
          </w:p>
        </w:tc>
      </w:tr>
    </w:tbl>
    <w:p>
      <w:pPr>
        <w:spacing w:before="160" w:after="0"/>
      </w:pPr>
      <w:r>
        <w:t xml:space="preserve"/>
      </w:r>
    </w:p>
    <w:p>
      <w:pPr>
        <w:pStyle w:val="Heading3"/>
        <w:spacing w:before="200" w:after="100"/>
      </w:pPr>
      <w:r>
        <w:rPr>
          <w:rFonts w:ascii="Arial" w:cs="Arial" w:eastAsia="Arial" w:hAnsi="Arial"/>
          <w:b/>
          <w:bCs/>
          <w:color w:val="546E7A"/>
          <w:sz w:val="22"/>
          <w:szCs w:val="22"/>
        </w:rPr>
        <w:t xml:space="preserve">Détail T1 — Classification qualité (SVM RBF)</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00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Classe</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Précision</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Rappel</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F1-Score</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Support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Bon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0.927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0.962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38</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Excellent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1.000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0.889</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0.941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27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Faible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15</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Macro avg</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0.976</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0.963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0.968</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80</w:t>
            </w:r>
          </w:p>
        </w:tc>
      </w:tr>
    </w:tbl>
    <w:p>
      <w:pPr>
        <w:spacing w:before="100" w:after="0"/>
      </w:pPr>
      <w:r>
        <w:t xml:space="preserve"/>
      </w:r>
    </w:p>
    <w:p>
      <w:pPr>
        <w:spacing w:before="80" w:after="80"/>
        <w:jc w:val="both"/>
      </w:pPr>
      <w:r>
        <w:rPr>
          <w:rFonts w:ascii="Arial" w:cs="Arial" w:eastAsia="Arial" w:hAnsi="Arial"/>
          <w:b w:val="false"/>
          <w:bCs w:val="false"/>
          <w:i/>
          <w:iCs/>
          <w:color w:val="546E7A"/>
          <w:sz w:val="22"/>
          <w:szCs w:val="22"/>
        </w:rPr>
        <w:t xml:space="preserve">L'erreur résiduelle se concentre sur la frontière Bon/Excellent (3 cas sur 80), ce qui est cohérent avec l'overlap intentionnel entre ces deux classes. La classe Faible est parfaitement classifiée grâce à ses patterns linguistiques très distincts.</w:t>
      </w:r>
    </w:p>
    <w:p>
      <w:pPr>
        <w:spacing w:before="160" w:after="0"/>
      </w:pPr>
      <w:r>
        <w:t xml:space="preserve"/>
      </w:r>
    </w:p>
    <w:p>
      <w:pPr>
        <w:pStyle w:val="Heading3"/>
        <w:spacing w:before="200" w:after="100"/>
      </w:pPr>
      <w:r>
        <w:rPr>
          <w:rFonts w:ascii="Arial" w:cs="Arial" w:eastAsia="Arial" w:hAnsi="Arial"/>
          <w:b/>
          <w:bCs/>
          <w:color w:val="546E7A"/>
          <w:sz w:val="22"/>
          <w:szCs w:val="22"/>
        </w:rPr>
        <w:t xml:space="preserve">Détail T2 — Régression scores (Ridge MultiOutput)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80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Dimension</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MAE</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R²</w:t>
            </w:r>
          </w:p>
        </w:tc>
        <w:tc>
          <w:tcPr>
            <w:tcW w:type="dxa" w:w="3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Interprétation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Scientific Accuracy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0.834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0.679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Correcte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Communication Clarity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0.851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0.674</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Correcte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Objection Handling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0.800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0.596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Modérée — dimension subjective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Overall Score (ALIA)</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0.516</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0.833</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Bonne — formule pondérée</w:t>
            </w:r>
          </w:p>
        </w:tc>
      </w:tr>
    </w:tbl>
    <w:p>
      <w:pPr>
        <w:spacing w:before="160" w:after="0"/>
      </w:pPr>
      <w:r>
        <w:t xml:space="preserve"/>
      </w:r>
    </w:p>
    <w:p>
      <w:pPr>
        <w:pStyle w:val="Heading3"/>
        <w:spacing w:before="200" w:after="100"/>
      </w:pPr>
      <w:r>
        <w:rPr>
          <w:rFonts w:ascii="Arial" w:cs="Arial" w:eastAsia="Arial" w:hAnsi="Arial"/>
          <w:b/>
          <w:bCs/>
          <w:color w:val="546E7A"/>
          <w:sz w:val="22"/>
          <w:szCs w:val="22"/>
        </w:rPr>
        <w:t xml:space="preserve">T3 — Prédiction sentiment : résultat modéré attendu</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Analyse du F1-Macro T3 = 0.40</w:t>
            </w:r>
          </w:p>
        </w:tc>
      </w:tr>
      <w:tr>
        <w:tc>
          <w:tcPr>
            <w:tcW w:type="dxa" w:w="92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color w:val="333333"/>
                <w:sz w:val="21"/>
                <w:szCs w:val="21"/>
              </w:rPr>
              <w:t xml:space="preserve">Ce résultat modéré est attendu et explicable :</w:t>
            </w:r>
          </w:p>
        </w:tc>
      </w:tr>
      <w:tr>
        <w:tc>
          <w:tcPr>
            <w:tcW w:type="dxa" w:w="92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color w:val="333333"/>
                <w:sz w:val="21"/>
                <w:szCs w:val="21"/>
              </w:rPr>
              <w:t xml:space="preserve">  • Le sentiment client dépend du contexte global de la relation commerciale, pas uniquement du texte d'une réponse</w:t>
            </w:r>
          </w:p>
        </w:tc>
      </w:tr>
      <w:tr>
        <w:tc>
          <w:tcPr>
            <w:tcW w:type="dxa" w:w="92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color w:val="333333"/>
                <w:sz w:val="21"/>
                <w:szCs w:val="21"/>
              </w:rPr>
              <w:t xml:space="preserve">  • La classe Neutre est intrinsèquement ambiguë — frontière floue avec Positif et Négatif</w:t>
            </w:r>
          </w:p>
        </w:tc>
      </w:tr>
      <w:tr>
        <w:tc>
          <w:tcPr>
            <w:tcW w:type="dxa" w:w="920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color w:val="333333"/>
                <w:sz w:val="21"/>
                <w:szCs w:val="21"/>
              </w:rPr>
              <w:t xml:space="preserve">  • Piste d'amélioration : enrichir avec l'historique client (DS3) et les features prosodiques (DSO 2)</w:t>
            </w:r>
          </w:p>
        </w:tc>
      </w:tr>
    </w:tbl>
    <w:p>
      <w:pPr>
        <w:spacing w:before="160" w:after="0"/>
      </w:pPr>
      <w:r>
        <w:t xml:space="preserve"/>
      </w:r>
    </w:p>
    <w:p>
      <w:pPr>
        <w:pStyle w:val="Heading2"/>
        <w:spacing w:before="280" w:after="140"/>
      </w:pPr>
      <w:r>
        <w:rPr>
          <w:rFonts w:ascii="Arial" w:cs="Arial" w:eastAsia="Arial" w:hAnsi="Arial"/>
          <w:b/>
          <w:bCs/>
          <w:color w:val="2E75B6"/>
          <w:sz w:val="26"/>
          <w:szCs w:val="26"/>
        </w:rPr>
        <w:t xml:space="preserve">4.2 Module LSTM — Résultats</w:t>
      </w:r>
    </w:p>
    <w:p>
      <w:pPr>
        <w:spacing w:before="80" w:after="80"/>
        <w:jc w:val="both"/>
      </w:pPr>
      <w:r>
        <w:rPr>
          <w:rFonts w:ascii="Arial" w:cs="Arial" w:eastAsia="Arial" w:hAnsi="Arial"/>
          <w:b w:val="false"/>
          <w:bCs w:val="false"/>
          <w:i w:val="false"/>
          <w:iCs w:val="false"/>
          <w:color w:val="222222"/>
          <w:sz w:val="22"/>
          <w:szCs w:val="22"/>
        </w:rPr>
        <w:t xml:space="preserve">Le modèle LSTM a été entraîné sur 60 epochs avec early stopping. La convergence rapide (val_loss = 0.006 à l'epoch optimale) reflète la qualité de séparabilité des séquences de landmarks entre les 3 classes de posture.</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250"/>
            <w:tcBorders>
              <w:top w:val="single" w:color="CCCCCC" w:sz="1"/>
              <w:left w:val="single" w:color="CCCCCC" w:sz="1"/>
              <w:bottom w:val="single" w:color="CCCCCC" w:sz="1"/>
              <w:right w:val="single" w:color="CCCCCC" w:sz="1"/>
            </w:tcBorders>
            <w:shd w:fill="F5F7FA" w:val="clear"/>
            <w:tcMar>
              <w:top w:type="dxa" w:w="120"/>
              <w:left w:type="dxa" w:w="120"/>
              <w:bottom w:type="dxa" w:w="120"/>
              <w:right w:type="dxa" w:w="120"/>
            </w:tcMar>
          </w:tcPr>
          <w:p>
            <w:pPr>
              <w:jc w:val="center"/>
            </w:pPr>
            <w:r>
              <w:rPr>
                <w:rFonts w:ascii="Arial" w:cs="Arial" w:eastAsia="Arial" w:hAnsi="Arial"/>
                <w:b/>
                <w:bCs/>
                <w:color w:val="2E75B6"/>
                <w:sz w:val="36"/>
                <w:szCs w:val="36"/>
              </w:rPr>
              <w:t xml:space="preserve">100%</w:t>
            </w:r>
          </w:p>
          <w:p>
            <w:pPr>
              <w:spacing w:before="60" w:after="40"/>
              <w:jc w:val="center"/>
            </w:pPr>
            <w:r>
              <w:rPr>
                <w:rFonts w:ascii="Arial" w:cs="Arial" w:eastAsia="Arial" w:hAnsi="Arial"/>
                <w:b/>
                <w:bCs/>
                <w:color w:val="333333"/>
                <w:sz w:val="18"/>
                <w:szCs w:val="18"/>
              </w:rPr>
              <w:t xml:space="preserve">Accuracy</w:t>
            </w:r>
          </w:p>
          <w:p>
            <w:pPr>
              <w:jc w:val="center"/>
            </w:pPr>
            <w:r>
              <w:rPr>
                <w:rFonts w:ascii="Arial" w:cs="Arial" w:eastAsia="Arial" w:hAnsi="Arial"/>
                <w:color w:val="546E7A"/>
                <w:sz w:val="16"/>
                <w:szCs w:val="16"/>
              </w:rPr>
              <w:t xml:space="preserve">Sur données synthétiques</w:t>
            </w:r>
          </w:p>
        </w:tc>
        <w:tc>
          <w:tcPr>
            <w:tcW w:type="dxa" w:w="2250"/>
            <w:tcBorders>
              <w:top w:val="single" w:color="CCCCCC" w:sz="1"/>
              <w:left w:val="single" w:color="CCCCCC" w:sz="1"/>
              <w:bottom w:val="single" w:color="CCCCCC" w:sz="1"/>
              <w:right w:val="single" w:color="CCCCCC" w:sz="1"/>
            </w:tcBorders>
            <w:shd w:fill="F5F7FA" w:val="clear"/>
            <w:tcMar>
              <w:top w:type="dxa" w:w="120"/>
              <w:left w:type="dxa" w:w="120"/>
              <w:bottom w:type="dxa" w:w="120"/>
              <w:right w:type="dxa" w:w="120"/>
            </w:tcMar>
          </w:tcPr>
          <w:p>
            <w:pPr>
              <w:jc w:val="center"/>
            </w:pPr>
            <w:r>
              <w:rPr>
                <w:rFonts w:ascii="Arial" w:cs="Arial" w:eastAsia="Arial" w:hAnsi="Arial"/>
                <w:b/>
                <w:bCs/>
                <w:color w:val="2E7D32"/>
                <w:sz w:val="36"/>
                <w:szCs w:val="36"/>
              </w:rPr>
              <w:t xml:space="preserve">1.000</w:t>
            </w:r>
          </w:p>
          <w:p>
            <w:pPr>
              <w:spacing w:before="60" w:after="40"/>
              <w:jc w:val="center"/>
            </w:pPr>
            <w:r>
              <w:rPr>
                <w:rFonts w:ascii="Arial" w:cs="Arial" w:eastAsia="Arial" w:hAnsi="Arial"/>
                <w:b/>
                <w:bCs/>
                <w:color w:val="333333"/>
                <w:sz w:val="18"/>
                <w:szCs w:val="18"/>
              </w:rPr>
              <w:t xml:space="preserve">F1-Macro</w:t>
            </w:r>
          </w:p>
          <w:p>
            <w:pPr>
              <w:jc w:val="center"/>
            </w:pPr>
            <w:r>
              <w:rPr>
                <w:rFonts w:ascii="Arial" w:cs="Arial" w:eastAsia="Arial" w:hAnsi="Arial"/>
                <w:color w:val="546E7A"/>
                <w:sz w:val="16"/>
                <w:szCs w:val="16"/>
              </w:rPr>
              <w:t xml:space="preserve">3 classes équilibrées</w:t>
            </w:r>
          </w:p>
        </w:tc>
        <w:tc>
          <w:tcPr>
            <w:tcW w:type="dxa" w:w="2250"/>
            <w:tcBorders>
              <w:top w:val="single" w:color="CCCCCC" w:sz="1"/>
              <w:left w:val="single" w:color="CCCCCC" w:sz="1"/>
              <w:bottom w:val="single" w:color="CCCCCC" w:sz="1"/>
              <w:right w:val="single" w:color="CCCCCC" w:sz="1"/>
            </w:tcBorders>
            <w:shd w:fill="F5F7FA" w:val="clear"/>
            <w:tcMar>
              <w:top w:type="dxa" w:w="120"/>
              <w:left w:type="dxa" w:w="120"/>
              <w:bottom w:type="dxa" w:w="120"/>
              <w:right w:type="dxa" w:w="120"/>
            </w:tcMar>
          </w:tcPr>
          <w:p>
            <w:pPr>
              <w:jc w:val="center"/>
            </w:pPr>
            <w:r>
              <w:rPr>
                <w:rFonts w:ascii="Arial" w:cs="Arial" w:eastAsia="Arial" w:hAnsi="Arial"/>
                <w:b/>
                <w:bCs/>
                <w:color w:val="2E75B6"/>
                <w:sz w:val="36"/>
                <w:szCs w:val="36"/>
              </w:rPr>
              <w:t xml:space="preserve">0.0063</w:t>
            </w:r>
          </w:p>
          <w:p>
            <w:pPr>
              <w:spacing w:before="60" w:after="40"/>
              <w:jc w:val="center"/>
            </w:pPr>
            <w:r>
              <w:rPr>
                <w:rFonts w:ascii="Arial" w:cs="Arial" w:eastAsia="Arial" w:hAnsi="Arial"/>
                <w:b/>
                <w:bCs/>
                <w:color w:val="333333"/>
                <w:sz w:val="18"/>
                <w:szCs w:val="18"/>
              </w:rPr>
              <w:t xml:space="preserve">Val Loss</w:t>
            </w:r>
          </w:p>
          <w:p>
            <w:pPr>
              <w:jc w:val="center"/>
            </w:pPr>
            <w:r>
              <w:rPr>
                <w:rFonts w:ascii="Arial" w:cs="Arial" w:eastAsia="Arial" w:hAnsi="Arial"/>
                <w:color w:val="546E7A"/>
                <w:sz w:val="16"/>
                <w:szCs w:val="16"/>
              </w:rPr>
              <w:t xml:space="preserve">Convergence epoch ~45</w:t>
            </w:r>
          </w:p>
        </w:tc>
        <w:tc>
          <w:tcPr>
            <w:tcW w:type="dxa" w:w="2250"/>
            <w:tcBorders>
              <w:top w:val="single" w:color="CCCCCC" w:sz="1"/>
              <w:left w:val="single" w:color="CCCCCC" w:sz="1"/>
              <w:bottom w:val="single" w:color="CCCCCC" w:sz="1"/>
              <w:right w:val="single" w:color="CCCCCC" w:sz="1"/>
            </w:tcBorders>
            <w:shd w:fill="F5F7FA" w:val="clear"/>
            <w:tcMar>
              <w:top w:type="dxa" w:w="120"/>
              <w:left w:type="dxa" w:w="120"/>
              <w:bottom w:type="dxa" w:w="120"/>
              <w:right w:type="dxa" w:w="120"/>
            </w:tcMar>
          </w:tcPr>
          <w:p>
            <w:pPr>
              <w:jc w:val="center"/>
            </w:pPr>
            <w:r>
              <w:rPr>
                <w:rFonts w:ascii="Arial" w:cs="Arial" w:eastAsia="Arial" w:hAnsi="Arial"/>
                <w:b/>
                <w:bCs/>
                <w:color w:val="546E7A"/>
                <w:sz w:val="36"/>
                <w:szCs w:val="36"/>
              </w:rPr>
              <w:t xml:space="preserve">46,531</w:t>
            </w:r>
          </w:p>
          <w:p>
            <w:pPr>
              <w:spacing w:before="60" w:after="40"/>
              <w:jc w:val="center"/>
            </w:pPr>
            <w:r>
              <w:rPr>
                <w:rFonts w:ascii="Arial" w:cs="Arial" w:eastAsia="Arial" w:hAnsi="Arial"/>
                <w:b/>
                <w:bCs/>
                <w:color w:val="333333"/>
                <w:sz w:val="18"/>
                <w:szCs w:val="18"/>
              </w:rPr>
              <w:t xml:space="preserve">Paramètres</w:t>
            </w:r>
          </w:p>
          <w:p>
            <w:pPr>
              <w:jc w:val="center"/>
            </w:pPr>
            <w:r>
              <w:rPr>
                <w:rFonts w:ascii="Arial" w:cs="Arial" w:eastAsia="Arial" w:hAnsi="Arial"/>
                <w:color w:val="546E7A"/>
                <w:sz w:val="16"/>
                <w:szCs w:val="16"/>
              </w:rPr>
              <w:t xml:space="preserve">Modèle léger (&lt;2MB)</w:t>
            </w:r>
          </w:p>
        </w:tc>
      </w:tr>
    </w:tbl>
    <w:p>
      <w:pPr>
        <w:spacing w:before="16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Note sur les résultats parfaits (F1=1.0)</w:t>
            </w:r>
          </w:p>
        </w:tc>
      </w:tr>
      <w:tr>
        <w:tc>
          <w:tcPr>
            <w:tcW w:type="dxa" w:w="92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color w:val="333333"/>
                <w:sz w:val="21"/>
                <w:szCs w:val="21"/>
              </w:rPr>
              <w:t xml:space="preserve">Les scores parfaits sur les deux modules s'expliquent par la nature synthétique des données :</w:t>
            </w:r>
          </w:p>
        </w:tc>
      </w:tr>
      <w:tr>
        <w:tc>
          <w:tcPr>
            <w:tcW w:type="dxa" w:w="92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color w:val="333333"/>
                <w:sz w:val="21"/>
                <w:szCs w:val="21"/>
              </w:rPr>
              <w:t xml:space="preserve">  • Les patterns sont générés par des règles déterministes → très séparables</w:t>
            </w:r>
          </w:p>
        </w:tc>
      </w:tr>
      <w:tr>
        <w:tc>
          <w:tcPr>
            <w:tcW w:type="dxa" w:w="92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color w:val="333333"/>
                <w:sz w:val="21"/>
                <w:szCs w:val="21"/>
              </w:rPr>
              <w:t xml:space="preserve">  • En conditions réelles (données terrain labellisées), on s'attend à :</w:t>
            </w:r>
          </w:p>
        </w:tc>
      </w:tr>
      <w:tr>
        <w:tc>
          <w:tcPr>
            <w:tcW w:type="dxa" w:w="92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color w:val="333333"/>
                <w:sz w:val="21"/>
                <w:szCs w:val="21"/>
              </w:rPr>
              <w:t xml:space="preserve">      NLP T1 : F1-Macro ≈ 0.75 – 0.85  (variabilité humaine dans les réponses)</w:t>
            </w:r>
          </w:p>
        </w:tc>
      </w:tr>
      <w:tr>
        <w:tc>
          <w:tcPr>
            <w:tcW w:type="dxa" w:w="92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color w:val="333333"/>
                <w:sz w:val="21"/>
                <w:szCs w:val="21"/>
              </w:rPr>
              <w:t xml:space="preserve">      LSTM   : F1-Macro ≈ 0.82 – 0.90  (bruit de détection MediaPipe)</w:t>
            </w:r>
          </w:p>
        </w:tc>
      </w:tr>
      <w:tr>
        <w:tc>
          <w:tcPr>
            <w:tcW w:type="dxa" w:w="92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color w:val="333333"/>
                <w:sz w:val="21"/>
                <w:szCs w:val="21"/>
              </w:rPr>
              <w:t xml:space="preserve">  • Les architectures et pipelines sont validés — les modèles seront réentraînés sur données terrain</w:t>
            </w:r>
          </w:p>
        </w:tc>
      </w:tr>
    </w:tbl>
    <w:p>
      <w:r>
        <w:br w:type="page"/>
      </w:r>
    </w:p>
    <w:p>
      <w:pPr>
        <w:pStyle w:val="Heading1"/>
        <w:pBdr>
          <w:bottom w:val="single" w:color="2E75B6" w:sz="6" w:space="4"/>
        </w:pBdr>
        <w:spacing w:before="360" w:after="180"/>
      </w:pPr>
      <w:r>
        <w:rPr>
          <w:rFonts w:ascii="Arial" w:cs="Arial" w:eastAsia="Arial" w:hAnsi="Arial"/>
          <w:b/>
          <w:bCs/>
          <w:color w:val="1B3A6B"/>
          <w:sz w:val="30"/>
          <w:szCs w:val="30"/>
        </w:rPr>
        <w:t xml:space="preserve">5. Livrables Produits</w:t>
      </w:r>
    </w:p>
    <w:p>
      <w:pPr>
        <w:pStyle w:val="Heading2"/>
        <w:spacing w:before="280" w:after="140"/>
      </w:pPr>
      <w:r>
        <w:rPr>
          <w:rFonts w:ascii="Arial" w:cs="Arial" w:eastAsia="Arial" w:hAnsi="Arial"/>
          <w:b/>
          <w:bCs/>
          <w:color w:val="2E75B6"/>
          <w:sz w:val="26"/>
          <w:szCs w:val="26"/>
        </w:rPr>
        <w:t xml:space="preserve">5.1 Fichiers de code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3800"/>
        <w:gridCol w:w="120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Fichier</w:t>
            </w:r>
          </w:p>
        </w:tc>
        <w:tc>
          <w:tcPr>
            <w:tcW w:type="dxa" w:w="1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Type</w:t>
            </w:r>
          </w:p>
        </w:tc>
        <w:tc>
          <w:tcPr>
            <w:tcW w:type="dxa" w:w="3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Taille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nlp_scoring_exploration.ipynb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Notebook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EDA, feature engineering, benchmark 3 modèles, inférence demo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36 KB</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nlp_scoring_train.py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Script</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Pipeline entraînement T1/T2/T3, GridSearchCV, CLI complète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~12 KB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nlp_scoring_model.py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Classe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NLPScoringModel : predict(objection, response) → dict complet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~10 KB</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lstm_exploration.ipynb</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Notebook</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EDA séquences, PCA, RF baseline, archi LSTM, training curves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38 KB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lstm_train.py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Script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LSTM NumPy + BPTT + Adam, early stopping, CLI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~18 KB</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lstm_model.py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Classe</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BodyLanguageModel + SequenceBuffer : inférence temps réel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~12 KB</w:t>
            </w:r>
          </w:p>
        </w:tc>
      </w:tr>
    </w:tbl>
    <w:p>
      <w:pPr>
        <w:spacing w:before="160" w:after="0"/>
      </w:pPr>
      <w:r>
        <w:t xml:space="preserve"/>
      </w:r>
    </w:p>
    <w:p>
      <w:pPr>
        <w:pStyle w:val="Heading2"/>
        <w:spacing w:before="280" w:after="140"/>
      </w:pPr>
      <w:r>
        <w:rPr>
          <w:rFonts w:ascii="Arial" w:cs="Arial" w:eastAsia="Arial" w:hAnsi="Arial"/>
          <w:b/>
          <w:bCs/>
          <w:color w:val="2E75B6"/>
          <w:sz w:val="26"/>
          <w:szCs w:val="26"/>
        </w:rPr>
        <w:t xml:space="preserve">5.2 Datasets générés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1800"/>
        <w:gridCol w:w="160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Fichier</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Contenu</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Dimensions</w:t>
            </w:r>
          </w:p>
        </w:tc>
        <w:tc>
          <w:tcPr>
            <w:tcW w:type="dxa" w:w="1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Taille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conversation_transcripts.csv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DS4 — 400 conversations enrichies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(400, 17)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149 KB</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lstm_sequences.npy</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Séquences landmarks brutes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(400, 30, 66)</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6.1 MB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lstm_labels.npy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Labels posture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(400,)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3.3 KB</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lstm_sequences_meta.csv</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Métadonnées séquences (scores, state...)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(400, 9)</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19 KB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lstm_frame_data.csv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Données frame-level (12,000 lignes)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(12000, 77)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5.9 MB</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lstm_X_geom.npy</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Features géométriques normalisées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(400, 30, 12)</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1.1 MB</w:t>
            </w:r>
          </w:p>
        </w:tc>
      </w:tr>
    </w:tbl>
    <w:p>
      <w:pPr>
        <w:spacing w:before="160" w:after="0"/>
      </w:pPr>
      <w:r>
        <w:t xml:space="preserve"/>
      </w:r>
    </w:p>
    <w:p>
      <w:pPr>
        <w:pStyle w:val="Heading2"/>
        <w:spacing w:before="280" w:after="140"/>
      </w:pPr>
      <w:r>
        <w:rPr>
          <w:rFonts w:ascii="Arial" w:cs="Arial" w:eastAsia="Arial" w:hAnsi="Arial"/>
          <w:b/>
          <w:bCs/>
          <w:color w:val="2E75B6"/>
          <w:sz w:val="26"/>
          <w:szCs w:val="26"/>
        </w:rPr>
        <w:t xml:space="preserve">5.3 Artifacts modèles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1800"/>
      </w:tblGrid>
      <w:tr>
        <w:trPr>
          <w:tblHeader/>
        </w:trPr>
        <w:tc>
          <w:tcPr>
            <w:tcW w:type="dxa" w:w="3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Artifact</w:t>
            </w:r>
          </w:p>
        </w:tc>
        <w:tc>
          <w:tcPr>
            <w:tcW w:type="dxa" w:w="3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Contenu</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Taille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nlp_scoring_model.pkl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Bundle NLP complet (T1 + T2 + T3 + encoders)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309 KB</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t1_quality_classifier.pkl</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Pipeline TF-IDF + SVM RBF</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214 KB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t2_score_regressor.pkl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TF-IDF + Ridge MultiOutputRegressor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48 KB</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t3_sentiment_classifier.pkl</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Pipeline TF-IDF + LogReg</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48 KB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lstm_body_language.pkl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Bundle LSTM complet (modèle + scaler + config)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1.1 MB</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training_report.json</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Métriques NLP complètes (T1/T2/T3)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1.6 KB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lstm_training_report.json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Métriques LSTM + courbes d'entraînement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5.3 KB</w:t>
            </w:r>
          </w:p>
        </w:tc>
      </w:tr>
    </w:tbl>
    <w:p>
      <w:r>
        <w:br w:type="page"/>
      </w:r>
    </w:p>
    <w:p>
      <w:pPr>
        <w:pStyle w:val="Heading1"/>
        <w:pBdr>
          <w:bottom w:val="single" w:color="2E75B6" w:sz="6" w:space="4"/>
        </w:pBdr>
        <w:spacing w:before="360" w:after="180"/>
      </w:pPr>
      <w:r>
        <w:rPr>
          <w:rFonts w:ascii="Arial" w:cs="Arial" w:eastAsia="Arial" w:hAnsi="Arial"/>
          <w:b/>
          <w:bCs/>
          <w:color w:val="1B3A6B"/>
          <w:sz w:val="30"/>
          <w:szCs w:val="30"/>
        </w:rPr>
        <w:t xml:space="preserve">6. Interfaces d'Inférence — Intégration Avatar</w:t>
      </w:r>
    </w:p>
    <w:p>
      <w:pPr>
        <w:pStyle w:val="Heading2"/>
        <w:spacing w:before="280" w:after="140"/>
      </w:pPr>
      <w:r>
        <w:rPr>
          <w:rFonts w:ascii="Arial" w:cs="Arial" w:eastAsia="Arial" w:hAnsi="Arial"/>
          <w:b/>
          <w:bCs/>
          <w:color w:val="2E75B6"/>
          <w:sz w:val="26"/>
          <w:szCs w:val="26"/>
        </w:rPr>
        <w:t xml:space="preserve">6.1 NLPScoringModel — Interface de scoring</w:t>
      </w:r>
    </w:p>
    <w:p>
      <w:pPr>
        <w:spacing w:before="80" w:after="80"/>
        <w:jc w:val="both"/>
      </w:pPr>
      <w:r>
        <w:rPr>
          <w:rFonts w:ascii="Arial" w:cs="Arial" w:eastAsia="Arial" w:hAnsi="Arial"/>
          <w:b w:val="false"/>
          <w:bCs w:val="false"/>
          <w:i w:val="false"/>
          <w:iCs w:val="false"/>
          <w:color w:val="222222"/>
          <w:sz w:val="22"/>
          <w:szCs w:val="22"/>
        </w:rPr>
        <w:t xml:space="preserve">La classe NLPScoringModel expose une interface unique pour scorer une conversation complète en une seule ligne d'appel. Elle est conçue pour être importée directement par le moteur de l'avatar DSO 1 :</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NLPScoringModel.predict(objection, response) → dict</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from nlp_scoring_model import NLPScoringModel</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model = NLPScoringModel.load('models/nlp_scoring_model.pkl')</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result = model.predict(</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    objection = 'J\'ai des doutes sur l\'efficacité...',</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    response  = 'Je comprends votre préoccupation. Des études cliniques...'</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result = {</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    'quality'        : 'Excellent',</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    'quality_proba'  : {'Excellent': 0.724, 'Bon': 0.261, 'Faible': 0.015},</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    'scores'         : {'scientific_accuracy': 8.74, 'communication_clarity': 8.59, 'objection_handling': 8.45},</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    'overall_score'  : 8.60,   # formule ALIA pondérée</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    'sentiment'      : 'Positif',</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    'feedback'       : ['Réponse de qualité — aucune amélioration critique ✅'],</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    'competency_flag': True    # overall_score &gt;= 7.0</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w:t>
            </w:r>
          </w:p>
        </w:tc>
      </w:tr>
    </w:tbl>
    <w:p>
      <w:pPr>
        <w:spacing w:before="160" w:after="0"/>
      </w:pPr>
      <w:r>
        <w:t xml:space="preserve"/>
      </w:r>
    </w:p>
    <w:p>
      <w:pPr>
        <w:pStyle w:val="Heading2"/>
        <w:spacing w:before="280" w:after="140"/>
      </w:pPr>
      <w:r>
        <w:rPr>
          <w:rFonts w:ascii="Arial" w:cs="Arial" w:eastAsia="Arial" w:hAnsi="Arial"/>
          <w:b/>
          <w:bCs/>
          <w:color w:val="2E75B6"/>
          <w:sz w:val="26"/>
          <w:szCs w:val="26"/>
        </w:rPr>
        <w:t xml:space="preserve">6.2 BodyLanguageModel — Interface temps réel</w:t>
      </w:r>
    </w:p>
    <w:p>
      <w:pPr>
        <w:spacing w:before="80" w:after="80"/>
        <w:jc w:val="both"/>
      </w:pPr>
      <w:r>
        <w:rPr>
          <w:rFonts w:ascii="Arial" w:cs="Arial" w:eastAsia="Arial" w:hAnsi="Arial"/>
          <w:b w:val="false"/>
          <w:bCs w:val="false"/>
          <w:i w:val="false"/>
          <w:iCs w:val="false"/>
          <w:color w:val="222222"/>
          <w:sz w:val="22"/>
          <w:szCs w:val="22"/>
        </w:rPr>
        <w:t xml:space="preserve">La classe BodyLanguageModel est conçue pour s'intégrer dans une boucle vidéo à 30 fps. Le SequenceBuffer accumule les frames et déclenche l'inférence automatiquement quand 30 frames sont disponibles :</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BodyLanguageModel — Intégration boucle vidéo</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from lstm_model import BodyLanguageModel, SequenceBuffer</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model  = BodyLanguageModel.load('models/lstm_body_language.pkl')</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buffer = SequenceBuffer(seq_len=30)</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 Dans la boucle vidéo (par frame) :</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buffer.add_frame(mediapipe_landmarks)   # ajoute la frame courante</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if buffer.is_ready():                   # True après 30 frames</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    result = model.predict_from_buffer(buffer)</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    hud    = model.get_hud_data(result)  # compatible draw_hud()</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    # result = {</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    #   'posture'      : 'upright',</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    #   'confidence'   : 92.0,</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    #   'stress'       : 8.0,</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    #   'posture_color': (0, 220, 0),    # BGR OpenCV</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    #   'feedback'     : 'Excellente posture — continuez ainsi'</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    # }</w:t>
            </w:r>
          </w:p>
        </w:tc>
      </w:tr>
    </w:tbl>
    <w:p>
      <w:r>
        <w:br w:type="page"/>
      </w:r>
    </w:p>
    <w:p>
      <w:pPr>
        <w:pStyle w:val="Heading1"/>
        <w:pBdr>
          <w:bottom w:val="single" w:color="2E75B6" w:sz="6" w:space="4"/>
        </w:pBdr>
        <w:spacing w:before="360" w:after="180"/>
      </w:pPr>
      <w:r>
        <w:rPr>
          <w:rFonts w:ascii="Arial" w:cs="Arial" w:eastAsia="Arial" w:hAnsi="Arial"/>
          <w:b/>
          <w:bCs/>
          <w:color w:val="1B3A6B"/>
          <w:sz w:val="30"/>
          <w:szCs w:val="30"/>
        </w:rPr>
        <w:t xml:space="preserve">7. Analyse Technique &amp; Décisions d'Architecture</w:t>
      </w:r>
    </w:p>
    <w:p>
      <w:pPr>
        <w:pStyle w:val="Heading2"/>
        <w:spacing w:before="280" w:after="140"/>
      </w:pPr>
      <w:r>
        <w:rPr>
          <w:rFonts w:ascii="Arial" w:cs="Arial" w:eastAsia="Arial" w:hAnsi="Arial"/>
          <w:b/>
          <w:bCs/>
          <w:color w:val="2E75B6"/>
          <w:sz w:val="26"/>
          <w:szCs w:val="26"/>
        </w:rPr>
        <w:t xml:space="preserve">7.1 Choix TF-IDF vs Transformers (CamemBERT)</w:t>
      </w:r>
    </w:p>
    <w:p>
      <w:pPr>
        <w:spacing w:before="80" w:after="80"/>
        <w:jc w:val="both"/>
      </w:pPr>
      <w:r>
        <w:rPr>
          <w:rFonts w:ascii="Arial" w:cs="Arial" w:eastAsia="Arial" w:hAnsi="Arial"/>
          <w:b w:val="false"/>
          <w:bCs w:val="false"/>
          <w:i w:val="false"/>
          <w:iCs w:val="false"/>
          <w:color w:val="222222"/>
          <w:sz w:val="22"/>
          <w:szCs w:val="22"/>
        </w:rPr>
        <w:t xml:space="preserve">L'utilisation de TF-IDF + modèles classiques (SVM, Ridge) est un choix délibéré et justifiable dans le contexte du PFE :</w:t>
      </w:r>
    </w:p>
    <w:p>
      <w:pPr>
        <w:pStyle w:val="ListParagraph"/>
        <w:numPr>
          <w:ilvl w:val="0"/>
          <w:numId w:val="2"/>
        </w:numPr>
        <w:spacing w:before="60" w:after="60"/>
      </w:pPr>
      <w:r>
        <w:rPr>
          <w:rFonts w:ascii="Arial" w:cs="Arial" w:eastAsia="Arial" w:hAnsi="Arial"/>
          <w:color w:val="222222"/>
          <w:sz w:val="22"/>
          <w:szCs w:val="22"/>
        </w:rPr>
        <w:t xml:space="preserve">Environnement offline : aucun accès GPU ni internet — transformers non viables pour l'entraînement</w:t>
      </w:r>
    </w:p>
    <w:p>
      <w:pPr>
        <w:pStyle w:val="ListParagraph"/>
        <w:numPr>
          <w:ilvl w:val="0"/>
          <w:numId w:val="2"/>
        </w:numPr>
        <w:spacing w:before="60" w:after="60"/>
      </w:pPr>
      <w:r>
        <w:rPr>
          <w:rFonts w:ascii="Arial" w:cs="Arial" w:eastAsia="Arial" w:hAnsi="Arial"/>
          <w:color w:val="222222"/>
          <w:sz w:val="22"/>
          <w:szCs w:val="22"/>
        </w:rPr>
        <w:t xml:space="preserve">Performance suffisante : F1=0.96 sur T1 est excellent pour un dataset de 400 exemples</w:t>
      </w:r>
    </w:p>
    <w:p>
      <w:pPr>
        <w:pStyle w:val="ListParagraph"/>
        <w:numPr>
          <w:ilvl w:val="0"/>
          <w:numId w:val="2"/>
        </w:numPr>
        <w:spacing w:before="60" w:after="60"/>
      </w:pPr>
      <w:r>
        <w:rPr>
          <w:rFonts w:ascii="Arial" w:cs="Arial" w:eastAsia="Arial" w:hAnsi="Arial"/>
          <w:color w:val="222222"/>
          <w:sz w:val="22"/>
          <w:szCs w:val="22"/>
        </w:rPr>
        <w:t xml:space="preserve">Interprétabilité : les features NLP (argumentation_richness, has_empathy...) permettent un feedback actionnable pour l'avatar</w:t>
      </w:r>
    </w:p>
    <w:p>
      <w:pPr>
        <w:pStyle w:val="ListParagraph"/>
        <w:numPr>
          <w:ilvl w:val="0"/>
          <w:numId w:val="2"/>
        </w:numPr>
        <w:spacing w:before="60" w:after="60"/>
      </w:pPr>
      <w:r>
        <w:rPr>
          <w:rFonts w:ascii="Arial" w:cs="Arial" w:eastAsia="Arial" w:hAnsi="Arial"/>
          <w:color w:val="222222"/>
          <w:sz w:val="22"/>
          <w:szCs w:val="22"/>
        </w:rPr>
        <w:t xml:space="preserve">Extensibilité documentée : le script lstm_train.py est structuré pour remplacer TF-IDF par CamemBERT sans changer l'interface predict()</w:t>
      </w:r>
    </w:p>
    <w:p>
      <w:pPr>
        <w:spacing w:before="160" w:after="0"/>
      </w:pPr>
      <w:r>
        <w:t xml:space="preserve"/>
      </w:r>
    </w:p>
    <w:p>
      <w:pPr>
        <w:pStyle w:val="Heading2"/>
        <w:spacing w:before="280" w:after="140"/>
      </w:pPr>
      <w:r>
        <w:rPr>
          <w:rFonts w:ascii="Arial" w:cs="Arial" w:eastAsia="Arial" w:hAnsi="Arial"/>
          <w:b/>
          <w:bCs/>
          <w:color w:val="2E75B6"/>
          <w:sz w:val="26"/>
          <w:szCs w:val="26"/>
        </w:rPr>
        <w:t xml:space="preserve">7.2 Choix NumPy vs PyTorch pour le LSTM</w:t>
      </w:r>
    </w:p>
    <w:p>
      <w:pPr>
        <w:spacing w:before="80" w:after="80"/>
        <w:jc w:val="both"/>
      </w:pPr>
      <w:r>
        <w:rPr>
          <w:rFonts w:ascii="Arial" w:cs="Arial" w:eastAsia="Arial" w:hAnsi="Arial"/>
          <w:b w:val="false"/>
          <w:bCs w:val="false"/>
          <w:i w:val="false"/>
          <w:iCs w:val="false"/>
          <w:color w:val="222222"/>
          <w:sz w:val="22"/>
          <w:szCs w:val="22"/>
        </w:rPr>
        <w:t xml:space="preserve">Le LSTM est implémenté en NumPy pur avec BPTT manuel — un choix justifiable pour un PFE :</w:t>
      </w:r>
    </w:p>
    <w:p>
      <w:pPr>
        <w:pStyle w:val="ListParagraph"/>
        <w:numPr>
          <w:ilvl w:val="0"/>
          <w:numId w:val="2"/>
        </w:numPr>
        <w:spacing w:before="60" w:after="60"/>
      </w:pPr>
      <w:r>
        <w:rPr>
          <w:rFonts w:ascii="Arial" w:cs="Arial" w:eastAsia="Arial" w:hAnsi="Arial"/>
          <w:color w:val="222222"/>
          <w:sz w:val="22"/>
          <w:szCs w:val="22"/>
        </w:rPr>
        <w:t xml:space="preserve">Démontre la compréhension profonde des mécanismes internes (gates, forget bias, vanishing gradient)</w:t>
      </w:r>
    </w:p>
    <w:p>
      <w:pPr>
        <w:pStyle w:val="ListParagraph"/>
        <w:numPr>
          <w:ilvl w:val="0"/>
          <w:numId w:val="2"/>
        </w:numPr>
        <w:spacing w:before="60" w:after="60"/>
      </w:pPr>
      <w:r>
        <w:rPr>
          <w:rFonts w:ascii="Arial" w:cs="Arial" w:eastAsia="Arial" w:hAnsi="Arial"/>
          <w:color w:val="222222"/>
          <w:sz w:val="22"/>
          <w:szCs w:val="22"/>
        </w:rPr>
        <w:t xml:space="preserve">Compatible avec l'environnement offline sans installation PyTorch</w:t>
      </w:r>
    </w:p>
    <w:p>
      <w:pPr>
        <w:pStyle w:val="ListParagraph"/>
        <w:numPr>
          <w:ilvl w:val="0"/>
          <w:numId w:val="2"/>
        </w:numPr>
        <w:spacing w:before="60" w:after="60"/>
      </w:pPr>
      <w:r>
        <w:rPr>
          <w:rFonts w:ascii="Arial" w:cs="Arial" w:eastAsia="Arial" w:hAnsi="Arial"/>
          <w:color w:val="222222"/>
          <w:sz w:val="22"/>
          <w:szCs w:val="22"/>
        </w:rPr>
        <w:t xml:space="preserve">Architecture identique à torch.nn.LSTM — remplacement direct possible en production</w:t>
      </w:r>
    </w:p>
    <w:p>
      <w:pPr>
        <w:pStyle w:val="ListParagraph"/>
        <w:numPr>
          <w:ilvl w:val="0"/>
          <w:numId w:val="2"/>
        </w:numPr>
        <w:spacing w:before="60" w:after="60"/>
      </w:pPr>
      <w:r>
        <w:rPr>
          <w:rFonts w:ascii="Arial" w:cs="Arial" w:eastAsia="Arial" w:hAnsi="Arial"/>
          <w:color w:val="222222"/>
          <w:sz w:val="22"/>
          <w:szCs w:val="22"/>
        </w:rPr>
        <w:t xml:space="preserve">L'implémentation inclut les meilleures pratiques : Xavier init, forget gate bias=1, gradient clipping</w:t>
      </w:r>
    </w:p>
    <w:p>
      <w:pPr>
        <w:spacing w:before="160" w:after="0"/>
      </w:pPr>
      <w:r>
        <w:t xml:space="preserve"/>
      </w:r>
    </w:p>
    <w:p>
      <w:pPr>
        <w:pStyle w:val="Heading2"/>
        <w:spacing w:before="280" w:after="140"/>
      </w:pPr>
      <w:r>
        <w:rPr>
          <w:rFonts w:ascii="Arial" w:cs="Arial" w:eastAsia="Arial" w:hAnsi="Arial"/>
          <w:b/>
          <w:bCs/>
          <w:color w:val="2E75B6"/>
          <w:sz w:val="26"/>
          <w:szCs w:val="26"/>
        </w:rPr>
        <w:t xml:space="preserve">7.3 Features géométriques LSTM</w:t>
      </w:r>
    </w:p>
    <w:p>
      <w:pPr>
        <w:spacing w:before="80" w:after="80"/>
        <w:jc w:val="both"/>
      </w:pPr>
      <w:r>
        <w:rPr>
          <w:rFonts w:ascii="Arial" w:cs="Arial" w:eastAsia="Arial" w:hAnsi="Arial"/>
          <w:b w:val="false"/>
          <w:bCs w:val="false"/>
          <w:i w:val="false"/>
          <w:iCs w:val="false"/>
          <w:color w:val="222222"/>
          <w:sz w:val="22"/>
          <w:szCs w:val="22"/>
        </w:rPr>
        <w:t xml:space="preserve">Inspirées directement de la logique de Body-language-detection.py, 12 features géométriques interprétables ont été extraites pour le module LSTM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80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Feature</w:t>
            </w:r>
          </w:p>
        </w:tc>
        <w:tc>
          <w:tcPr>
            <w:tcW w:type="dxa" w:w="4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Discriminance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ratio_a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Largeur épaules / distance nez-épaules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Très haute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slouch</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Score composite de voûtement (3 signaux)</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Très haute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hunch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Score de position de tête avancée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Haute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arms_crossed_score</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Score de bras croisés (L+R)/2</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Haute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wrist_dist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Distance poignets normalisée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Modérée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l_face / r_face</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Détection mains près du visage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Modérée</w:t>
            </w:r>
          </w:p>
        </w:tc>
      </w:tr>
    </w:tbl>
    <w:p>
      <w:r>
        <w:br w:type="page"/>
      </w:r>
    </w:p>
    <w:p>
      <w:pPr>
        <w:pStyle w:val="Heading1"/>
        <w:pBdr>
          <w:bottom w:val="single" w:color="2E75B6" w:sz="6" w:space="4"/>
        </w:pBdr>
        <w:spacing w:before="360" w:after="180"/>
      </w:pPr>
      <w:r>
        <w:rPr>
          <w:rFonts w:ascii="Arial" w:cs="Arial" w:eastAsia="Arial" w:hAnsi="Arial"/>
          <w:b/>
          <w:bCs/>
          <w:color w:val="1B3A6B"/>
          <w:sz w:val="30"/>
          <w:szCs w:val="30"/>
        </w:rPr>
        <w:t xml:space="preserve">8. Prochaines Étapes — Roadmap DSO 2</w:t>
      </w:r>
    </w:p>
    <w:p>
      <w:pPr>
        <w:spacing w:before="80" w:after="80"/>
        <w:jc w:val="both"/>
      </w:pPr>
      <w:r>
        <w:rPr>
          <w:rFonts w:ascii="Arial" w:cs="Arial" w:eastAsia="Arial" w:hAnsi="Arial"/>
          <w:b w:val="false"/>
          <w:bCs w:val="false"/>
          <w:i w:val="false"/>
          <w:iCs w:val="false"/>
          <w:color w:val="222222"/>
          <w:sz w:val="22"/>
          <w:szCs w:val="22"/>
        </w:rPr>
        <w:t xml:space="preserve">DSO 1 est complété avec tous ses livrables. La suite du projet ALIA porte sur DSO 2 (moteur de dialogue RAG), DSO 3 (analytics CRM) et DSO 4 (optimisation de routes — déjà livré).</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200"/>
        <w:gridCol w:w="2400"/>
      </w:tblGrid>
      <w:tr>
        <w:trPr>
          <w:tblHeader/>
        </w:trPr>
        <w:tc>
          <w:tcPr>
            <w:tcW w:type="dxa" w:w="1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DSO</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Composant</w:t>
            </w:r>
          </w:p>
        </w:tc>
        <w:tc>
          <w:tcPr>
            <w:tcW w:type="dxa" w:w="3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Technologie prévue</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DSO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Moteur de réponses RAG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LLM + FAISS/ChromaDB + KB objections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 Prochain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DSO 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Traduction multilingue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TensorFlow / MarianMT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 Prochain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DSO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Speech-to-Text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Citrinet / Wav2Vec2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 Prochain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DSO 3</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Analytics CRM</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Power BI + DS3 (230 clients)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 Planifié</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DSO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Optimisateur de routes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TSP + 2-Opt (23 pharmacies Tunisie)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 Livré</w:t>
            </w:r>
          </w:p>
        </w:tc>
      </w:tr>
    </w:tbl>
    <w:p>
      <w:pPr>
        <w:spacing w:before="16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Intégration DSO 1 → DSO 2</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Les outputs de DSO 1 alimentent directement DSO 2 :</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  NLPScoringModel.predict()  →  score + feedback  →  moteur adaptatif de scénarios</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  BodyLanguageModel.predict() →  stress + posture  →  ajustement difficulté avatar</w:t>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
            </w:r>
          </w:p>
        </w:tc>
      </w:tr>
      <w:tr>
        <w:tc>
          <w:tcPr>
            <w:tcW w:type="dxa" w:w="92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color w:val="333333"/>
                <w:sz w:val="21"/>
                <w:szCs w:val="21"/>
              </w:rPr>
              <w:t xml:space="preserve">La KB des 131 paires objection/réponse expertes (DS4) sera vectorisée pour le RAG (DSO 2).</w:t>
            </w:r>
          </w:p>
        </w:tc>
      </w:tr>
    </w:tbl>
    <w:p>
      <w:pPr>
        <w:spacing w:before="160" w:after="0"/>
      </w:pPr>
      <w:r>
        <w:t xml:space="preserve"/>
      </w:r>
    </w:p>
    <w:p>
      <w:pPr>
        <w:pStyle w:val="Heading1"/>
        <w:pBdr>
          <w:bottom w:val="single" w:color="2E75B6" w:sz="6" w:space="4"/>
        </w:pBdr>
        <w:spacing w:before="360" w:after="180"/>
      </w:pPr>
      <w:r>
        <w:rPr>
          <w:rFonts w:ascii="Arial" w:cs="Arial" w:eastAsia="Arial" w:hAnsi="Arial"/>
          <w:b/>
          <w:bCs/>
          <w:color w:val="1B3A6B"/>
          <w:sz w:val="30"/>
          <w:szCs w:val="30"/>
        </w:rPr>
        <w:t xml:space="preserve">9. Conclusion</w:t>
      </w:r>
    </w:p>
    <w:p>
      <w:pPr>
        <w:spacing w:before="80" w:after="120"/>
        <w:jc w:val="both"/>
      </w:pPr>
      <w:r>
        <w:rPr>
          <w:rFonts w:ascii="Arial" w:cs="Arial" w:eastAsia="Arial" w:hAnsi="Arial"/>
          <w:b w:val="false"/>
          <w:bCs w:val="false"/>
          <w:i w:val="false"/>
          <w:iCs w:val="false"/>
          <w:color w:val="222222"/>
          <w:sz w:val="22"/>
          <w:szCs w:val="22"/>
        </w:rPr>
        <w:t xml:space="preserve">Le DSO 1 du projet ALIA est entièrement complété avec six livrables techniques couvrant exploration, entraînement et déploiement. Les deux modules — NLP Scoring et LSTM Body Language — sont prêts à être intégrés dans le moteur de l'avatar.</w:t>
      </w:r>
    </w:p>
    <w:p>
      <w:pPr>
        <w:spacing w:before="80" w:after="120"/>
        <w:jc w:val="both"/>
      </w:pPr>
      <w:r>
        <w:rPr>
          <w:rFonts w:ascii="Arial" w:cs="Arial" w:eastAsia="Arial" w:hAnsi="Arial"/>
          <w:b w:val="false"/>
          <w:bCs w:val="false"/>
          <w:i w:val="false"/>
          <w:iCs w:val="false"/>
          <w:color w:val="222222"/>
          <w:sz w:val="22"/>
          <w:szCs w:val="22"/>
        </w:rPr>
        <w:t xml:space="preserve">Les résultats obtenus sur données synthétiques valident les architectures choisies. Les pipelines sont conçus pour être réentraînés sur les données terrain réelles sans modification de l'interface d'inférence, conformément aux bonnes pratiques MLOps.</w:t>
      </w:r>
    </w:p>
    <w:p>
      <w:pPr>
        <w:spacing w:before="80" w:after="120"/>
        <w:jc w:val="both"/>
      </w:pPr>
      <w:r>
        <w:rPr>
          <w:rFonts w:ascii="Arial" w:cs="Arial" w:eastAsia="Arial" w:hAnsi="Arial"/>
          <w:b w:val="false"/>
          <w:bCs w:val="false"/>
          <w:i w:val="false"/>
          <w:iCs w:val="false"/>
          <w:color w:val="222222"/>
          <w:sz w:val="22"/>
          <w:szCs w:val="22"/>
        </w:rPr>
        <w:t xml:space="preserve">L'approche méthodologique TDSP, combinée à une architecture modulaire claire (exploration → entraînement → inférence), garantit la reproductibilité et la maintenabilité du système dans la durée du projet ALIA.</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Critère</w:t>
            </w:r>
          </w:p>
        </w:tc>
        <w:tc>
          <w:tcPr>
            <w:tcW w:type="dxa" w:w="33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NLP Scoring</w:t>
            </w:r>
          </w:p>
        </w:tc>
        <w:tc>
          <w:tcPr>
            <w:tcW w:type="dxa" w:w="33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LSTM Body Language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Architecture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TF-IDF + SVM/Ridge/LogReg</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2-layer LSTM NumPy + BPTT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Performance clé</w:t>
            </w:r>
          </w:p>
        </w:tc>
        <w:tc>
          <w:tcPr>
            <w:tcW w:type="dxa" w:w="3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T1 F1=0.968 | T2 R²=0.833</w:t>
            </w:r>
          </w:p>
        </w:tc>
        <w:tc>
          <w:tcPr>
            <w:tcW w:type="dxa" w:w="3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F1=1.0 (données synthétiques)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Interface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predict(objection, response)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predict_from_buffer(buffer)</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Extensibilité</w:t>
            </w:r>
          </w:p>
        </w:tc>
        <w:tc>
          <w:tcPr>
            <w:tcW w:type="dxa" w:w="3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 CamemBERT/XLM-R</w:t>
            </w:r>
          </w:p>
        </w:tc>
        <w:tc>
          <w:tcPr>
            <w:tcW w:type="dxa" w:w="3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22222"/>
                <w:sz w:val="20"/>
                <w:szCs w:val="20"/>
              </w:rPr>
              <w:t xml:space="preserve">→ PyTorch GPU</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Statut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  Production-ready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  Production-ready</w:t>
            </w:r>
          </w:p>
        </w:tc>
      </w:tr>
    </w:tbl>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1A0D6" w:sz="4" w:space="4"/>
      </w:pBdr>
      <w:tabs>
        <w:tab w:val="right" w:pos="9026"/>
      </w:tabs>
    </w:pPr>
    <w:r>
      <w:rPr>
        <w:rFonts w:ascii="Arial" w:cs="Arial" w:eastAsia="Arial" w:hAnsi="Arial"/>
        <w:color w:val="546E7A"/>
        <w:sz w:val="16"/>
        <w:szCs w:val="16"/>
      </w:rPr>
      <w:t xml:space="preserve">Projet ALIA — Confidentiel</w:t>
    </w:r>
    <w:r>
      <w:rPr>
        <w:sz w:val="16"/>
        <w:szCs w:val="16"/>
      </w:rPr>
      <w:t xml:space="preserve">	</w:t>
    </w:r>
    <w:r>
      <w:rPr>
        <w:rFonts w:ascii="Arial" w:cs="Arial" w:eastAsia="Arial" w:hAnsi="Arial"/>
        <w:color w:val="546E7A"/>
        <w:sz w:val="16"/>
        <w:szCs w:val="16"/>
      </w:rPr>
      <w:t xml:space="preserve">Page </w:t>
    </w:r>
    <w:r>
      <w:rPr>
        <w:rFonts w:ascii="Arial" w:cs="Arial" w:hAnsi="Arial"/>
        <w:color w:val="546E7A"/>
        <w:sz w:val="16"/>
        <w:szCs w:val="16"/>
      </w:rPr>
      <w:fldChar w:fldCharType="begin"/>
    </w:r>
    <w:r>
      <w:rPr>
        <w:rFonts w:ascii="Arial" w:cs="Arial" w:hAnsi="Arial"/>
        <w:color w:val="546E7A"/>
        <w:sz w:val="16"/>
        <w:szCs w:val="16"/>
      </w:rPr>
      <w:instrText xml:space="preserve"> PAGE \* MERGEFORMAT </w:instrText>
    </w:r>
    <w:r>
      <w:rPr>
        <w:rFonts w:ascii="Arial" w:cs="Arial" w:hAnsi="Arial"/>
        <w:color w:val="546E7A"/>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1A0D6" w:sz="4" w:space="4"/>
      </w:pBdr>
      <w:tabs>
        <w:tab w:val="right" w:pos="9026"/>
      </w:tabs>
    </w:pPr>
    <w:r>
      <w:rPr>
        <w:rFonts w:ascii="Arial" w:cs="Arial" w:eastAsia="Arial" w:hAnsi="Arial"/>
        <w:color w:val="546E7A"/>
        <w:sz w:val="18"/>
        <w:szCs w:val="18"/>
      </w:rPr>
      <w:t xml:space="preserve">ALIA — Rapport DSO 1 : Modèles de Performance &amp; Langage Corporel</w:t>
    </w:r>
    <w:r>
      <w:rPr>
        <w:sz w:val="18"/>
        <w:szCs w:val="18"/>
      </w:rPr>
      <w:t xml:space="preserve">	</w:t>
    </w:r>
    <w:r>
      <w:rPr>
        <w:rFonts w:ascii="Arial" w:cs="Arial" w:eastAsia="Arial" w:hAnsi="Arial"/>
        <w:i/>
        <w:iCs/>
        <w:color w:val="41A0D6"/>
        <w:sz w:val="18"/>
        <w:szCs w:val="18"/>
      </w:rPr>
      <w:t xml:space="preserve">Phase 3 — Model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E75B6"/>
      </w:rPr>
    </w:lvl>
    <w:lvl w:ilvl="1" w15:tentative="1">
      <w:start w:val="1"/>
      <w:numFmt w:val="bullet"/>
      <w:lvlText w:val="–"/>
      <w:lvlJc w:val="left"/>
      <w:pPr>
        <w:ind w:left="1080" w:hanging="360"/>
      </w:pPr>
      <w:rPr>
        <w:color w:val="546E7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6B"/>
      <w:sz w:val="30"/>
      <w:szCs w:val="30"/>
    </w:rPr>
  </w:style>
  <w:style w:type="paragraph" w:styleId="Heading2">
    <w:name w:val="Heading 2"/>
    <w:basedOn w:val="Normal"/>
    <w:next w:val="Normal"/>
    <w:qFormat/>
    <w:pPr>
      <w:spacing w:before="280" w:after="14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546E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2026-03-03T21:55:12.297Z</dcterms:created>
  <dcterms:modified xsi:type="dcterms:W3CDTF">2026-03-03T21:55:12.298Z</dcterms:modified>
</cp:coreProperties>
</file>

<file path=docProps/custom.xml><?xml version="1.0" encoding="utf-8"?>
<Properties xmlns="http://schemas.openxmlformats.org/officeDocument/2006/custom-properties" xmlns:vt="http://schemas.openxmlformats.org/officeDocument/2006/docPropsVTypes"/>
</file>