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0DFD" w14:textId="77777777" w:rsidR="00C21B5E" w:rsidRPr="00992E14" w:rsidRDefault="00000000" w:rsidP="00DA1554">
      <w:pPr>
        <w:spacing w:after="50"/>
        <w:rPr>
          <w:b/>
          <w:bCs/>
          <w:color w:val="000000" w:themeColor="text1"/>
        </w:rPr>
      </w:pPr>
      <w:r w:rsidRPr="00992E14">
        <w:rPr>
          <w:b/>
          <w:bCs/>
          <w:color w:val="000000" w:themeColor="text1"/>
          <w:sz w:val="32"/>
          <w:szCs w:val="32"/>
        </w:rPr>
        <w:t>Yield Curve Regimes and Sector ETF Return Predictability</w:t>
      </w:r>
    </w:p>
    <w:p w14:paraId="52919819" w14:textId="330E770E" w:rsidR="00C21B5E" w:rsidRPr="00992E14" w:rsidRDefault="00000000" w:rsidP="00DA1554">
      <w:pPr>
        <w:rPr>
          <w:color w:val="000000" w:themeColor="text1"/>
        </w:rPr>
      </w:pPr>
      <w:r w:rsidRPr="00992E14">
        <w:rPr>
          <w:color w:val="000000" w:themeColor="text1"/>
          <w:sz w:val="18"/>
          <w:szCs w:val="18"/>
        </w:rPr>
        <w:t>GTSF Investments Committee</w:t>
      </w:r>
      <w:r w:rsidR="00DA1554" w:rsidRPr="00992E14">
        <w:rPr>
          <w:color w:val="000000" w:themeColor="text1"/>
          <w:sz w:val="18"/>
          <w:szCs w:val="18"/>
        </w:rPr>
        <w:t xml:space="preserve">: </w:t>
      </w:r>
      <w:r w:rsidRPr="00992E14">
        <w:rPr>
          <w:color w:val="000000" w:themeColor="text1"/>
          <w:sz w:val="18"/>
          <w:szCs w:val="18"/>
        </w:rPr>
        <w:t>Quant Sector Mentorship</w:t>
      </w:r>
    </w:p>
    <w:p w14:paraId="3684D438" w14:textId="77777777" w:rsidR="00C21B5E" w:rsidRPr="00992E14" w:rsidRDefault="00C21B5E" w:rsidP="00DA1554">
      <w:pPr>
        <w:spacing w:after="90"/>
        <w:rPr>
          <w:color w:val="000000" w:themeColor="text1"/>
        </w:rPr>
      </w:pPr>
    </w:p>
    <w:p w14:paraId="20CE39B8" w14:textId="7F36B2AC" w:rsidR="00C21B5E" w:rsidRPr="00992E14" w:rsidRDefault="00000000" w:rsidP="00DA1554">
      <w:pPr>
        <w:spacing w:before="160" w:after="55"/>
        <w:rPr>
          <w:b/>
          <w:bCs/>
          <w:color w:val="000000" w:themeColor="text1"/>
        </w:rPr>
      </w:pPr>
      <w:r w:rsidRPr="00992E14">
        <w:rPr>
          <w:b/>
          <w:bCs/>
          <w:color w:val="000000" w:themeColor="text1"/>
          <w:sz w:val="24"/>
          <w:szCs w:val="24"/>
        </w:rPr>
        <w:t>1.</w:t>
      </w:r>
      <w:r w:rsidR="00992E14" w:rsidRPr="00992E14">
        <w:rPr>
          <w:b/>
          <w:bCs/>
          <w:color w:val="000000" w:themeColor="text1"/>
          <w:sz w:val="24"/>
          <w:szCs w:val="24"/>
        </w:rPr>
        <w:t xml:space="preserve"> </w:t>
      </w:r>
      <w:r w:rsidRPr="00992E14">
        <w:rPr>
          <w:b/>
          <w:bCs/>
          <w:color w:val="000000" w:themeColor="text1"/>
          <w:sz w:val="24"/>
          <w:szCs w:val="24"/>
        </w:rPr>
        <w:t>Dataset &amp; Sources</w:t>
      </w:r>
    </w:p>
    <w:p w14:paraId="2289055D" w14:textId="75AD1F55" w:rsidR="00C21B5E" w:rsidRPr="00992E14" w:rsidRDefault="00000000" w:rsidP="00DA1554">
      <w:pPr>
        <w:spacing w:after="60"/>
        <w:jc w:val="both"/>
        <w:rPr>
          <w:color w:val="000000" w:themeColor="text1"/>
        </w:rPr>
      </w:pPr>
      <w:r w:rsidRPr="00992E14">
        <w:rPr>
          <w:color w:val="000000" w:themeColor="text1"/>
        </w:rPr>
        <w:t>Two datasets were combined over January 2010–March 2026 (195 monthly observations), spanning the post-crisis recovery, 2018 hiking cycle, COVID zero-rate period, and 2022–2023 tightening cycle. U.S. Treasury yields across 10 maturities (DGS1MO through DGS30) were sourced from FRED. Sector ETF adjusted close prices for eight SPDR funds (XLK, XLF, XLE, XLU, XLV, XLI, XLP, XLY) were sourced from Yahoo Finance. Yields were resampled to month-end; ETF monthly returns were computed by summing daily log returns within each calendar month.</w:t>
      </w:r>
    </w:p>
    <w:p w14:paraId="7D9F7921" w14:textId="77777777" w:rsidR="00C21B5E" w:rsidRPr="00992E14" w:rsidRDefault="00C21B5E" w:rsidP="00DA1554">
      <w:pPr>
        <w:spacing w:after="60"/>
        <w:rPr>
          <w:color w:val="000000" w:themeColor="text1"/>
        </w:rPr>
      </w:pPr>
    </w:p>
    <w:p w14:paraId="69F6D79A" w14:textId="77777777" w:rsidR="00C21B5E" w:rsidRPr="00992E14" w:rsidRDefault="00000000" w:rsidP="00DA1554">
      <w:pPr>
        <w:spacing w:before="160" w:after="55"/>
        <w:rPr>
          <w:b/>
          <w:bCs/>
          <w:color w:val="000000" w:themeColor="text1"/>
        </w:rPr>
      </w:pPr>
      <w:r w:rsidRPr="00992E14">
        <w:rPr>
          <w:b/>
          <w:bCs/>
          <w:color w:val="000000" w:themeColor="text1"/>
          <w:sz w:val="24"/>
          <w:szCs w:val="24"/>
        </w:rPr>
        <w:t>2.  Cleaning &amp; Preprocessing</w:t>
      </w:r>
    </w:p>
    <w:p w14:paraId="3DBA2F73" w14:textId="29EF7A63" w:rsidR="00C21B5E" w:rsidRPr="00992E14" w:rsidRDefault="00000000" w:rsidP="00DA1554">
      <w:pPr>
        <w:spacing w:after="60"/>
        <w:jc w:val="both"/>
        <w:rPr>
          <w:color w:val="000000" w:themeColor="text1"/>
        </w:rPr>
      </w:pPr>
      <w:r w:rsidRPr="00992E14">
        <w:rPr>
          <w:color w:val="000000" w:themeColor="text1"/>
        </w:rPr>
        <w:t>FRED yields were forward-filled across weekends and holidays (rates don’t change when markets are closed), then both datasets were aligned on a common month-end index. Three lookahead controls were enforced: all regressors are lagged one month so month-end t yields predict month t+1 returns</w:t>
      </w:r>
      <w:r w:rsidR="005D2A63">
        <w:rPr>
          <w:color w:val="000000" w:themeColor="text1"/>
        </w:rPr>
        <w:t xml:space="preserve">, </w:t>
      </w:r>
      <w:r w:rsidRPr="00992E14">
        <w:rPr>
          <w:color w:val="000000" w:themeColor="text1"/>
        </w:rPr>
        <w:t>the St</w:t>
      </w:r>
      <w:proofErr w:type="spellStart"/>
      <w:r w:rsidRPr="00992E14">
        <w:rPr>
          <w:color w:val="000000" w:themeColor="text1"/>
        </w:rPr>
        <w:t>andardScaler</w:t>
      </w:r>
      <w:proofErr w:type="spellEnd"/>
      <w:r w:rsidRPr="00992E14">
        <w:rPr>
          <w:color w:val="000000" w:themeColor="text1"/>
        </w:rPr>
        <w:t xml:space="preserve"> and PCA were fit on training data only (2010–2019) before transforming the full sample</w:t>
      </w:r>
      <w:r w:rsidR="005D2A63">
        <w:rPr>
          <w:color w:val="000000" w:themeColor="text1"/>
        </w:rPr>
        <w:t xml:space="preserve">, and </w:t>
      </w:r>
      <w:r w:rsidRPr="00992E14">
        <w:rPr>
          <w:color w:val="000000" w:themeColor="text1"/>
        </w:rPr>
        <w:t>the Information Coefficient uses prior-period coefficients only for genuinely out-of-sample predictions.</w:t>
      </w:r>
    </w:p>
    <w:p w14:paraId="2ABB15F6" w14:textId="77777777" w:rsidR="00C21B5E" w:rsidRPr="00992E14" w:rsidRDefault="00C21B5E" w:rsidP="00DA1554">
      <w:pPr>
        <w:spacing w:after="60"/>
        <w:rPr>
          <w:color w:val="000000" w:themeColor="text1"/>
        </w:rPr>
      </w:pPr>
    </w:p>
    <w:p w14:paraId="66464745" w14:textId="77777777" w:rsidR="00C21B5E" w:rsidRPr="00992E14" w:rsidRDefault="00000000" w:rsidP="00DA1554">
      <w:pPr>
        <w:spacing w:before="160" w:after="55"/>
        <w:rPr>
          <w:b/>
          <w:bCs/>
          <w:color w:val="000000" w:themeColor="text1"/>
        </w:rPr>
      </w:pPr>
      <w:r w:rsidRPr="00992E14">
        <w:rPr>
          <w:b/>
          <w:bCs/>
          <w:color w:val="000000" w:themeColor="text1"/>
          <w:sz w:val="24"/>
          <w:szCs w:val="24"/>
        </w:rPr>
        <w:t>3.  Exploratory Data Analysis</w:t>
      </w:r>
    </w:p>
    <w:p w14:paraId="31291828" w14:textId="2989670B" w:rsidR="00C21B5E" w:rsidRDefault="00000000" w:rsidP="00DA1554">
      <w:pPr>
        <w:spacing w:after="80"/>
        <w:jc w:val="both"/>
        <w:rPr>
          <w:color w:val="000000" w:themeColor="text1"/>
        </w:rPr>
      </w:pPr>
      <w:r w:rsidRPr="00992E14">
        <w:rPr>
          <w:color w:val="000000" w:themeColor="text1"/>
        </w:rPr>
        <w:t xml:space="preserve">EDA covered yield curve shapes at key dates, the 2Y–10Y spread over time with regime shading, 60-day rolling annualized volatility across all eight sectors, and a </w:t>
      </w:r>
      <w:proofErr w:type="gramStart"/>
      <w:r w:rsidRPr="00992E14">
        <w:rPr>
          <w:color w:val="000000" w:themeColor="text1"/>
        </w:rPr>
        <w:t>GARCH(</w:t>
      </w:r>
      <w:proofErr w:type="gramEnd"/>
      <w:r w:rsidRPr="00992E14">
        <w:rPr>
          <w:color w:val="000000" w:themeColor="text1"/>
        </w:rPr>
        <w:t>1,1) extension for XLE. GARCH was applied to energy because it estimates conditional variance as a function of both yesterday’s squared shock and yesterday’s variance</w:t>
      </w:r>
      <w:r w:rsidR="00E91332">
        <w:rPr>
          <w:color w:val="000000" w:themeColor="text1"/>
        </w:rPr>
        <w:t xml:space="preserve">, </w:t>
      </w:r>
      <w:r w:rsidRPr="00992E14">
        <w:rPr>
          <w:color w:val="000000" w:themeColor="text1"/>
        </w:rPr>
        <w:t>producing a more responsive measure of current risk than a rolling window for assets with strong volatility clustering. Sector return correlations were also computed within each regime, showing that cross-sector correlations rise during inversion periods, reducing diversification benefits.</w:t>
      </w:r>
    </w:p>
    <w:p w14:paraId="161E6AC1" w14:textId="1E9E6F9F" w:rsidR="00274F41" w:rsidRPr="00992E14" w:rsidRDefault="00274F41" w:rsidP="00274F41">
      <w:pPr>
        <w:spacing w:after="80"/>
        <w:jc w:val="center"/>
        <w:rPr>
          <w:color w:val="000000" w:themeColor="text1"/>
        </w:rPr>
      </w:pPr>
      <w:r w:rsidRPr="00274F41">
        <w:rPr>
          <w:color w:val="000000" w:themeColor="text1"/>
        </w:rPr>
        <w:drawing>
          <wp:inline distT="0" distB="0" distL="0" distR="0" wp14:anchorId="3F2CEDF2" wp14:editId="0216A266">
            <wp:extent cx="5231260" cy="1844040"/>
            <wp:effectExtent l="0" t="0" r="1270" b="0"/>
            <wp:docPr id="1406214107"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4107" name="Picture 1" descr="A graph showing a line graph&#10;&#10;AI-generated content may be incorrect."/>
                    <pic:cNvPicPr/>
                  </pic:nvPicPr>
                  <pic:blipFill>
                    <a:blip r:embed="rId5"/>
                    <a:stretch>
                      <a:fillRect/>
                    </a:stretch>
                  </pic:blipFill>
                  <pic:spPr>
                    <a:xfrm>
                      <a:off x="0" y="0"/>
                      <a:ext cx="5253612" cy="1851919"/>
                    </a:xfrm>
                    <a:prstGeom prst="rect">
                      <a:avLst/>
                    </a:prstGeom>
                  </pic:spPr>
                </pic:pic>
              </a:graphicData>
            </a:graphic>
          </wp:inline>
        </w:drawing>
      </w:r>
    </w:p>
    <w:p w14:paraId="2C618393" w14:textId="3BF80135" w:rsidR="00C21B5E" w:rsidRPr="00992E14" w:rsidRDefault="00000000" w:rsidP="00DA1554">
      <w:pPr>
        <w:spacing w:before="40" w:after="110"/>
        <w:jc w:val="center"/>
        <w:rPr>
          <w:color w:val="000000" w:themeColor="text1"/>
        </w:rPr>
      </w:pPr>
      <w:r w:rsidRPr="00992E14">
        <w:rPr>
          <w:i/>
          <w:iCs/>
          <w:color w:val="000000" w:themeColor="text1"/>
          <w:sz w:val="18"/>
          <w:szCs w:val="18"/>
        </w:rPr>
        <w:t>Figure 1. 10Y–2Y Treasury spread over time with Normal (green), Flat (orange), and Inverted (red) regime bands</w:t>
      </w:r>
    </w:p>
    <w:p w14:paraId="34017937" w14:textId="77777777" w:rsidR="00C21B5E" w:rsidRPr="00992E14" w:rsidRDefault="00C21B5E" w:rsidP="00DA1554">
      <w:pPr>
        <w:spacing w:after="60"/>
        <w:rPr>
          <w:color w:val="000000" w:themeColor="text1"/>
        </w:rPr>
      </w:pPr>
    </w:p>
    <w:p w14:paraId="37941284" w14:textId="77777777" w:rsidR="00C21B5E" w:rsidRPr="00992E14" w:rsidRDefault="00000000" w:rsidP="00DA1554">
      <w:pPr>
        <w:spacing w:before="160" w:after="55"/>
        <w:rPr>
          <w:b/>
          <w:bCs/>
          <w:color w:val="000000" w:themeColor="text1"/>
        </w:rPr>
      </w:pPr>
      <w:r w:rsidRPr="00992E14">
        <w:rPr>
          <w:b/>
          <w:bCs/>
          <w:color w:val="000000" w:themeColor="text1"/>
          <w:sz w:val="24"/>
          <w:szCs w:val="24"/>
        </w:rPr>
        <w:t>4.  Regime Classification</w:t>
      </w:r>
    </w:p>
    <w:p w14:paraId="46971C22" w14:textId="6AF5D459" w:rsidR="00C21B5E" w:rsidRPr="00992E14" w:rsidRDefault="00000000" w:rsidP="00DA1554">
      <w:pPr>
        <w:spacing w:after="60"/>
        <w:jc w:val="both"/>
        <w:rPr>
          <w:color w:val="000000" w:themeColor="text1"/>
        </w:rPr>
      </w:pPr>
      <w:r w:rsidRPr="00992E14">
        <w:rPr>
          <w:color w:val="000000" w:themeColor="text1"/>
        </w:rPr>
        <w:t xml:space="preserve">Each month was classified using the 10Y–2Y spread with </w:t>
      </w:r>
      <w:r w:rsidR="00740AFC">
        <w:rPr>
          <w:color w:val="000000" w:themeColor="text1"/>
        </w:rPr>
        <w:t>+/-</w:t>
      </w:r>
      <w:r w:rsidRPr="00992E14">
        <w:rPr>
          <w:color w:val="000000" w:themeColor="text1"/>
        </w:rPr>
        <w:t>50 bps thresholds: Normal (&gt;+50 bps): 127 months (65.1%); Flat (</w:t>
      </w:r>
      <w:r w:rsidR="00122F4F">
        <w:rPr>
          <w:color w:val="000000" w:themeColor="text1"/>
        </w:rPr>
        <w:t>+/-</w:t>
      </w:r>
      <w:r w:rsidRPr="00992E14">
        <w:rPr>
          <w:color w:val="000000" w:themeColor="text1"/>
        </w:rPr>
        <w:t>50 bps): 58 months (29.7%); Inverted (&lt;−50 bps): 10 months (5.1%). The inverted bucket is notably small</w:t>
      </w:r>
      <w:r w:rsidR="00122F4F">
        <w:rPr>
          <w:color w:val="000000" w:themeColor="text1"/>
        </w:rPr>
        <w:t xml:space="preserve">: </w:t>
      </w:r>
      <w:r w:rsidRPr="00992E14">
        <w:rPr>
          <w:color w:val="000000" w:themeColor="text1"/>
        </w:rPr>
        <w:t xml:space="preserve">the 2022–2023 inversion, while deep, was brief in calendar terms. This severely limits the statistical reliability of any regime-conditional estimates for the inverted period, as ~10 observations with 4 free parameters produces near-interpolated coefficients. The </w:t>
      </w:r>
      <w:r w:rsidR="00122F4F">
        <w:rPr>
          <w:color w:val="000000" w:themeColor="text1"/>
        </w:rPr>
        <w:t>+/-</w:t>
      </w:r>
      <w:r w:rsidRPr="00992E14">
        <w:rPr>
          <w:color w:val="000000" w:themeColor="text1"/>
        </w:rPr>
        <w:t xml:space="preserve">50 bps thresholds are defensible but somewhat arbitrary; a sensitivity analysis varying them </w:t>
      </w:r>
      <w:r w:rsidR="00122F4F">
        <w:rPr>
          <w:color w:val="000000" w:themeColor="text1"/>
        </w:rPr>
        <w:t>would be</w:t>
      </w:r>
      <w:r w:rsidRPr="00992E14">
        <w:rPr>
          <w:color w:val="000000" w:themeColor="text1"/>
        </w:rPr>
        <w:t xml:space="preserve"> a natural next step.</w:t>
      </w:r>
    </w:p>
    <w:p w14:paraId="2E1F1773" w14:textId="77777777" w:rsidR="00C21B5E" w:rsidRPr="00992E14" w:rsidRDefault="00C21B5E" w:rsidP="00DA1554">
      <w:pPr>
        <w:spacing w:after="60"/>
        <w:rPr>
          <w:color w:val="000000" w:themeColor="text1"/>
        </w:rPr>
      </w:pPr>
    </w:p>
    <w:p w14:paraId="79D35B1C" w14:textId="77777777" w:rsidR="00C21B5E" w:rsidRPr="00992E14" w:rsidRDefault="00000000" w:rsidP="00DA1554">
      <w:pPr>
        <w:spacing w:before="160" w:after="55"/>
        <w:rPr>
          <w:b/>
          <w:bCs/>
          <w:color w:val="000000" w:themeColor="text1"/>
        </w:rPr>
      </w:pPr>
      <w:r w:rsidRPr="00992E14">
        <w:rPr>
          <w:b/>
          <w:bCs/>
          <w:color w:val="000000" w:themeColor="text1"/>
          <w:sz w:val="24"/>
          <w:szCs w:val="24"/>
        </w:rPr>
        <w:t>5.  Principal Component Analysis</w:t>
      </w:r>
    </w:p>
    <w:p w14:paraId="3C5B3430" w14:textId="29EB6F44" w:rsidR="00C21B5E" w:rsidRPr="00992E14" w:rsidRDefault="00000000" w:rsidP="00DA1554">
      <w:pPr>
        <w:spacing w:after="80"/>
        <w:jc w:val="both"/>
        <w:rPr>
          <w:color w:val="000000" w:themeColor="text1"/>
        </w:rPr>
      </w:pPr>
      <w:r w:rsidRPr="00992E14">
        <w:rPr>
          <w:color w:val="000000" w:themeColor="text1"/>
        </w:rPr>
        <w:t>PCA compressed the 10 highly correlated yield maturities into three uncorrelated factors, eliminating the multicollinearity that would have distorted a direct regression. The scaler and PCA were fit on training data only (2010–2019) to prevent data leakage.</w:t>
      </w:r>
    </w:p>
    <w:p w14:paraId="11EDE863" w14:textId="7E5BF625" w:rsidR="00C21B5E" w:rsidRPr="00992E14" w:rsidRDefault="00000000" w:rsidP="00DA1554">
      <w:pPr>
        <w:spacing w:after="60"/>
        <w:jc w:val="both"/>
        <w:rPr>
          <w:color w:val="000000" w:themeColor="text1"/>
        </w:rPr>
      </w:pPr>
      <w:r w:rsidRPr="00992E14">
        <w:rPr>
          <w:color w:val="000000" w:themeColor="text1"/>
        </w:rPr>
        <w:lastRenderedPageBreak/>
        <w:t xml:space="preserve">The resulting variance decomposition was: PC1 (Level) = 59.2%, PC2 (Slope) = 37.7%, PC3 (Curvature) = 2.8%, with all three components explaining 99.7% of total yield curve variation. Notably, PC2 explains substantially more variance than </w:t>
      </w:r>
      <w:r w:rsidR="005D16B5">
        <w:rPr>
          <w:color w:val="000000" w:themeColor="text1"/>
        </w:rPr>
        <w:t>expected</w:t>
      </w:r>
      <w:r w:rsidRPr="00992E14">
        <w:rPr>
          <w:color w:val="000000" w:themeColor="text1"/>
        </w:rPr>
        <w:t xml:space="preserve">. This is </w:t>
      </w:r>
      <w:r w:rsidR="005D16B5">
        <w:rPr>
          <w:color w:val="000000" w:themeColor="text1"/>
        </w:rPr>
        <w:t xml:space="preserve">probably a result of </w:t>
      </w:r>
      <w:r w:rsidRPr="00992E14">
        <w:rPr>
          <w:color w:val="000000" w:themeColor="text1"/>
        </w:rPr>
        <w:t xml:space="preserve">fitting the PCA exclusively on the 2010–2019 low-rate training period: when the model is then applied to the aggressive 2022–2023 hiking cycle </w:t>
      </w:r>
      <w:r w:rsidR="00A93DAE">
        <w:rPr>
          <w:color w:val="000000" w:themeColor="text1"/>
        </w:rPr>
        <w:t>(</w:t>
      </w:r>
      <w:r w:rsidRPr="00992E14">
        <w:rPr>
          <w:color w:val="000000" w:themeColor="text1"/>
        </w:rPr>
        <w:t>a structurally different environment</w:t>
      </w:r>
      <w:r w:rsidR="00A93DAE">
        <w:rPr>
          <w:color w:val="000000" w:themeColor="text1"/>
        </w:rPr>
        <w:t xml:space="preserve">) </w:t>
      </w:r>
      <w:r w:rsidRPr="00992E14">
        <w:rPr>
          <w:color w:val="000000" w:themeColor="text1"/>
        </w:rPr>
        <w:t xml:space="preserve">the slope dimension carries more weight than it would in a full-sample fit. PC1 still captures parallel rate-level shifts; PC2 captures steepening and flattening; PC3 captures independent belly movement. </w:t>
      </w:r>
    </w:p>
    <w:p w14:paraId="6EF8D45C" w14:textId="77777777" w:rsidR="00C21B5E" w:rsidRPr="00992E14" w:rsidRDefault="00C21B5E" w:rsidP="00DA1554">
      <w:pPr>
        <w:spacing w:after="60"/>
        <w:rPr>
          <w:color w:val="000000" w:themeColor="text1"/>
        </w:rPr>
      </w:pPr>
    </w:p>
    <w:p w14:paraId="5AF7C8AD" w14:textId="77777777" w:rsidR="00C21B5E" w:rsidRPr="00992E14" w:rsidRDefault="00000000" w:rsidP="00DA1554">
      <w:pPr>
        <w:spacing w:before="160" w:after="55"/>
        <w:rPr>
          <w:b/>
          <w:bCs/>
          <w:color w:val="000000" w:themeColor="text1"/>
        </w:rPr>
      </w:pPr>
      <w:r w:rsidRPr="00992E14">
        <w:rPr>
          <w:b/>
          <w:bCs/>
          <w:color w:val="000000" w:themeColor="text1"/>
          <w:sz w:val="24"/>
          <w:szCs w:val="24"/>
        </w:rPr>
        <w:t>6.  Statistical Modeling &amp; Evaluation</w:t>
      </w:r>
    </w:p>
    <w:p w14:paraId="6EDA8D68" w14:textId="74CE970C" w:rsidR="00C21B5E" w:rsidRPr="00992E14" w:rsidRDefault="00000000" w:rsidP="00DA1554">
      <w:pPr>
        <w:spacing w:after="80"/>
        <w:jc w:val="both"/>
        <w:rPr>
          <w:color w:val="000000" w:themeColor="text1"/>
        </w:rPr>
      </w:pPr>
      <w:r w:rsidRPr="00992E14">
        <w:rPr>
          <w:color w:val="000000" w:themeColor="text1"/>
        </w:rPr>
        <w:t>Rolling OLS</w:t>
      </w:r>
      <w:r w:rsidR="00313E5D">
        <w:rPr>
          <w:color w:val="000000" w:themeColor="text1"/>
        </w:rPr>
        <w:t xml:space="preserve">. </w:t>
      </w:r>
      <w:r w:rsidRPr="00992E14">
        <w:rPr>
          <w:color w:val="000000" w:themeColor="text1"/>
        </w:rPr>
        <w:t>The three lagged PC scores were regressed against next-month sector returns using a 36-month rolling window, allowing the relationship to evolve across rate environments. A static model fit over the full sample would blend the near-zero rate period with the 2022–2023 hiking cycle, producing average coefficients unrepresentative of either. A static OLS trained on 2010–2019 (119 months) was evaluated on 2020–2026 (75 months)</w:t>
      </w:r>
      <w:r w:rsidR="00AE6D53">
        <w:rPr>
          <w:color w:val="000000" w:themeColor="text1"/>
        </w:rPr>
        <w:t>, which</w:t>
      </w:r>
      <w:r w:rsidRPr="00992E14">
        <w:rPr>
          <w:color w:val="000000" w:themeColor="text1"/>
        </w:rPr>
        <w:t xml:space="preserve"> </w:t>
      </w:r>
      <w:r w:rsidR="00AE6D53">
        <w:rPr>
          <w:color w:val="000000" w:themeColor="text1"/>
        </w:rPr>
        <w:t>spans</w:t>
      </w:r>
      <w:r w:rsidRPr="00992E14">
        <w:rPr>
          <w:color w:val="000000" w:themeColor="text1"/>
        </w:rPr>
        <w:t xml:space="preserve"> COVID, zero rates, and the fastest hiking cycle in decades.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20"/>
        <w:gridCol w:w="1860"/>
        <w:gridCol w:w="1860"/>
        <w:gridCol w:w="2160"/>
        <w:gridCol w:w="2160"/>
      </w:tblGrid>
      <w:tr w:rsidR="00DA1554" w:rsidRPr="00992E14" w14:paraId="59C296C2" w14:textId="77777777" w:rsidTr="00460B78">
        <w:tblPrEx>
          <w:tblCellMar>
            <w:top w:w="0" w:type="dxa"/>
            <w:bottom w:w="0" w:type="dxa"/>
          </w:tblCellMar>
        </w:tblPrEx>
        <w:trPr>
          <w:tblHeader/>
        </w:trPr>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16FB296" w14:textId="77777777" w:rsidR="00C21B5E" w:rsidRPr="00460B78" w:rsidRDefault="00000000" w:rsidP="00DA1554">
            <w:pPr>
              <w:jc w:val="center"/>
              <w:rPr>
                <w:b/>
                <w:bCs/>
                <w:color w:val="000000" w:themeColor="text1"/>
              </w:rPr>
            </w:pPr>
            <w:r w:rsidRPr="00460B78">
              <w:rPr>
                <w:b/>
                <w:bCs/>
                <w:color w:val="000000" w:themeColor="text1"/>
                <w:sz w:val="18"/>
                <w:szCs w:val="18"/>
              </w:rPr>
              <w:t>Sector</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4522FC3C" w14:textId="77777777" w:rsidR="00C21B5E" w:rsidRPr="00460B78" w:rsidRDefault="00000000" w:rsidP="00DA1554">
            <w:pPr>
              <w:jc w:val="center"/>
              <w:rPr>
                <w:b/>
                <w:bCs/>
                <w:color w:val="000000" w:themeColor="text1"/>
              </w:rPr>
            </w:pPr>
            <w:r w:rsidRPr="00460B78">
              <w:rPr>
                <w:b/>
                <w:bCs/>
                <w:color w:val="000000" w:themeColor="text1"/>
                <w:sz w:val="18"/>
                <w:szCs w:val="18"/>
              </w:rPr>
              <w:t>Rolling R²</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6A33582B" w14:textId="77777777" w:rsidR="00C21B5E" w:rsidRPr="00460B78" w:rsidRDefault="00000000" w:rsidP="00DA1554">
            <w:pPr>
              <w:jc w:val="center"/>
              <w:rPr>
                <w:b/>
                <w:bCs/>
                <w:color w:val="000000" w:themeColor="text1"/>
              </w:rPr>
            </w:pPr>
            <w:r w:rsidRPr="00460B78">
              <w:rPr>
                <w:b/>
                <w:bCs/>
                <w:color w:val="000000" w:themeColor="text1"/>
                <w:sz w:val="18"/>
                <w:szCs w:val="18"/>
              </w:rPr>
              <w:t>In-Sample R²</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4ECA69AC" w14:textId="77777777" w:rsidR="00C21B5E" w:rsidRPr="00460B78" w:rsidRDefault="00000000" w:rsidP="00DA1554">
            <w:pPr>
              <w:jc w:val="center"/>
              <w:rPr>
                <w:b/>
                <w:bCs/>
                <w:color w:val="000000" w:themeColor="text1"/>
              </w:rPr>
            </w:pPr>
            <w:r w:rsidRPr="00460B78">
              <w:rPr>
                <w:b/>
                <w:bCs/>
                <w:color w:val="000000" w:themeColor="text1"/>
                <w:sz w:val="18"/>
                <w:szCs w:val="18"/>
              </w:rPr>
              <w:t>OOS RMSE</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4644D595" w14:textId="77777777" w:rsidR="00C21B5E" w:rsidRPr="00460B78" w:rsidRDefault="00000000" w:rsidP="00DA1554">
            <w:pPr>
              <w:jc w:val="center"/>
              <w:rPr>
                <w:b/>
                <w:bCs/>
                <w:color w:val="000000" w:themeColor="text1"/>
              </w:rPr>
            </w:pPr>
            <w:r w:rsidRPr="00460B78">
              <w:rPr>
                <w:b/>
                <w:bCs/>
                <w:color w:val="000000" w:themeColor="text1"/>
                <w:sz w:val="18"/>
                <w:szCs w:val="18"/>
              </w:rPr>
              <w:t>OOS MAE</w:t>
            </w:r>
          </w:p>
        </w:tc>
      </w:tr>
      <w:tr w:rsidR="00DA1554" w:rsidRPr="00992E14" w14:paraId="6B428E87"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191E8452" w14:textId="77777777" w:rsidR="00C21B5E" w:rsidRPr="00992E14" w:rsidRDefault="00000000" w:rsidP="00DA1554">
            <w:pPr>
              <w:jc w:val="center"/>
              <w:rPr>
                <w:color w:val="000000" w:themeColor="text1"/>
              </w:rPr>
            </w:pPr>
            <w:r w:rsidRPr="00992E14">
              <w:rPr>
                <w:color w:val="000000" w:themeColor="text1"/>
                <w:sz w:val="18"/>
                <w:szCs w:val="18"/>
              </w:rPr>
              <w:t>XLK</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42C6EA39" w14:textId="77777777" w:rsidR="00C21B5E" w:rsidRPr="00992E14" w:rsidRDefault="00000000" w:rsidP="00DA1554">
            <w:pPr>
              <w:jc w:val="center"/>
              <w:rPr>
                <w:color w:val="000000" w:themeColor="text1"/>
              </w:rPr>
            </w:pPr>
            <w:r w:rsidRPr="00992E14">
              <w:rPr>
                <w:color w:val="000000" w:themeColor="text1"/>
                <w:sz w:val="18"/>
                <w:szCs w:val="18"/>
              </w:rPr>
              <w:t>0.0835</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64145B88" w14:textId="77777777" w:rsidR="00C21B5E" w:rsidRPr="00992E14" w:rsidRDefault="00000000" w:rsidP="00DA1554">
            <w:pPr>
              <w:jc w:val="center"/>
              <w:rPr>
                <w:color w:val="000000" w:themeColor="text1"/>
              </w:rPr>
            </w:pPr>
            <w:r w:rsidRPr="00992E14">
              <w:rPr>
                <w:color w:val="000000" w:themeColor="text1"/>
                <w:sz w:val="18"/>
                <w:szCs w:val="18"/>
              </w:rPr>
              <w:t>0.0187</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7C084D8A" w14:textId="77777777" w:rsidR="00C21B5E" w:rsidRPr="00992E14" w:rsidRDefault="00000000" w:rsidP="00DA1554">
            <w:pPr>
              <w:jc w:val="center"/>
              <w:rPr>
                <w:color w:val="000000" w:themeColor="text1"/>
              </w:rPr>
            </w:pPr>
            <w:r w:rsidRPr="00992E14">
              <w:rPr>
                <w:color w:val="000000" w:themeColor="text1"/>
                <w:sz w:val="18"/>
                <w:szCs w:val="18"/>
              </w:rPr>
              <w:t>0.0623</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65939EDE" w14:textId="77777777" w:rsidR="00C21B5E" w:rsidRPr="00992E14" w:rsidRDefault="00000000" w:rsidP="00DA1554">
            <w:pPr>
              <w:jc w:val="center"/>
              <w:rPr>
                <w:color w:val="000000" w:themeColor="text1"/>
              </w:rPr>
            </w:pPr>
            <w:r w:rsidRPr="00992E14">
              <w:rPr>
                <w:color w:val="000000" w:themeColor="text1"/>
                <w:sz w:val="18"/>
                <w:szCs w:val="18"/>
              </w:rPr>
              <w:t>0.0515</w:t>
            </w:r>
          </w:p>
        </w:tc>
      </w:tr>
      <w:tr w:rsidR="00DA1554" w:rsidRPr="00992E14" w14:paraId="12116D6E"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7362AFC0" w14:textId="77777777" w:rsidR="00C21B5E" w:rsidRPr="00992E14" w:rsidRDefault="00000000" w:rsidP="00DA1554">
            <w:pPr>
              <w:jc w:val="center"/>
              <w:rPr>
                <w:color w:val="000000" w:themeColor="text1"/>
              </w:rPr>
            </w:pPr>
            <w:r w:rsidRPr="00992E14">
              <w:rPr>
                <w:color w:val="000000" w:themeColor="text1"/>
                <w:sz w:val="18"/>
                <w:szCs w:val="18"/>
              </w:rPr>
              <w:t>XLF</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2BFD495E" w14:textId="77777777" w:rsidR="00C21B5E" w:rsidRPr="00992E14" w:rsidRDefault="00000000" w:rsidP="00DA1554">
            <w:pPr>
              <w:jc w:val="center"/>
              <w:rPr>
                <w:color w:val="000000" w:themeColor="text1"/>
              </w:rPr>
            </w:pPr>
            <w:r w:rsidRPr="00992E14">
              <w:rPr>
                <w:color w:val="000000" w:themeColor="text1"/>
                <w:sz w:val="18"/>
                <w:szCs w:val="18"/>
              </w:rPr>
              <w:t>0.1050</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2EF4754A" w14:textId="77777777" w:rsidR="00C21B5E" w:rsidRPr="00992E14" w:rsidRDefault="00000000" w:rsidP="00DA1554">
            <w:pPr>
              <w:jc w:val="center"/>
              <w:rPr>
                <w:color w:val="000000" w:themeColor="text1"/>
              </w:rPr>
            </w:pPr>
            <w:r w:rsidRPr="00992E14">
              <w:rPr>
                <w:color w:val="000000" w:themeColor="text1"/>
                <w:sz w:val="18"/>
                <w:szCs w:val="18"/>
              </w:rPr>
              <w:t>0.0687</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73445F10" w14:textId="77777777" w:rsidR="00C21B5E" w:rsidRPr="00992E14" w:rsidRDefault="00000000" w:rsidP="00DA1554">
            <w:pPr>
              <w:jc w:val="center"/>
              <w:rPr>
                <w:color w:val="000000" w:themeColor="text1"/>
              </w:rPr>
            </w:pPr>
            <w:r w:rsidRPr="00992E14">
              <w:rPr>
                <w:color w:val="000000" w:themeColor="text1"/>
                <w:sz w:val="18"/>
                <w:szCs w:val="18"/>
              </w:rPr>
              <w:t>0.0645</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20FFD815" w14:textId="77777777" w:rsidR="00C21B5E" w:rsidRPr="00992E14" w:rsidRDefault="00000000" w:rsidP="00DA1554">
            <w:pPr>
              <w:jc w:val="center"/>
              <w:rPr>
                <w:color w:val="000000" w:themeColor="text1"/>
              </w:rPr>
            </w:pPr>
            <w:r w:rsidRPr="00992E14">
              <w:rPr>
                <w:color w:val="000000" w:themeColor="text1"/>
                <w:sz w:val="18"/>
                <w:szCs w:val="18"/>
              </w:rPr>
              <w:t>0.0497</w:t>
            </w:r>
          </w:p>
        </w:tc>
      </w:tr>
      <w:tr w:rsidR="00DA1554" w:rsidRPr="00992E14" w14:paraId="65149E44"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419FD998" w14:textId="77777777" w:rsidR="00C21B5E" w:rsidRPr="00992E14" w:rsidRDefault="00000000" w:rsidP="00DA1554">
            <w:pPr>
              <w:jc w:val="center"/>
              <w:rPr>
                <w:color w:val="000000" w:themeColor="text1"/>
              </w:rPr>
            </w:pPr>
            <w:r w:rsidRPr="00992E14">
              <w:rPr>
                <w:color w:val="000000" w:themeColor="text1"/>
                <w:sz w:val="18"/>
                <w:szCs w:val="18"/>
              </w:rPr>
              <w:t>XLE</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2C6B84BF" w14:textId="77777777" w:rsidR="00C21B5E" w:rsidRPr="00992E14" w:rsidRDefault="00000000" w:rsidP="00DA1554">
            <w:pPr>
              <w:jc w:val="center"/>
              <w:rPr>
                <w:color w:val="000000" w:themeColor="text1"/>
              </w:rPr>
            </w:pPr>
            <w:r w:rsidRPr="00992E14">
              <w:rPr>
                <w:color w:val="000000" w:themeColor="text1"/>
                <w:sz w:val="18"/>
                <w:szCs w:val="18"/>
              </w:rPr>
              <w:t>0.0962</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33D055C6" w14:textId="77777777" w:rsidR="00C21B5E" w:rsidRPr="00992E14" w:rsidRDefault="00000000" w:rsidP="00DA1554">
            <w:pPr>
              <w:jc w:val="center"/>
              <w:rPr>
                <w:color w:val="000000" w:themeColor="text1"/>
              </w:rPr>
            </w:pPr>
            <w:r w:rsidRPr="00992E14">
              <w:rPr>
                <w:color w:val="000000" w:themeColor="text1"/>
                <w:sz w:val="18"/>
                <w:szCs w:val="18"/>
              </w:rPr>
              <w:t>0.0350</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A776438" w14:textId="77777777" w:rsidR="00C21B5E" w:rsidRPr="00992E14" w:rsidRDefault="00000000" w:rsidP="00DA1554">
            <w:pPr>
              <w:jc w:val="center"/>
              <w:rPr>
                <w:color w:val="000000" w:themeColor="text1"/>
              </w:rPr>
            </w:pPr>
            <w:r w:rsidRPr="00992E14">
              <w:rPr>
                <w:color w:val="000000" w:themeColor="text1"/>
                <w:sz w:val="18"/>
                <w:szCs w:val="18"/>
              </w:rPr>
              <w:t>0.1004</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314CA9A3" w14:textId="77777777" w:rsidR="00C21B5E" w:rsidRPr="00992E14" w:rsidRDefault="00000000" w:rsidP="00DA1554">
            <w:pPr>
              <w:jc w:val="center"/>
              <w:rPr>
                <w:color w:val="000000" w:themeColor="text1"/>
              </w:rPr>
            </w:pPr>
            <w:r w:rsidRPr="00992E14">
              <w:rPr>
                <w:color w:val="000000" w:themeColor="text1"/>
                <w:sz w:val="18"/>
                <w:szCs w:val="18"/>
              </w:rPr>
              <w:t>0.0682</w:t>
            </w:r>
          </w:p>
        </w:tc>
      </w:tr>
      <w:tr w:rsidR="00DA1554" w:rsidRPr="00992E14" w14:paraId="6AFF1931"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63087E8D" w14:textId="77777777" w:rsidR="00C21B5E" w:rsidRPr="00992E14" w:rsidRDefault="00000000" w:rsidP="00DA1554">
            <w:pPr>
              <w:jc w:val="center"/>
              <w:rPr>
                <w:color w:val="000000" w:themeColor="text1"/>
              </w:rPr>
            </w:pPr>
            <w:r w:rsidRPr="00992E14">
              <w:rPr>
                <w:color w:val="000000" w:themeColor="text1"/>
                <w:sz w:val="18"/>
                <w:szCs w:val="18"/>
              </w:rPr>
              <w:t>XLU</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7EBDDFC" w14:textId="77777777" w:rsidR="00C21B5E" w:rsidRPr="00992E14" w:rsidRDefault="00000000" w:rsidP="00DA1554">
            <w:pPr>
              <w:jc w:val="center"/>
              <w:rPr>
                <w:color w:val="000000" w:themeColor="text1"/>
              </w:rPr>
            </w:pPr>
            <w:r w:rsidRPr="00992E14">
              <w:rPr>
                <w:color w:val="000000" w:themeColor="text1"/>
                <w:sz w:val="18"/>
                <w:szCs w:val="18"/>
              </w:rPr>
              <w:t>0.0532</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0EAFE291" w14:textId="77777777" w:rsidR="00C21B5E" w:rsidRPr="00992E14" w:rsidRDefault="00000000" w:rsidP="00DA1554">
            <w:pPr>
              <w:jc w:val="center"/>
              <w:rPr>
                <w:color w:val="000000" w:themeColor="text1"/>
              </w:rPr>
            </w:pPr>
            <w:r w:rsidRPr="00992E14">
              <w:rPr>
                <w:color w:val="000000" w:themeColor="text1"/>
                <w:sz w:val="18"/>
                <w:szCs w:val="18"/>
              </w:rPr>
              <w:t>0.0127</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0C939C3C" w14:textId="77777777" w:rsidR="00C21B5E" w:rsidRPr="00992E14" w:rsidRDefault="00000000" w:rsidP="00DA1554">
            <w:pPr>
              <w:jc w:val="center"/>
              <w:rPr>
                <w:color w:val="000000" w:themeColor="text1"/>
              </w:rPr>
            </w:pPr>
            <w:r w:rsidRPr="00992E14">
              <w:rPr>
                <w:color w:val="000000" w:themeColor="text1"/>
                <w:sz w:val="18"/>
                <w:szCs w:val="18"/>
              </w:rPr>
              <w:t>0.0538</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15DD6F2F" w14:textId="77777777" w:rsidR="00C21B5E" w:rsidRPr="00992E14" w:rsidRDefault="00000000" w:rsidP="00DA1554">
            <w:pPr>
              <w:jc w:val="center"/>
              <w:rPr>
                <w:color w:val="000000" w:themeColor="text1"/>
              </w:rPr>
            </w:pPr>
            <w:r w:rsidRPr="00992E14">
              <w:rPr>
                <w:color w:val="000000" w:themeColor="text1"/>
                <w:sz w:val="18"/>
                <w:szCs w:val="18"/>
              </w:rPr>
              <w:t>0.0427</w:t>
            </w:r>
          </w:p>
        </w:tc>
      </w:tr>
      <w:tr w:rsidR="00DA1554" w:rsidRPr="00992E14" w14:paraId="6183DEC5"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77652B4" w14:textId="77777777" w:rsidR="00C21B5E" w:rsidRPr="00992E14" w:rsidRDefault="00000000" w:rsidP="00DA1554">
            <w:pPr>
              <w:jc w:val="center"/>
              <w:rPr>
                <w:color w:val="000000" w:themeColor="text1"/>
              </w:rPr>
            </w:pPr>
            <w:r w:rsidRPr="00992E14">
              <w:rPr>
                <w:color w:val="000000" w:themeColor="text1"/>
                <w:sz w:val="18"/>
                <w:szCs w:val="18"/>
              </w:rPr>
              <w:t>XLV</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714F9E6D" w14:textId="77777777" w:rsidR="00C21B5E" w:rsidRPr="00992E14" w:rsidRDefault="00000000" w:rsidP="00DA1554">
            <w:pPr>
              <w:jc w:val="center"/>
              <w:rPr>
                <w:color w:val="000000" w:themeColor="text1"/>
              </w:rPr>
            </w:pPr>
            <w:r w:rsidRPr="00992E14">
              <w:rPr>
                <w:color w:val="000000" w:themeColor="text1"/>
                <w:sz w:val="18"/>
                <w:szCs w:val="18"/>
              </w:rPr>
              <w:t>0.0498</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167DB00A" w14:textId="77777777" w:rsidR="00C21B5E" w:rsidRPr="00992E14" w:rsidRDefault="00000000" w:rsidP="00DA1554">
            <w:pPr>
              <w:jc w:val="center"/>
              <w:rPr>
                <w:color w:val="000000" w:themeColor="text1"/>
              </w:rPr>
            </w:pPr>
            <w:r w:rsidRPr="00992E14">
              <w:rPr>
                <w:color w:val="000000" w:themeColor="text1"/>
                <w:sz w:val="18"/>
                <w:szCs w:val="18"/>
              </w:rPr>
              <w:t>0.0201</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6ED72D72" w14:textId="77777777" w:rsidR="00C21B5E" w:rsidRPr="00992E14" w:rsidRDefault="00000000" w:rsidP="00DA1554">
            <w:pPr>
              <w:jc w:val="center"/>
              <w:rPr>
                <w:color w:val="000000" w:themeColor="text1"/>
              </w:rPr>
            </w:pPr>
            <w:r w:rsidRPr="00992E14">
              <w:rPr>
                <w:color w:val="000000" w:themeColor="text1"/>
                <w:sz w:val="18"/>
                <w:szCs w:val="18"/>
              </w:rPr>
              <w:t>0.0434</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4FF768FF" w14:textId="77777777" w:rsidR="00C21B5E" w:rsidRPr="00992E14" w:rsidRDefault="00000000" w:rsidP="00DA1554">
            <w:pPr>
              <w:jc w:val="center"/>
              <w:rPr>
                <w:color w:val="000000" w:themeColor="text1"/>
              </w:rPr>
            </w:pPr>
            <w:r w:rsidRPr="00992E14">
              <w:rPr>
                <w:color w:val="000000" w:themeColor="text1"/>
                <w:sz w:val="18"/>
                <w:szCs w:val="18"/>
              </w:rPr>
              <w:t>0.0363</w:t>
            </w:r>
          </w:p>
        </w:tc>
      </w:tr>
      <w:tr w:rsidR="00DA1554" w:rsidRPr="00992E14" w14:paraId="63CA3901"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1B060722" w14:textId="77777777" w:rsidR="00C21B5E" w:rsidRPr="00992E14" w:rsidRDefault="00000000" w:rsidP="00DA1554">
            <w:pPr>
              <w:jc w:val="center"/>
              <w:rPr>
                <w:color w:val="000000" w:themeColor="text1"/>
              </w:rPr>
            </w:pPr>
            <w:r w:rsidRPr="00992E14">
              <w:rPr>
                <w:color w:val="000000" w:themeColor="text1"/>
                <w:sz w:val="18"/>
                <w:szCs w:val="18"/>
              </w:rPr>
              <w:t>XLI</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14C557A" w14:textId="77777777" w:rsidR="00C21B5E" w:rsidRPr="00992E14" w:rsidRDefault="00000000" w:rsidP="00DA1554">
            <w:pPr>
              <w:jc w:val="center"/>
              <w:rPr>
                <w:color w:val="000000" w:themeColor="text1"/>
              </w:rPr>
            </w:pPr>
            <w:r w:rsidRPr="00992E14">
              <w:rPr>
                <w:color w:val="000000" w:themeColor="text1"/>
                <w:sz w:val="18"/>
                <w:szCs w:val="18"/>
              </w:rPr>
              <w:t>0.0738</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78781703" w14:textId="77777777" w:rsidR="00C21B5E" w:rsidRPr="00992E14" w:rsidRDefault="00000000" w:rsidP="00DA1554">
            <w:pPr>
              <w:jc w:val="center"/>
              <w:rPr>
                <w:color w:val="000000" w:themeColor="text1"/>
              </w:rPr>
            </w:pPr>
            <w:r w:rsidRPr="00992E14">
              <w:rPr>
                <w:color w:val="000000" w:themeColor="text1"/>
                <w:sz w:val="18"/>
                <w:szCs w:val="18"/>
              </w:rPr>
              <w:t>0.0224</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3217CB4C" w14:textId="77777777" w:rsidR="00C21B5E" w:rsidRPr="00992E14" w:rsidRDefault="00000000" w:rsidP="00DA1554">
            <w:pPr>
              <w:jc w:val="center"/>
              <w:rPr>
                <w:color w:val="000000" w:themeColor="text1"/>
              </w:rPr>
            </w:pPr>
            <w:r w:rsidRPr="00992E14">
              <w:rPr>
                <w:color w:val="000000" w:themeColor="text1"/>
                <w:sz w:val="18"/>
                <w:szCs w:val="18"/>
              </w:rPr>
              <w:t>0.0591</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5DEEA2A" w14:textId="77777777" w:rsidR="00C21B5E" w:rsidRPr="00992E14" w:rsidRDefault="00000000" w:rsidP="00DA1554">
            <w:pPr>
              <w:jc w:val="center"/>
              <w:rPr>
                <w:color w:val="000000" w:themeColor="text1"/>
              </w:rPr>
            </w:pPr>
            <w:r w:rsidRPr="00992E14">
              <w:rPr>
                <w:color w:val="000000" w:themeColor="text1"/>
                <w:sz w:val="18"/>
                <w:szCs w:val="18"/>
              </w:rPr>
              <w:t>0.0452</w:t>
            </w:r>
          </w:p>
        </w:tc>
      </w:tr>
      <w:tr w:rsidR="00DA1554" w:rsidRPr="00992E14" w14:paraId="4EB18E9A"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FF9BCD8" w14:textId="77777777" w:rsidR="00C21B5E" w:rsidRPr="00992E14" w:rsidRDefault="00000000" w:rsidP="00DA1554">
            <w:pPr>
              <w:jc w:val="center"/>
              <w:rPr>
                <w:color w:val="000000" w:themeColor="text1"/>
              </w:rPr>
            </w:pPr>
            <w:r w:rsidRPr="00992E14">
              <w:rPr>
                <w:color w:val="000000" w:themeColor="text1"/>
                <w:sz w:val="18"/>
                <w:szCs w:val="18"/>
              </w:rPr>
              <w:t>XLP</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0ACE9060" w14:textId="77777777" w:rsidR="00C21B5E" w:rsidRPr="00992E14" w:rsidRDefault="00000000" w:rsidP="00DA1554">
            <w:pPr>
              <w:jc w:val="center"/>
              <w:rPr>
                <w:color w:val="000000" w:themeColor="text1"/>
              </w:rPr>
            </w:pPr>
            <w:r w:rsidRPr="00992E14">
              <w:rPr>
                <w:color w:val="000000" w:themeColor="text1"/>
                <w:sz w:val="18"/>
                <w:szCs w:val="18"/>
              </w:rPr>
              <w:t>0.0509</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3185678D" w14:textId="77777777" w:rsidR="00C21B5E" w:rsidRPr="00992E14" w:rsidRDefault="00000000" w:rsidP="00DA1554">
            <w:pPr>
              <w:jc w:val="center"/>
              <w:rPr>
                <w:color w:val="000000" w:themeColor="text1"/>
              </w:rPr>
            </w:pPr>
            <w:r w:rsidRPr="00992E14">
              <w:rPr>
                <w:color w:val="000000" w:themeColor="text1"/>
                <w:sz w:val="18"/>
                <w:szCs w:val="18"/>
              </w:rPr>
              <w:t>0.0107</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65E25A4C" w14:textId="77777777" w:rsidR="00C21B5E" w:rsidRPr="00992E14" w:rsidRDefault="00000000" w:rsidP="00DA1554">
            <w:pPr>
              <w:jc w:val="center"/>
              <w:rPr>
                <w:color w:val="000000" w:themeColor="text1"/>
              </w:rPr>
            </w:pPr>
            <w:r w:rsidRPr="00992E14">
              <w:rPr>
                <w:color w:val="000000" w:themeColor="text1"/>
                <w:sz w:val="18"/>
                <w:szCs w:val="18"/>
              </w:rPr>
              <w:t>0.0414</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37AEF9CA" w14:textId="77777777" w:rsidR="00C21B5E" w:rsidRPr="00992E14" w:rsidRDefault="00000000" w:rsidP="00DA1554">
            <w:pPr>
              <w:jc w:val="center"/>
              <w:rPr>
                <w:color w:val="000000" w:themeColor="text1"/>
              </w:rPr>
            </w:pPr>
            <w:r w:rsidRPr="00992E14">
              <w:rPr>
                <w:color w:val="000000" w:themeColor="text1"/>
                <w:sz w:val="18"/>
                <w:szCs w:val="18"/>
              </w:rPr>
              <w:t>0.0330</w:t>
            </w:r>
          </w:p>
        </w:tc>
      </w:tr>
      <w:tr w:rsidR="00DA1554" w:rsidRPr="00992E14" w14:paraId="0221863B" w14:textId="77777777" w:rsidTr="00460B78">
        <w:tblPrEx>
          <w:tblCellMar>
            <w:top w:w="0" w:type="dxa"/>
            <w:bottom w:w="0" w:type="dxa"/>
          </w:tblCellMar>
        </w:tblPrEx>
        <w:tc>
          <w:tcPr>
            <w:tcW w:w="132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0CB88A15" w14:textId="77777777" w:rsidR="00C21B5E" w:rsidRPr="00992E14" w:rsidRDefault="00000000" w:rsidP="00DA1554">
            <w:pPr>
              <w:jc w:val="center"/>
              <w:rPr>
                <w:color w:val="000000" w:themeColor="text1"/>
              </w:rPr>
            </w:pPr>
            <w:r w:rsidRPr="00992E14">
              <w:rPr>
                <w:color w:val="000000" w:themeColor="text1"/>
                <w:sz w:val="18"/>
                <w:szCs w:val="18"/>
              </w:rPr>
              <w:t>XLY</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1E95FCD5" w14:textId="77777777" w:rsidR="00C21B5E" w:rsidRPr="00992E14" w:rsidRDefault="00000000" w:rsidP="00DA1554">
            <w:pPr>
              <w:jc w:val="center"/>
              <w:rPr>
                <w:color w:val="000000" w:themeColor="text1"/>
              </w:rPr>
            </w:pPr>
            <w:r w:rsidRPr="00992E14">
              <w:rPr>
                <w:color w:val="000000" w:themeColor="text1"/>
                <w:sz w:val="18"/>
                <w:szCs w:val="18"/>
              </w:rPr>
              <w:t>0.0748</w:t>
            </w:r>
          </w:p>
        </w:tc>
        <w:tc>
          <w:tcPr>
            <w:tcW w:w="18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7B112981" w14:textId="77777777" w:rsidR="00C21B5E" w:rsidRPr="00992E14" w:rsidRDefault="00000000" w:rsidP="00DA1554">
            <w:pPr>
              <w:jc w:val="center"/>
              <w:rPr>
                <w:color w:val="000000" w:themeColor="text1"/>
              </w:rPr>
            </w:pPr>
            <w:r w:rsidRPr="00992E14">
              <w:rPr>
                <w:color w:val="000000" w:themeColor="text1"/>
                <w:sz w:val="18"/>
                <w:szCs w:val="18"/>
              </w:rPr>
              <w:t>0.0113</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5C72278F" w14:textId="77777777" w:rsidR="00C21B5E" w:rsidRPr="00992E14" w:rsidRDefault="00000000" w:rsidP="00DA1554">
            <w:pPr>
              <w:jc w:val="center"/>
              <w:rPr>
                <w:color w:val="000000" w:themeColor="text1"/>
              </w:rPr>
            </w:pPr>
            <w:r w:rsidRPr="00992E14">
              <w:rPr>
                <w:color w:val="000000" w:themeColor="text1"/>
                <w:sz w:val="18"/>
                <w:szCs w:val="18"/>
              </w:rPr>
              <w:t>0.0656</w:t>
            </w:r>
          </w:p>
        </w:tc>
        <w:tc>
          <w:tcPr>
            <w:tcW w:w="2160" w:type="dxa"/>
            <w:tcBorders>
              <w:top w:val="single" w:sz="1" w:space="0" w:color="CCCCCC"/>
              <w:left w:val="single" w:sz="1" w:space="0" w:color="CCCCCC"/>
              <w:bottom w:val="single" w:sz="1" w:space="0" w:color="CCCCCC"/>
              <w:right w:val="single" w:sz="1" w:space="0" w:color="CCCCCC"/>
            </w:tcBorders>
            <w:tcMar>
              <w:top w:w="55" w:type="dxa"/>
              <w:left w:w="80" w:type="dxa"/>
              <w:bottom w:w="55" w:type="dxa"/>
              <w:right w:w="80" w:type="dxa"/>
            </w:tcMar>
          </w:tcPr>
          <w:p w14:paraId="22646FCB" w14:textId="77777777" w:rsidR="00C21B5E" w:rsidRPr="00992E14" w:rsidRDefault="00000000" w:rsidP="00DA1554">
            <w:pPr>
              <w:jc w:val="center"/>
              <w:rPr>
                <w:color w:val="000000" w:themeColor="text1"/>
              </w:rPr>
            </w:pPr>
            <w:r w:rsidRPr="00992E14">
              <w:rPr>
                <w:color w:val="000000" w:themeColor="text1"/>
                <w:sz w:val="18"/>
                <w:szCs w:val="18"/>
              </w:rPr>
              <w:t>0.0499</w:t>
            </w:r>
          </w:p>
        </w:tc>
      </w:tr>
    </w:tbl>
    <w:p w14:paraId="5B2743D9" w14:textId="77777777" w:rsidR="00C21B5E" w:rsidRPr="00992E14" w:rsidRDefault="00000000" w:rsidP="00DA1554">
      <w:pPr>
        <w:spacing w:before="40" w:after="110"/>
        <w:jc w:val="center"/>
        <w:rPr>
          <w:color w:val="000000" w:themeColor="text1"/>
        </w:rPr>
      </w:pPr>
      <w:r w:rsidRPr="00992E14">
        <w:rPr>
          <w:i/>
          <w:iCs/>
          <w:color w:val="000000" w:themeColor="text1"/>
          <w:sz w:val="18"/>
          <w:szCs w:val="18"/>
        </w:rPr>
        <w:t>Table 1. Model evaluation across all 8 sector ETFs. Rolling R² uses the 36-month window over the full sample. In-Sample R², OOS RMSE, and OOS MAE are from the 2010–2019 train / 2020–2026 test split.</w:t>
      </w:r>
    </w:p>
    <w:p w14:paraId="0C62C171" w14:textId="06A11055" w:rsidR="00C21B5E" w:rsidRPr="00992E14" w:rsidRDefault="00000000" w:rsidP="00DA1554">
      <w:pPr>
        <w:spacing w:before="80" w:after="60"/>
        <w:jc w:val="both"/>
        <w:rPr>
          <w:color w:val="000000" w:themeColor="text1"/>
        </w:rPr>
      </w:pPr>
      <w:r w:rsidRPr="00992E14">
        <w:rPr>
          <w:color w:val="000000" w:themeColor="text1"/>
        </w:rPr>
        <w:t>Regime-conditional OLS. Separate regressions within each regime show that PC2 (Slope) coefficients are negative across nearly all sectors in every regime</w:t>
      </w:r>
      <w:r w:rsidR="002B0288">
        <w:rPr>
          <w:color w:val="000000" w:themeColor="text1"/>
        </w:rPr>
        <w:t xml:space="preserve">, </w:t>
      </w:r>
      <w:r w:rsidRPr="00992E14">
        <w:rPr>
          <w:color w:val="000000" w:themeColor="text1"/>
        </w:rPr>
        <w:t>including cyclicals like XLF and XLE. This is counterintuitive</w:t>
      </w:r>
      <w:r w:rsidR="002B0288">
        <w:rPr>
          <w:color w:val="000000" w:themeColor="text1"/>
        </w:rPr>
        <w:t>, as</w:t>
      </w:r>
      <w:r w:rsidRPr="00992E14">
        <w:rPr>
          <w:color w:val="000000" w:themeColor="text1"/>
        </w:rPr>
        <w:t xml:space="preserve"> a steeper curve is conventionally expected to benefit financials and cyclicals. One </w:t>
      </w:r>
      <w:r w:rsidR="004F65F4">
        <w:rPr>
          <w:color w:val="000000" w:themeColor="text1"/>
        </w:rPr>
        <w:t xml:space="preserve">potential </w:t>
      </w:r>
      <w:r w:rsidRPr="00992E14">
        <w:rPr>
          <w:color w:val="000000" w:themeColor="text1"/>
        </w:rPr>
        <w:t xml:space="preserve">explanation is that curve steepening during this sample period often accompanied Fed pivot expectations, where defensives initially outperform. Another is that with R² values of 1–7%, the coefficients carry substantial noise. </w:t>
      </w:r>
    </w:p>
    <w:p w14:paraId="43A3BBDB" w14:textId="77777777" w:rsidR="00C21B5E" w:rsidRPr="00992E14" w:rsidRDefault="00C21B5E" w:rsidP="00DA1554">
      <w:pPr>
        <w:spacing w:after="60"/>
        <w:rPr>
          <w:color w:val="000000" w:themeColor="text1"/>
        </w:rPr>
      </w:pPr>
    </w:p>
    <w:p w14:paraId="7B6A960C" w14:textId="77777777" w:rsidR="00C21B5E" w:rsidRPr="00992E14" w:rsidRDefault="00000000" w:rsidP="00DA1554">
      <w:pPr>
        <w:spacing w:before="160" w:after="55"/>
        <w:rPr>
          <w:b/>
          <w:bCs/>
          <w:color w:val="000000" w:themeColor="text1"/>
        </w:rPr>
      </w:pPr>
      <w:r w:rsidRPr="00992E14">
        <w:rPr>
          <w:b/>
          <w:bCs/>
          <w:color w:val="000000" w:themeColor="text1"/>
          <w:sz w:val="24"/>
          <w:szCs w:val="24"/>
        </w:rPr>
        <w:t>7.  Cross-Sectional Rank Model &amp; Information Coefficient</w:t>
      </w:r>
    </w:p>
    <w:p w14:paraId="430B543A" w14:textId="1F76F41D" w:rsidR="00C21B5E" w:rsidRPr="00992E14" w:rsidRDefault="00000000" w:rsidP="00DA1554">
      <w:pPr>
        <w:spacing w:after="80"/>
        <w:jc w:val="both"/>
        <w:rPr>
          <w:color w:val="000000" w:themeColor="text1"/>
        </w:rPr>
      </w:pPr>
      <w:r w:rsidRPr="00992E14">
        <w:rPr>
          <w:color w:val="000000" w:themeColor="text1"/>
        </w:rPr>
        <w:t xml:space="preserve">Level-return R² is dominated by broad market beta, masking any sector rotation signal. Sectors were ranked 1–8 by forward return each month and the model re-run on those ranks, forcing it to compete purely on identifying which sectors outperform </w:t>
      </w:r>
      <w:r w:rsidRPr="00992E14">
        <w:rPr>
          <w:i/>
          <w:iCs/>
          <w:color w:val="000000" w:themeColor="text1"/>
        </w:rPr>
        <w:t>relative to each other</w:t>
      </w:r>
      <w:r w:rsidRPr="00992E14">
        <w:rPr>
          <w:color w:val="000000" w:themeColor="text1"/>
        </w:rPr>
        <w:t>. The Information Coefficient (IC)</w:t>
      </w:r>
      <w:r w:rsidR="002B5574">
        <w:rPr>
          <w:color w:val="000000" w:themeColor="text1"/>
        </w:rPr>
        <w:t xml:space="preserve">, aka </w:t>
      </w:r>
      <w:r w:rsidRPr="00992E14">
        <w:rPr>
          <w:color w:val="000000" w:themeColor="text1"/>
        </w:rPr>
        <w:t>the monthly Spearman correlation between predicted and actual rankings</w:t>
      </w:r>
      <w:r w:rsidR="002B5574">
        <w:rPr>
          <w:color w:val="000000" w:themeColor="text1"/>
        </w:rPr>
        <w:t xml:space="preserve">, </w:t>
      </w:r>
      <w:r w:rsidRPr="00992E14">
        <w:rPr>
          <w:color w:val="000000" w:themeColor="text1"/>
        </w:rPr>
        <w:t>was computed using prior-period coefficients only</w:t>
      </w:r>
      <w:r w:rsidR="002B5574">
        <w:rPr>
          <w:color w:val="000000" w:themeColor="text1"/>
        </w:rPr>
        <w:t xml:space="preserve">, </w:t>
      </w:r>
      <w:r w:rsidRPr="00992E14">
        <w:rPr>
          <w:color w:val="000000" w:themeColor="text1"/>
        </w:rPr>
        <w:t>making it genuinely out-of-sample.</w:t>
      </w:r>
    </w:p>
    <w:p w14:paraId="24AB174E" w14:textId="1215E52F" w:rsidR="00C21B5E" w:rsidRDefault="00000000" w:rsidP="00DA1554">
      <w:pPr>
        <w:spacing w:after="60"/>
        <w:jc w:val="both"/>
        <w:rPr>
          <w:color w:val="000000" w:themeColor="text1"/>
        </w:rPr>
      </w:pPr>
      <w:r w:rsidRPr="00992E14">
        <w:rPr>
          <w:color w:val="000000" w:themeColor="text1"/>
        </w:rPr>
        <w:t xml:space="preserve">The result was mean IC = 0.019, t-stat = 0.58, positive in 51.9% of months. A t-statistic of 0.58 is well below the conventional threshold of 2 for statistical reliability, meaning the model does not demonstrate a significant out-of-sample sector rotation signal. </w:t>
      </w:r>
      <w:r w:rsidR="001D3CD7">
        <w:rPr>
          <w:color w:val="000000" w:themeColor="text1"/>
        </w:rPr>
        <w:t>In other words,</w:t>
      </w:r>
      <w:r w:rsidRPr="00992E14">
        <w:rPr>
          <w:color w:val="000000" w:themeColor="text1"/>
        </w:rPr>
        <w:t xml:space="preserve"> once the IC is computed using only information available before each return period</w:t>
      </w:r>
      <w:r w:rsidR="0009627F">
        <w:rPr>
          <w:color w:val="000000" w:themeColor="text1"/>
        </w:rPr>
        <w:t xml:space="preserve">, </w:t>
      </w:r>
      <w:r w:rsidRPr="00992E14">
        <w:rPr>
          <w:color w:val="000000" w:themeColor="text1"/>
        </w:rPr>
        <w:t xml:space="preserve">the yield curve factors alone do not reliably identify which sectors will outperform </w:t>
      </w:r>
      <w:proofErr w:type="gramStart"/>
      <w:r w:rsidRPr="00992E14">
        <w:rPr>
          <w:color w:val="000000" w:themeColor="text1"/>
        </w:rPr>
        <w:t>in a given</w:t>
      </w:r>
      <w:proofErr w:type="gramEnd"/>
      <w:r w:rsidRPr="00992E14">
        <w:rPr>
          <w:color w:val="000000" w:themeColor="text1"/>
        </w:rPr>
        <w:t xml:space="preserve"> month. The IC’s near-zero </w:t>
      </w:r>
      <w:proofErr w:type="gramStart"/>
      <w:r w:rsidRPr="00992E14">
        <w:rPr>
          <w:color w:val="000000" w:themeColor="text1"/>
        </w:rPr>
        <w:t>value</w:t>
      </w:r>
      <w:proofErr w:type="gramEnd"/>
      <w:r w:rsidRPr="00992E14">
        <w:rPr>
          <w:color w:val="000000" w:themeColor="text1"/>
        </w:rPr>
        <w:t xml:space="preserve"> and the 51.9% positive rate are consistent with random guessing across an 8-sector universe.</w:t>
      </w:r>
    </w:p>
    <w:p w14:paraId="2FC086DF" w14:textId="0B914458" w:rsidR="00923EA5" w:rsidRPr="00992E14" w:rsidRDefault="00923EA5" w:rsidP="00923EA5">
      <w:pPr>
        <w:spacing w:after="60"/>
        <w:jc w:val="center"/>
        <w:rPr>
          <w:color w:val="000000" w:themeColor="text1"/>
        </w:rPr>
      </w:pPr>
      <w:r w:rsidRPr="00923EA5">
        <w:rPr>
          <w:color w:val="000000" w:themeColor="text1"/>
        </w:rPr>
        <w:lastRenderedPageBreak/>
        <w:drawing>
          <wp:inline distT="0" distB="0" distL="0" distR="0" wp14:anchorId="5EF79DF6" wp14:editId="2BBA8A36">
            <wp:extent cx="5589411" cy="1701165"/>
            <wp:effectExtent l="0" t="0" r="0" b="635"/>
            <wp:docPr id="1939221708"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1708" name="Picture 1" descr="A graph with blue and red lines&#10;&#10;AI-generated content may be incorrect."/>
                    <pic:cNvPicPr/>
                  </pic:nvPicPr>
                  <pic:blipFill rotWithShape="1">
                    <a:blip r:embed="rId6"/>
                    <a:srcRect l="666"/>
                    <a:stretch>
                      <a:fillRect/>
                    </a:stretch>
                  </pic:blipFill>
                  <pic:spPr bwMode="auto">
                    <a:xfrm>
                      <a:off x="0" y="0"/>
                      <a:ext cx="5722791" cy="1741760"/>
                    </a:xfrm>
                    <a:prstGeom prst="rect">
                      <a:avLst/>
                    </a:prstGeom>
                    <a:ln>
                      <a:noFill/>
                    </a:ln>
                    <a:extLst>
                      <a:ext uri="{53640926-AAD7-44D8-BBD7-CCE9431645EC}">
                        <a14:shadowObscured xmlns:a14="http://schemas.microsoft.com/office/drawing/2010/main"/>
                      </a:ext>
                    </a:extLst>
                  </pic:spPr>
                </pic:pic>
              </a:graphicData>
            </a:graphic>
          </wp:inline>
        </w:drawing>
      </w:r>
    </w:p>
    <w:p w14:paraId="5898A4DC" w14:textId="51D5F5AB" w:rsidR="00C21B5E" w:rsidRPr="00992E14" w:rsidRDefault="00000000" w:rsidP="00DA1554">
      <w:pPr>
        <w:spacing w:before="40" w:after="110"/>
        <w:jc w:val="center"/>
        <w:rPr>
          <w:color w:val="000000" w:themeColor="text1"/>
        </w:rPr>
      </w:pPr>
      <w:r w:rsidRPr="00992E14">
        <w:rPr>
          <w:i/>
          <w:iCs/>
          <w:color w:val="000000" w:themeColor="text1"/>
          <w:sz w:val="18"/>
          <w:szCs w:val="18"/>
        </w:rPr>
        <w:t xml:space="preserve">Figure 2. Monthly out-of-sample Information Coefficient (IC) with 12-month rolling mean. </w:t>
      </w:r>
    </w:p>
    <w:p w14:paraId="72F9733F" w14:textId="77777777" w:rsidR="00C21B5E" w:rsidRPr="00992E14" w:rsidRDefault="00C21B5E" w:rsidP="00DA1554">
      <w:pPr>
        <w:spacing w:after="60"/>
        <w:rPr>
          <w:color w:val="000000" w:themeColor="text1"/>
        </w:rPr>
      </w:pPr>
    </w:p>
    <w:p w14:paraId="66C7243B" w14:textId="77777777" w:rsidR="00C21B5E" w:rsidRPr="00992E14" w:rsidRDefault="00000000" w:rsidP="00DA1554">
      <w:pPr>
        <w:spacing w:before="160" w:after="55"/>
        <w:rPr>
          <w:b/>
          <w:bCs/>
          <w:color w:val="000000" w:themeColor="text1"/>
        </w:rPr>
      </w:pPr>
      <w:r w:rsidRPr="00992E14">
        <w:rPr>
          <w:b/>
          <w:bCs/>
          <w:color w:val="000000" w:themeColor="text1"/>
          <w:sz w:val="24"/>
          <w:szCs w:val="24"/>
        </w:rPr>
        <w:t>8.  Key Findings &amp; Reflection</w:t>
      </w:r>
    </w:p>
    <w:p w14:paraId="00C5DE4E" w14:textId="494B00A9" w:rsidR="00C21B5E" w:rsidRPr="00992E14" w:rsidRDefault="00000000" w:rsidP="00DA1554">
      <w:pPr>
        <w:pStyle w:val="ListParagraph"/>
        <w:numPr>
          <w:ilvl w:val="0"/>
          <w:numId w:val="2"/>
        </w:numPr>
        <w:spacing w:after="65"/>
        <w:jc w:val="both"/>
        <w:rPr>
          <w:color w:val="000000" w:themeColor="text1"/>
        </w:rPr>
      </w:pPr>
      <w:r w:rsidRPr="00992E14">
        <w:rPr>
          <w:color w:val="000000" w:themeColor="text1"/>
        </w:rPr>
        <w:t>Yield curve factors explain 1–7% of monthly sector return variation. This is modest but consistent with efficient markets</w:t>
      </w:r>
      <w:r w:rsidR="00830096">
        <w:rPr>
          <w:color w:val="000000" w:themeColor="text1"/>
        </w:rPr>
        <w:t xml:space="preserve">, as </w:t>
      </w:r>
      <w:r w:rsidRPr="00992E14">
        <w:rPr>
          <w:color w:val="000000" w:themeColor="text1"/>
        </w:rPr>
        <w:t>any explanatory power above zero is meaningful. XLF shows the strongest fit (rolling R² = 10.5%, in-sample R² = 6.9%), reflecting its structural dependence on the yield spread.</w:t>
      </w:r>
    </w:p>
    <w:p w14:paraId="41EDF4E8" w14:textId="77777777" w:rsidR="00C21B5E" w:rsidRPr="00992E14" w:rsidRDefault="00000000" w:rsidP="00DA1554">
      <w:pPr>
        <w:pStyle w:val="ListParagraph"/>
        <w:numPr>
          <w:ilvl w:val="0"/>
          <w:numId w:val="2"/>
        </w:numPr>
        <w:spacing w:after="65"/>
        <w:jc w:val="both"/>
        <w:rPr>
          <w:color w:val="000000" w:themeColor="text1"/>
        </w:rPr>
      </w:pPr>
      <w:r w:rsidRPr="00992E14">
        <w:rPr>
          <w:color w:val="000000" w:themeColor="text1"/>
        </w:rPr>
        <w:t>PC2 explains far more variance than typical yield curve PCA. Fitting PCA only on the 2010–2019 training period produced a PC2 (Slope) that explains 37.7% of variance rather than the typical ~7%. This is a methodological artifact of the training-period constraint and the unusual out-of-sample rate environment of 2022–2023.</w:t>
      </w:r>
    </w:p>
    <w:p w14:paraId="60D94651" w14:textId="77777777" w:rsidR="00C21B5E" w:rsidRPr="00992E14" w:rsidRDefault="00000000" w:rsidP="00DA1554">
      <w:pPr>
        <w:pStyle w:val="ListParagraph"/>
        <w:numPr>
          <w:ilvl w:val="0"/>
          <w:numId w:val="2"/>
        </w:numPr>
        <w:spacing w:after="65"/>
        <w:jc w:val="both"/>
        <w:rPr>
          <w:color w:val="000000" w:themeColor="text1"/>
        </w:rPr>
      </w:pPr>
      <w:r w:rsidRPr="00992E14">
        <w:rPr>
          <w:color w:val="000000" w:themeColor="text1"/>
        </w:rPr>
        <w:t xml:space="preserve">PC2 coefficient directions are counterintuitive. All sectors show negative or near-zero PC2 coefficients in the Normal regime, contrary to the expected cyclical/defensive split. This may reflect that curve steepening in this sample period coincided with conditions that did not straightforwardly benefit </w:t>
      </w:r>
      <w:proofErr w:type="gramStart"/>
      <w:r w:rsidRPr="00992E14">
        <w:rPr>
          <w:color w:val="000000" w:themeColor="text1"/>
        </w:rPr>
        <w:t>cyclicals, or</w:t>
      </w:r>
      <w:proofErr w:type="gramEnd"/>
      <w:r w:rsidRPr="00992E14">
        <w:rPr>
          <w:color w:val="000000" w:themeColor="text1"/>
        </w:rPr>
        <w:t xml:space="preserve"> may simply be noise given the low R² environment.</w:t>
      </w:r>
    </w:p>
    <w:p w14:paraId="0A6B7529" w14:textId="641F572A" w:rsidR="00C21B5E" w:rsidRPr="00992E14" w:rsidRDefault="00000000" w:rsidP="00DA1554">
      <w:pPr>
        <w:pStyle w:val="ListParagraph"/>
        <w:numPr>
          <w:ilvl w:val="0"/>
          <w:numId w:val="2"/>
        </w:numPr>
        <w:spacing w:after="65"/>
        <w:jc w:val="both"/>
        <w:rPr>
          <w:color w:val="000000" w:themeColor="text1"/>
        </w:rPr>
      </w:pPr>
      <w:r w:rsidRPr="00992E14">
        <w:rPr>
          <w:color w:val="000000" w:themeColor="text1"/>
        </w:rPr>
        <w:t>The rank model does not produce a reliable out-of-sample rotation signal. After applying the methodologically correct out-of-sample IC computation, mean IC = 0.019 (t-stat = 0.58)</w:t>
      </w:r>
      <w:r w:rsidR="00F16C74">
        <w:rPr>
          <w:color w:val="000000" w:themeColor="text1"/>
        </w:rPr>
        <w:t>, which is</w:t>
      </w:r>
      <w:r w:rsidRPr="00992E14">
        <w:rPr>
          <w:color w:val="000000" w:themeColor="text1"/>
        </w:rPr>
        <w:t xml:space="preserve"> not statistically significant. Three yield curve factors alone are insufficient to consistently identify sector rotation.</w:t>
      </w:r>
    </w:p>
    <w:p w14:paraId="577A504E" w14:textId="77777777" w:rsidR="00C21B5E" w:rsidRPr="00992E14" w:rsidRDefault="00000000" w:rsidP="00DA1554">
      <w:pPr>
        <w:pStyle w:val="ListParagraph"/>
        <w:numPr>
          <w:ilvl w:val="0"/>
          <w:numId w:val="2"/>
        </w:numPr>
        <w:spacing w:after="65"/>
        <w:jc w:val="both"/>
        <w:rPr>
          <w:color w:val="000000" w:themeColor="text1"/>
        </w:rPr>
      </w:pPr>
      <w:r w:rsidRPr="00992E14">
        <w:rPr>
          <w:color w:val="000000" w:themeColor="text1"/>
        </w:rPr>
        <w:t xml:space="preserve">GARCH confirms energy volatility persistence. XLE exhibits strong volatility clustering; </w:t>
      </w:r>
      <w:proofErr w:type="gramStart"/>
      <w:r w:rsidRPr="00992E14">
        <w:rPr>
          <w:color w:val="000000" w:themeColor="text1"/>
        </w:rPr>
        <w:t>GARCH(</w:t>
      </w:r>
      <w:proofErr w:type="gramEnd"/>
      <w:r w:rsidRPr="00992E14">
        <w:rPr>
          <w:color w:val="000000" w:themeColor="text1"/>
        </w:rPr>
        <w:t>1,1) conditional volatility responds faster to shocks than rolling std, explaining its highest OOS RMSE (10.0%) despite reasonable rolling R² (9.6%).</w:t>
      </w:r>
    </w:p>
    <w:p w14:paraId="0A6792D6" w14:textId="77777777" w:rsidR="00C21B5E" w:rsidRPr="00992E14" w:rsidRDefault="00C21B5E" w:rsidP="00DA1554">
      <w:pPr>
        <w:spacing w:after="70"/>
        <w:rPr>
          <w:color w:val="000000" w:themeColor="text1"/>
        </w:rPr>
      </w:pPr>
    </w:p>
    <w:p w14:paraId="5AC0246E" w14:textId="535CD846" w:rsidR="00992E14" w:rsidRDefault="00000000" w:rsidP="00992E14">
      <w:pPr>
        <w:spacing w:after="60"/>
        <w:ind w:left="440"/>
        <w:jc w:val="both"/>
        <w:rPr>
          <w:color w:val="000000" w:themeColor="text1"/>
        </w:rPr>
      </w:pPr>
      <w:r w:rsidRPr="006F5A1C">
        <w:rPr>
          <w:b/>
          <w:bCs/>
          <w:color w:val="000000" w:themeColor="text1"/>
        </w:rPr>
        <w:t>Reflection</w:t>
      </w:r>
      <w:r w:rsidR="00992E14">
        <w:rPr>
          <w:color w:val="000000" w:themeColor="text1"/>
        </w:rPr>
        <w:t>:</w:t>
      </w:r>
      <w:r w:rsidR="003B18AF">
        <w:rPr>
          <w:color w:val="000000" w:themeColor="text1"/>
        </w:rPr>
        <w:t xml:space="preserve"> </w:t>
      </w:r>
      <w:r w:rsidRPr="00992E14">
        <w:rPr>
          <w:color w:val="000000" w:themeColor="text1"/>
        </w:rPr>
        <w:t>The PCA and rolling window design choices were both appropriate</w:t>
      </w:r>
      <w:r w:rsidR="0043029B">
        <w:rPr>
          <w:color w:val="000000" w:themeColor="text1"/>
        </w:rPr>
        <w:t xml:space="preserve">. </w:t>
      </w:r>
      <w:r w:rsidRPr="00992E14">
        <w:rPr>
          <w:color w:val="000000" w:themeColor="text1"/>
        </w:rPr>
        <w:t>PCA eliminated multicollinearity while retaining 99.7% of yield curve information, and rolling OLS captured time-varying dynamics that a static model would have averaged away. However, fitting the scaler and PCA on the training period only produced an unusual variance decomposition</w:t>
      </w:r>
      <w:r w:rsidR="00BC5C9B">
        <w:rPr>
          <w:color w:val="000000" w:themeColor="text1"/>
        </w:rPr>
        <w:t xml:space="preserve">, </w:t>
      </w:r>
      <w:r w:rsidRPr="00992E14">
        <w:rPr>
          <w:color w:val="000000" w:themeColor="text1"/>
        </w:rPr>
        <w:t xml:space="preserve">a finding </w:t>
      </w:r>
      <w:r w:rsidR="00BC5C9B">
        <w:rPr>
          <w:color w:val="000000" w:themeColor="text1"/>
        </w:rPr>
        <w:t>that I could investigate</w:t>
      </w:r>
      <w:r w:rsidRPr="00992E14">
        <w:rPr>
          <w:color w:val="000000" w:themeColor="text1"/>
        </w:rPr>
        <w:t xml:space="preserve"> in future work by comparing train-only vs. full-sample PCA. The IC result </w:t>
      </w:r>
      <w:r w:rsidR="00E839F8">
        <w:rPr>
          <w:color w:val="000000" w:themeColor="text1"/>
        </w:rPr>
        <w:t>shows that</w:t>
      </w:r>
      <w:r w:rsidRPr="00992E14">
        <w:rPr>
          <w:color w:val="000000" w:themeColor="text1"/>
        </w:rPr>
        <w:t xml:space="preserve"> three yield curve factors, while statistically detectable in level-return regressions, do not translate into a reliable sector rotation signal once evaluated correctly out-of-sample. </w:t>
      </w:r>
    </w:p>
    <w:p w14:paraId="47602974" w14:textId="77777777" w:rsidR="00992E14" w:rsidRDefault="00000000" w:rsidP="00992E14">
      <w:pPr>
        <w:spacing w:after="60"/>
        <w:ind w:left="440"/>
        <w:jc w:val="both"/>
        <w:rPr>
          <w:color w:val="000000" w:themeColor="text1"/>
        </w:rPr>
      </w:pPr>
      <w:r w:rsidRPr="006F5A1C">
        <w:rPr>
          <w:b/>
          <w:bCs/>
          <w:color w:val="000000" w:themeColor="text1"/>
        </w:rPr>
        <w:t>Key limitations</w:t>
      </w:r>
      <w:r w:rsidRPr="00992E14">
        <w:rPr>
          <w:color w:val="000000" w:themeColor="text1"/>
        </w:rPr>
        <w:t xml:space="preserve">: only 10 inverted-regime observations; OOS errors 3–7× larger than average returns; IC not significant. </w:t>
      </w:r>
    </w:p>
    <w:p w14:paraId="4278CEB2" w14:textId="4C0D3DF7" w:rsidR="00C21B5E" w:rsidRPr="00992E14" w:rsidRDefault="006F5A1C" w:rsidP="00992E14">
      <w:pPr>
        <w:spacing w:after="60"/>
        <w:ind w:left="440"/>
        <w:jc w:val="both"/>
        <w:rPr>
          <w:color w:val="000000" w:themeColor="text1"/>
        </w:rPr>
      </w:pPr>
      <w:r w:rsidRPr="006F5A1C">
        <w:rPr>
          <w:b/>
          <w:bCs/>
          <w:color w:val="000000" w:themeColor="text1"/>
        </w:rPr>
        <w:t>Next</w:t>
      </w:r>
      <w:r w:rsidR="00000000" w:rsidRPr="006F5A1C">
        <w:rPr>
          <w:b/>
          <w:bCs/>
          <w:color w:val="000000" w:themeColor="text1"/>
        </w:rPr>
        <w:t xml:space="preserve"> steps</w:t>
      </w:r>
      <w:r w:rsidR="00000000" w:rsidRPr="00992E14">
        <w:rPr>
          <w:color w:val="000000" w:themeColor="text1"/>
        </w:rPr>
        <w:t>: extend data to the 1990s for a larger inverted sample</w:t>
      </w:r>
      <w:r w:rsidR="0095066A">
        <w:rPr>
          <w:color w:val="000000" w:themeColor="text1"/>
        </w:rPr>
        <w:t>,</w:t>
      </w:r>
      <w:r w:rsidR="00000000" w:rsidRPr="00992E14">
        <w:rPr>
          <w:color w:val="000000" w:themeColor="text1"/>
        </w:rPr>
        <w:t xml:space="preserve"> add credit spreads and VIX to expand the feature set</w:t>
      </w:r>
      <w:r w:rsidR="0095066A">
        <w:rPr>
          <w:color w:val="000000" w:themeColor="text1"/>
        </w:rPr>
        <w:t>,</w:t>
      </w:r>
      <w:r w:rsidR="00000000" w:rsidRPr="00992E14">
        <w:rPr>
          <w:color w:val="000000" w:themeColor="text1"/>
        </w:rPr>
        <w:t xml:space="preserve"> compare train-only vs. full-sample PCA</w:t>
      </w:r>
      <w:r w:rsidR="0095066A">
        <w:rPr>
          <w:color w:val="000000" w:themeColor="text1"/>
        </w:rPr>
        <w:t>,</w:t>
      </w:r>
      <w:r w:rsidR="00000000" w:rsidRPr="00992E14">
        <w:rPr>
          <w:color w:val="000000" w:themeColor="text1"/>
        </w:rPr>
        <w:t xml:space="preserve"> and apply regularized regression as regressors grow.</w:t>
      </w:r>
    </w:p>
    <w:sectPr w:rsidR="00C21B5E" w:rsidRPr="00992E14">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72B34"/>
    <w:multiLevelType w:val="hybridMultilevel"/>
    <w:tmpl w:val="37425CBA"/>
    <w:lvl w:ilvl="0" w:tplc="D1DA3E00">
      <w:start w:val="1"/>
      <w:numFmt w:val="bullet"/>
      <w:lvlText w:val="•"/>
      <w:lvlJc w:val="left"/>
      <w:pPr>
        <w:ind w:left="440" w:hanging="280"/>
      </w:pPr>
    </w:lvl>
    <w:lvl w:ilvl="1" w:tplc="E8FA80B6">
      <w:numFmt w:val="decimal"/>
      <w:lvlText w:val=""/>
      <w:lvlJc w:val="left"/>
    </w:lvl>
    <w:lvl w:ilvl="2" w:tplc="6D748438">
      <w:numFmt w:val="decimal"/>
      <w:lvlText w:val=""/>
      <w:lvlJc w:val="left"/>
    </w:lvl>
    <w:lvl w:ilvl="3" w:tplc="D506F850">
      <w:numFmt w:val="decimal"/>
      <w:lvlText w:val=""/>
      <w:lvlJc w:val="left"/>
    </w:lvl>
    <w:lvl w:ilvl="4" w:tplc="CDD84CC6">
      <w:numFmt w:val="decimal"/>
      <w:lvlText w:val=""/>
      <w:lvlJc w:val="left"/>
    </w:lvl>
    <w:lvl w:ilvl="5" w:tplc="B516822A">
      <w:numFmt w:val="decimal"/>
      <w:lvlText w:val=""/>
      <w:lvlJc w:val="left"/>
    </w:lvl>
    <w:lvl w:ilvl="6" w:tplc="2CE6D790">
      <w:numFmt w:val="decimal"/>
      <w:lvlText w:val=""/>
      <w:lvlJc w:val="left"/>
    </w:lvl>
    <w:lvl w:ilvl="7" w:tplc="70AA9BD6">
      <w:numFmt w:val="decimal"/>
      <w:lvlText w:val=""/>
      <w:lvlJc w:val="left"/>
    </w:lvl>
    <w:lvl w:ilvl="8" w:tplc="E368B028">
      <w:numFmt w:val="decimal"/>
      <w:lvlText w:val=""/>
      <w:lvlJc w:val="left"/>
    </w:lvl>
  </w:abstractNum>
  <w:abstractNum w:abstractNumId="1" w15:restartNumberingAfterBreak="0">
    <w:nsid w:val="7FC50E1F"/>
    <w:multiLevelType w:val="hybridMultilevel"/>
    <w:tmpl w:val="BA025A22"/>
    <w:lvl w:ilvl="0" w:tplc="20F80FB0">
      <w:start w:val="1"/>
      <w:numFmt w:val="bullet"/>
      <w:lvlText w:val="●"/>
      <w:lvlJc w:val="left"/>
      <w:pPr>
        <w:ind w:left="720" w:hanging="360"/>
      </w:pPr>
    </w:lvl>
    <w:lvl w:ilvl="1" w:tplc="2966930A">
      <w:start w:val="1"/>
      <w:numFmt w:val="bullet"/>
      <w:lvlText w:val="○"/>
      <w:lvlJc w:val="left"/>
      <w:pPr>
        <w:ind w:left="1440" w:hanging="360"/>
      </w:pPr>
    </w:lvl>
    <w:lvl w:ilvl="2" w:tplc="68564814">
      <w:start w:val="1"/>
      <w:numFmt w:val="bullet"/>
      <w:lvlText w:val="■"/>
      <w:lvlJc w:val="left"/>
      <w:pPr>
        <w:ind w:left="2160" w:hanging="360"/>
      </w:pPr>
    </w:lvl>
    <w:lvl w:ilvl="3" w:tplc="B1602040">
      <w:start w:val="1"/>
      <w:numFmt w:val="bullet"/>
      <w:lvlText w:val="●"/>
      <w:lvlJc w:val="left"/>
      <w:pPr>
        <w:ind w:left="2880" w:hanging="360"/>
      </w:pPr>
    </w:lvl>
    <w:lvl w:ilvl="4" w:tplc="A114F580">
      <w:start w:val="1"/>
      <w:numFmt w:val="bullet"/>
      <w:lvlText w:val="○"/>
      <w:lvlJc w:val="left"/>
      <w:pPr>
        <w:ind w:left="3600" w:hanging="360"/>
      </w:pPr>
    </w:lvl>
    <w:lvl w:ilvl="5" w:tplc="B534F92C">
      <w:start w:val="1"/>
      <w:numFmt w:val="bullet"/>
      <w:lvlText w:val="■"/>
      <w:lvlJc w:val="left"/>
      <w:pPr>
        <w:ind w:left="4320" w:hanging="360"/>
      </w:pPr>
    </w:lvl>
    <w:lvl w:ilvl="6" w:tplc="C5EC6ED6">
      <w:start w:val="1"/>
      <w:numFmt w:val="bullet"/>
      <w:lvlText w:val="●"/>
      <w:lvlJc w:val="left"/>
      <w:pPr>
        <w:ind w:left="5040" w:hanging="360"/>
      </w:pPr>
    </w:lvl>
    <w:lvl w:ilvl="7" w:tplc="A3D6ED5E">
      <w:start w:val="1"/>
      <w:numFmt w:val="bullet"/>
      <w:lvlText w:val="●"/>
      <w:lvlJc w:val="left"/>
      <w:pPr>
        <w:ind w:left="5760" w:hanging="360"/>
      </w:pPr>
    </w:lvl>
    <w:lvl w:ilvl="8" w:tplc="E27EAFA8">
      <w:start w:val="1"/>
      <w:numFmt w:val="bullet"/>
      <w:lvlText w:val="●"/>
      <w:lvlJc w:val="left"/>
      <w:pPr>
        <w:ind w:left="6480" w:hanging="360"/>
      </w:pPr>
    </w:lvl>
  </w:abstractNum>
  <w:num w:numId="1" w16cid:durableId="240870772">
    <w:abstractNumId w:val="1"/>
    <w:lvlOverride w:ilvl="0">
      <w:startOverride w:val="1"/>
    </w:lvlOverride>
  </w:num>
  <w:num w:numId="2" w16cid:durableId="1185828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B5E"/>
    <w:rsid w:val="0009627F"/>
    <w:rsid w:val="00122F4F"/>
    <w:rsid w:val="001D3CD7"/>
    <w:rsid w:val="00274F41"/>
    <w:rsid w:val="002B0288"/>
    <w:rsid w:val="002B5574"/>
    <w:rsid w:val="00313E5D"/>
    <w:rsid w:val="003A026C"/>
    <w:rsid w:val="003B18AF"/>
    <w:rsid w:val="0043029B"/>
    <w:rsid w:val="00460B78"/>
    <w:rsid w:val="004F65F4"/>
    <w:rsid w:val="005A50BC"/>
    <w:rsid w:val="005D16B5"/>
    <w:rsid w:val="005D2A63"/>
    <w:rsid w:val="006F5A1C"/>
    <w:rsid w:val="00740AFC"/>
    <w:rsid w:val="007A557B"/>
    <w:rsid w:val="007D41C3"/>
    <w:rsid w:val="00830096"/>
    <w:rsid w:val="00923EA5"/>
    <w:rsid w:val="0095066A"/>
    <w:rsid w:val="009524EE"/>
    <w:rsid w:val="00992E14"/>
    <w:rsid w:val="009B51E3"/>
    <w:rsid w:val="009D3E37"/>
    <w:rsid w:val="00A93DAE"/>
    <w:rsid w:val="00AE6D53"/>
    <w:rsid w:val="00BC5C9B"/>
    <w:rsid w:val="00C21B5E"/>
    <w:rsid w:val="00CF5671"/>
    <w:rsid w:val="00DA1554"/>
    <w:rsid w:val="00E839F8"/>
    <w:rsid w:val="00E91332"/>
    <w:rsid w:val="00F16C74"/>
    <w:rsid w:val="00F27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1FD6"/>
  <w15:docId w15:val="{91A3C8E0-E3D2-9540-ADCC-A3DB744DC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1339</Words>
  <Characters>7636</Characters>
  <Application>Microsoft Office Word</Application>
  <DocSecurity>0</DocSecurity>
  <Lines>63</Lines>
  <Paragraphs>17</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Das, Rayan</cp:lastModifiedBy>
  <cp:revision>50</cp:revision>
  <dcterms:created xsi:type="dcterms:W3CDTF">2026-04-22T21:01:00Z</dcterms:created>
  <dcterms:modified xsi:type="dcterms:W3CDTF">2026-04-22T21:29:00Z</dcterms:modified>
</cp:coreProperties>
</file>