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</w:pPr>
      <w:r>
        <w:object w:dxaOrig="3660" w:dyaOrig="900">
          <v:rect xmlns:o="urn:schemas-microsoft-com:office:office" xmlns:v="urn:schemas-microsoft-com:vml" id="rectole0000000000" style="width:183.000000pt;height:45.0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  <w:t xml:space="preserve">1 APRESENTAÇÃO E PROPÓSITO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Este documento apresenta o projeto do Sistema de Gestão Sustentável de Equipamentos de Informática (SGSEI), uma iniciativa que visa 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transformar a gestão de equipamentos de informática da Petrobras ao final de sua vida útil (EOL - </w:t>
      </w:r>
      <w:r>
        <w:rPr>
          <w:rFonts w:ascii="Times New Roman" w:hAnsi="Times New Roman" w:cs="Times New Roman" w:eastAsia="Times New Roman"/>
          <w:b/>
          <w:i/>
          <w:color w:val="000000"/>
          <w:spacing w:val="0"/>
          <w:position w:val="0"/>
          <w:sz w:val="24"/>
          <w:shd w:fill="auto" w:val="clear"/>
        </w:rPr>
        <w:t xml:space="preserve">End-of-Life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)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. O propósito central do SGSEI é 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humanizar, digitalizar e padronizar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 todo o processo de destinação, assegurando que cada ativo seja triado, rastreado e destinado com responsabilidade, transparência e impacto positivo.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O SGSEI alinha-se aos princípios 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ESG (Ambiental, Social e Governança)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, reforça a 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conformidade com a Lei Geral de Proteção de Dados (LGPD)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 e maximiza os benefícios sociais através de doações, minimizando o impacto ambiental pelo reaproveitamento consciente.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  <w:t xml:space="preserve">2 JUSTIFICATIVA (O DESAFIO E A SOLUÇÃO)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 gestão anterior de equipamentos obsoletos era caracterizada por 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controles manuais e processos desconectados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, gerando desafios operacionais e de 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4"/>
          <w:shd w:fill="auto" w:val="clear"/>
        </w:rPr>
        <w:t xml:space="preserve">compliance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:</w:t>
      </w:r>
    </w:p>
    <w:tbl>
      <w:tblPr/>
      <w:tblGrid>
        <w:gridCol w:w="4343"/>
        <w:gridCol w:w="4161"/>
      </w:tblGrid>
      <w:tr>
        <w:trPr>
          <w:trHeight w:val="1" w:hRule="atLeast"/>
          <w:jc w:val="left"/>
        </w:trPr>
        <w:tc>
          <w:tcPr>
            <w:tcW w:w="434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O Desafio (Antes)</w:t>
            </w:r>
          </w:p>
        </w:tc>
        <w:tc>
          <w:tcPr>
            <w:tcW w:w="4161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Nossa Solução (Depois)</w:t>
            </w:r>
          </w:p>
        </w:tc>
      </w:tr>
      <w:tr>
        <w:trPr>
          <w:trHeight w:val="1" w:hRule="atLeast"/>
          <w:jc w:val="left"/>
        </w:trPr>
        <w:tc>
          <w:tcPr>
            <w:tcW w:w="434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Visão Limitada: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 Falta de rastreabilidade e conhecimento sobre o estado e localização dos ativos.</w:t>
            </w:r>
          </w:p>
        </w:tc>
        <w:tc>
          <w:tcPr>
            <w:tcW w:w="4161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Visão 360°: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 Centralização e controle completo do ciclo de vida de cada ativo (RF09).</w:t>
            </w:r>
          </w:p>
        </w:tc>
      </w:tr>
      <w:tr>
        <w:trPr>
          <w:trHeight w:val="1" w:hRule="atLeast"/>
          <w:jc w:val="left"/>
        </w:trPr>
        <w:tc>
          <w:tcPr>
            <w:tcW w:w="434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Risco de Dados: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 Exposição a riscos de </w:t>
            </w:r>
            <w:r>
              <w:rPr>
                <w:rFonts w:ascii="Times New Roman" w:hAnsi="Times New Roman" w:cs="Times New Roman" w:eastAsia="Times New Roman"/>
                <w:i/>
                <w:color w:val="auto"/>
                <w:spacing w:val="0"/>
                <w:position w:val="0"/>
                <w:sz w:val="24"/>
                <w:shd w:fill="auto" w:val="clear"/>
              </w:rPr>
              <w:t xml:space="preserve">compliance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devido à rastreabilidade inadequada na eliminação de dados.</w:t>
            </w:r>
          </w:p>
        </w:tc>
        <w:tc>
          <w:tcPr>
            <w:tcW w:w="4161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Segurança e </w:t>
            </w:r>
            <w:r>
              <w:rPr>
                <w:rFonts w:ascii="Times New Roman" w:hAnsi="Times New Roman" w:cs="Times New Roman" w:eastAsia="Times New Roman"/>
                <w:b/>
                <w:i/>
                <w:color w:val="auto"/>
                <w:spacing w:val="0"/>
                <w:position w:val="0"/>
                <w:sz w:val="24"/>
                <w:shd w:fill="auto" w:val="clear"/>
              </w:rPr>
              <w:t xml:space="preserve">Compliance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: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 Geração de laudos digitais e auditáveis para comprovar a eliminação segura de dados (RF04).</w:t>
            </w:r>
          </w:p>
        </w:tc>
      </w:tr>
      <w:tr>
        <w:trPr>
          <w:trHeight w:val="1" w:hRule="atLeast"/>
          <w:jc w:val="left"/>
        </w:trPr>
        <w:tc>
          <w:tcPr>
            <w:tcW w:w="434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Perda de Oportunidade: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 Dificuldade em identificar itens com potencial de reaproveitamento ou doação.</w:t>
            </w:r>
          </w:p>
        </w:tc>
        <w:tc>
          <w:tcPr>
            <w:tcW w:w="4161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Impacto Social Otimizado: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 Processo transparente e ágil para aumentar o alcance das doações (RF06).</w:t>
            </w:r>
          </w:p>
        </w:tc>
      </w:tr>
      <w:tr>
        <w:trPr>
          <w:trHeight w:val="1" w:hRule="atLeast"/>
          <w:jc w:val="left"/>
        </w:trPr>
        <w:tc>
          <w:tcPr>
            <w:tcW w:w="434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Processos Lentos: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 Dependência de fluxos manuais, consumindo tempo valioso das equipes técnicas.</w:t>
            </w:r>
          </w:p>
        </w:tc>
        <w:tc>
          <w:tcPr>
            <w:tcW w:w="4161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Agilidade e Eficiência: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 Automação dos fluxos de trabalho (RNF04).</w:t>
            </w:r>
          </w:p>
        </w:tc>
      </w:tr>
    </w:tbl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  <w:t xml:space="preserve">3 REQUISITOS DO SISTEMA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3.1 Requisitos Funcionais (RF)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 O que o sistema far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á</w:t>
      </w:r>
    </w:p>
    <w:tbl>
      <w:tblPr/>
      <w:tblGrid>
        <w:gridCol w:w="2693"/>
        <w:gridCol w:w="5811"/>
      </w:tblGrid>
      <w:tr>
        <w:trPr>
          <w:trHeight w:val="1" w:hRule="atLeast"/>
          <w:jc w:val="left"/>
        </w:trPr>
        <w:tc>
          <w:tcPr>
            <w:tcW w:w="269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Requisito</w:t>
            </w:r>
          </w:p>
        </w:tc>
        <w:tc>
          <w:tcPr>
            <w:tcW w:w="5811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Descrição</w:t>
            </w:r>
          </w:p>
        </w:tc>
      </w:tr>
      <w:tr>
        <w:trPr>
          <w:trHeight w:val="1" w:hRule="atLeast"/>
          <w:jc w:val="left"/>
        </w:trPr>
        <w:tc>
          <w:tcPr>
            <w:tcW w:w="269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RF01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–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 Acesso Seguro</w:t>
            </w:r>
          </w:p>
        </w:tc>
        <w:tc>
          <w:tcPr>
            <w:tcW w:w="5811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Permitir acesso somente a usuários autorizados, integrando-se ao AD/LDAP.</w:t>
            </w:r>
          </w:p>
        </w:tc>
      </w:tr>
      <w:tr>
        <w:trPr>
          <w:trHeight w:val="1" w:hRule="atLeast"/>
          <w:jc w:val="left"/>
        </w:trPr>
        <w:tc>
          <w:tcPr>
            <w:tcW w:w="269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RF02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–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 Cadastro do Ativo</w:t>
            </w:r>
          </w:p>
        </w:tc>
        <w:tc>
          <w:tcPr>
            <w:tcW w:w="5811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Registrar informações essenciais (nº de patrimônio, tipo, status inicial), garantindo unicidade do patrimônio.</w:t>
            </w:r>
          </w:p>
        </w:tc>
      </w:tr>
      <w:tr>
        <w:trPr>
          <w:trHeight w:val="1" w:hRule="atLeast"/>
          <w:jc w:val="left"/>
        </w:trPr>
        <w:tc>
          <w:tcPr>
            <w:tcW w:w="269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RF03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–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 Aux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ílio à Triagem</w:t>
            </w:r>
          </w:p>
        </w:tc>
        <w:tc>
          <w:tcPr>
            <w:tcW w:w="5811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Oferecer </w:t>
            </w:r>
            <w:r>
              <w:rPr>
                <w:rFonts w:ascii="Times New Roman" w:hAnsi="Times New Roman" w:cs="Times New Roman" w:eastAsia="Times New Roman"/>
                <w:i/>
                <w:color w:val="auto"/>
                <w:spacing w:val="0"/>
                <w:position w:val="0"/>
                <w:sz w:val="24"/>
                <w:shd w:fill="auto" w:val="clear"/>
              </w:rPr>
              <w:t xml:space="preserve">checklist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 padronizado para classificar o item como 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Reparo, Doação ou Descarte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.</w:t>
            </w:r>
          </w:p>
        </w:tc>
      </w:tr>
      <w:tr>
        <w:trPr>
          <w:trHeight w:val="1" w:hRule="atLeast"/>
          <w:jc w:val="left"/>
        </w:trPr>
        <w:tc>
          <w:tcPr>
            <w:tcW w:w="269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RF04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–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 Certifica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ção da Limpeza de Dados</w:t>
            </w:r>
          </w:p>
        </w:tc>
        <w:tc>
          <w:tcPr>
            <w:tcW w:w="5811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Geração automática de laudo digital (auditável) com descrição da técnica de eliminação de dados (LGPD).</w:t>
            </w:r>
          </w:p>
        </w:tc>
      </w:tr>
      <w:tr>
        <w:trPr>
          <w:trHeight w:val="1" w:hRule="atLeast"/>
          <w:jc w:val="left"/>
        </w:trPr>
        <w:tc>
          <w:tcPr>
            <w:tcW w:w="269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RF05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–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 Monitoramento de Reparo</w:t>
            </w:r>
          </w:p>
        </w:tc>
        <w:tc>
          <w:tcPr>
            <w:tcW w:w="5811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Registrar peças trocadas, custos e ações realizadas para suporte à decisão futura.</w:t>
            </w:r>
          </w:p>
        </w:tc>
      </w:tr>
      <w:tr>
        <w:trPr>
          <w:trHeight w:val="1" w:hRule="atLeast"/>
          <w:jc w:val="left"/>
        </w:trPr>
        <w:tc>
          <w:tcPr>
            <w:tcW w:w="269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RF06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–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 Gest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ão de Doações</w:t>
            </w:r>
          </w:p>
        </w:tc>
        <w:tc>
          <w:tcPr>
            <w:tcW w:w="5811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Cadastrar parceiros, emitir termos digitais e acompanhar o impacto social.</w:t>
            </w:r>
          </w:p>
        </w:tc>
      </w:tr>
      <w:tr>
        <w:trPr>
          <w:trHeight w:val="1" w:hRule="atLeast"/>
          <w:jc w:val="left"/>
        </w:trPr>
        <w:tc>
          <w:tcPr>
            <w:tcW w:w="269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RF07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–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 Painel de Indicadores</w:t>
            </w:r>
          </w:p>
        </w:tc>
        <w:tc>
          <w:tcPr>
            <w:tcW w:w="5811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i/>
                <w:color w:val="auto"/>
                <w:spacing w:val="0"/>
                <w:position w:val="0"/>
                <w:sz w:val="24"/>
                <w:shd w:fill="auto" w:val="clear"/>
              </w:rPr>
              <w:t xml:space="preserve">Dashboard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 com KPIs em tempo real para apoiar a tomada de decisões da liderança.</w:t>
            </w:r>
          </w:p>
        </w:tc>
      </w:tr>
      <w:tr>
        <w:trPr>
          <w:trHeight w:val="1" w:hRule="atLeast"/>
          <w:jc w:val="left"/>
        </w:trPr>
        <w:tc>
          <w:tcPr>
            <w:tcW w:w="269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RF09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–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 Hist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órico Completo</w:t>
            </w:r>
          </w:p>
        </w:tc>
        <w:tc>
          <w:tcPr>
            <w:tcW w:w="5811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Registrar data, hora e usuário em cada alteração, crucial para fins de auditoria.</w:t>
            </w:r>
          </w:p>
        </w:tc>
      </w:tr>
    </w:tbl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3.2 Requisitos Não Funcionais (RNF)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 Como o sistema se comportar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á</w:t>
      </w:r>
    </w:p>
    <w:p>
      <w:pPr>
        <w:numPr>
          <w:ilvl w:val="0"/>
          <w:numId w:val="35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RNF01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 Seguran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ça: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 Implementação de segurança rigorosa, conforme 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LGPD e normas internas da Petrobras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35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RNF02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 Desempenho: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 Tempo de resposta máximo de 2 segundos.</w:t>
      </w:r>
    </w:p>
    <w:p>
      <w:pPr>
        <w:numPr>
          <w:ilvl w:val="0"/>
          <w:numId w:val="35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RNF04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 Usabilidade: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 Interface responsiva para uso em campo (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4"/>
          <w:shd w:fill="auto" w:val="clear"/>
        </w:rPr>
        <w:t xml:space="preserve">mobile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, 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4"/>
          <w:shd w:fill="auto" w:val="clear"/>
        </w:rPr>
        <w:t xml:space="preserve">tablet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 ou 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4"/>
          <w:shd w:fill="auto" w:val="clear"/>
        </w:rPr>
        <w:t xml:space="preserve">desktop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).</w:t>
      </w:r>
    </w:p>
    <w:p>
      <w:pPr>
        <w:numPr>
          <w:ilvl w:val="0"/>
          <w:numId w:val="35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RNF05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 Disponibilidade: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 Backup automático diário para evitar perda de dados.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  <w:t xml:space="preserve">4 FERRAMENTAS DO DIA A DIA (FUNCIONALIDADES)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As principais telas e funcionalidades previstas para o SGSEI incluem:</w:t>
      </w:r>
    </w:p>
    <w:p>
      <w:pPr>
        <w:numPr>
          <w:ilvl w:val="0"/>
          <w:numId w:val="3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Login e Autenticação</w:t>
      </w:r>
    </w:p>
    <w:p>
      <w:pPr>
        <w:numPr>
          <w:ilvl w:val="0"/>
          <w:numId w:val="3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Dashboard Gerencial (RF07)</w:t>
      </w:r>
    </w:p>
    <w:p>
      <w:pPr>
        <w:numPr>
          <w:ilvl w:val="0"/>
          <w:numId w:val="3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Cadastro de Ativos (RF02)</w:t>
      </w:r>
    </w:p>
    <w:p>
      <w:pPr>
        <w:numPr>
          <w:ilvl w:val="0"/>
          <w:numId w:val="3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Módulo de Triagem (RF03)</w:t>
      </w:r>
    </w:p>
    <w:p>
      <w:pPr>
        <w:numPr>
          <w:ilvl w:val="0"/>
          <w:numId w:val="3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Módulo de Eliminação de Dados (RF04)</w:t>
      </w:r>
    </w:p>
    <w:p>
      <w:pPr>
        <w:numPr>
          <w:ilvl w:val="0"/>
          <w:numId w:val="3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Módulo de Reparos (RF05)</w:t>
      </w:r>
    </w:p>
    <w:p>
      <w:pPr>
        <w:numPr>
          <w:ilvl w:val="0"/>
          <w:numId w:val="3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Módulo de Doações (RF06)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  <w:t xml:space="preserve">5 ARQUITETURA DE SOFTWARE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O SGSEI será desenvolvido com base nas seguintes tecnologias, visando velocidade, segurança e estabilidade:</w:t>
      </w:r>
    </w:p>
    <w:p>
      <w:pPr>
        <w:numPr>
          <w:ilvl w:val="0"/>
          <w:numId w:val="39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Frontend: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 React.js</w:t>
      </w:r>
    </w:p>
    <w:p>
      <w:pPr>
        <w:numPr>
          <w:ilvl w:val="0"/>
          <w:numId w:val="39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Backend: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 Node.js ou Java, utilizando arquitetura API REST.</w:t>
      </w:r>
    </w:p>
    <w:p>
      <w:pPr>
        <w:numPr>
          <w:ilvl w:val="0"/>
          <w:numId w:val="39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Banco de Dados: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 PostgreSQL ou SQL Server.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  <w:t xml:space="preserve">6 FLUXO DE FUNCIONAMENTO (A JORNADA DO EQUIPAMENTO)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O SGSEI apoiará o ciclo de vida EOL do equipamento através das seguintes etapas sequenciais:</w:t>
      </w:r>
    </w:p>
    <w:p>
      <w:pPr>
        <w:numPr>
          <w:ilvl w:val="0"/>
          <w:numId w:val="41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Registro: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 Identificação e cadastro do equipamento no sistema.</w:t>
      </w:r>
    </w:p>
    <w:p>
      <w:pPr>
        <w:numPr>
          <w:ilvl w:val="0"/>
          <w:numId w:val="41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Triagem: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 Avaliação técnica para definição do destino (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Reparo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, 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Doação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 ou 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Descarte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).</w:t>
      </w:r>
    </w:p>
    <w:p>
      <w:pPr>
        <w:numPr>
          <w:ilvl w:val="0"/>
          <w:numId w:val="41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Segurança de Dados: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 Execução do procedimento de limpeza e 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emissão de laudo digital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 (RF04).</w:t>
      </w:r>
    </w:p>
    <w:p>
      <w:pPr>
        <w:numPr>
          <w:ilvl w:val="0"/>
          <w:numId w:val="41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Destinação Final: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 Conclusão do processo de destinação (envio para reparo, entrega ao parceiro de doação ou encaminhamento para descarte), com documentação digital.</w:t>
      </w:r>
    </w:p>
    <w:p>
      <w:pPr>
        <w:numPr>
          <w:ilvl w:val="0"/>
          <w:numId w:val="41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Histórico: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 Registro completo e auditável de toda a jornada do ativo (RF09).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  <w:t xml:space="preserve">7 INDICADORES CHAVE DE DESEMPENHO (KPIs)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O sucesso do SGSEI será medido através dos seguintes indicadores (KPIs), apresentados no Painel de Indicadores (RF07):</w:t>
      </w:r>
    </w:p>
    <w:p>
      <w:pPr>
        <w:numPr>
          <w:ilvl w:val="0"/>
          <w:numId w:val="43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Taxa de Reaproveitamento: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 Percentual de equipamentos reparados e reintroduzidos no uso.</w:t>
      </w:r>
    </w:p>
    <w:p>
      <w:pPr>
        <w:numPr>
          <w:ilvl w:val="0"/>
          <w:numId w:val="43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Taxa de Doação: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 Percentual de equipamentos destinados a parceiros sociais.</w:t>
      </w:r>
    </w:p>
    <w:p>
      <w:pPr>
        <w:numPr>
          <w:ilvl w:val="0"/>
          <w:numId w:val="43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Tempo Médio de Triagem: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 Tempo decorrido entre o registro e a destinação.</w:t>
      </w:r>
    </w:p>
    <w:p>
      <w:pPr>
        <w:numPr>
          <w:ilvl w:val="0"/>
          <w:numId w:val="43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Economia Gerada: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 Valor economizado pelo reaproveitamento em comparação à nova aquisição.</w:t>
      </w:r>
    </w:p>
    <w:p>
      <w:pPr>
        <w:numPr>
          <w:ilvl w:val="0"/>
          <w:numId w:val="43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Conformidade dos Laudos: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 Percentual de laudos de limpeza de dados emitidos em conformidade com a LGPD.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  <w:t xml:space="preserve">8 VISÃO DE FUTURO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O SGSEI não é apenas um sistema de gestão de ativos, mas um pilar na construção de uma Petrobras mais 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moderna, sustentável e responsável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. Ao digitalizar e padronizar o processo de EOL, o projeto avança na proteção ambiental, no impacto social e na eficiência operacional, representando a visão de futuro onde tecnologia e responsabilidade corporativa caminham em conjunto.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num w:numId="35">
    <w:abstractNumId w:val="24"/>
  </w:num>
  <w:num w:numId="37">
    <w:abstractNumId w:val="18"/>
  </w:num>
  <w:num w:numId="39">
    <w:abstractNumId w:val="12"/>
  </w:num>
  <w:num w:numId="41">
    <w:abstractNumId w:val="6"/>
  </w:num>
  <w:num w:numId="43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0" Type="http://schemas.openxmlformats.org/officeDocument/2006/relationships/oleObject" /><Relationship Target="media/image0.wmf" Id="docRId1" Type="http://schemas.openxmlformats.org/officeDocument/2006/relationships/image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