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ADR 0001 — Choix du modèle de génération des QCM</w:t>
      </w:r>
    </w:p>
    <w:p>
      <w:pPr>
        <w:pBdr>
          <w:bottom w:val="single" w:color="B45309" w:sz="6" w:space="1"/>
        </w:pBd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APOCAL'IPSSI · EduTutor IA — Équipe 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1B4B"/>
          <w:sz w:val="18"/>
          <w:szCs w:val="18"/>
        </w:rPr>
        <w:t xml:space="preserve">Statut 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Proposé (→ Accepté une fois les chiffres validés)</w:t>
      </w:r>
      <w:r>
        <w:rPr>
          <w:rFonts w:ascii="Arial" w:cs="Arial" w:eastAsia="Arial" w:hAnsi="Arial"/>
          <w:b/>
          <w:bCs/>
          <w:color w:val="1E1B4B"/>
          <w:sz w:val="18"/>
          <w:szCs w:val="18"/>
        </w:rPr>
        <w:t xml:space="preserve">    Date 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30/06/2026</w:t>
      </w:r>
      <w:r>
        <w:rPr>
          <w:rFonts w:ascii="Arial" w:cs="Arial" w:eastAsia="Arial" w:hAnsi="Arial"/>
          <w:b/>
          <w:bCs/>
          <w:color w:val="1E1B4B"/>
          <w:sz w:val="18"/>
          <w:szCs w:val="18"/>
        </w:rPr>
        <w:t xml:space="preserve">    Perturbation 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J2 — latence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1. Contexte</w:t>
      </w:r>
    </w:p>
    <w:p>
      <w:pPr>
        <w:spacing w:after="40"/>
      </w:pPr>
      <w:r>
        <w:rPr>
          <w:rFonts w:ascii="Arial" w:cs="Arial" w:eastAsia="Arial" w:hAnsi="Arial"/>
          <w:color w:val="1E1B4B"/>
          <w:sz w:val="19"/>
          <w:szCs w:val="19"/>
        </w:rPr>
        <w:t xml:space="preserve">Un beta-testeur de Master 2 a attendu </w:t>
      </w:r>
      <w:r>
        <w:rPr>
          <w:rFonts w:ascii="Arial" w:cs="Arial" w:eastAsia="Arial" w:hAnsi="Arial"/>
          <w:b/>
          <w:bCs/>
          <w:color w:val="1E1B4B"/>
          <w:sz w:val="19"/>
          <w:szCs w:val="19"/>
        </w:rPr>
        <w:t xml:space="preserve">45 s</w:t>
      </w:r>
      <w:r>
        <w:rPr>
          <w:rFonts w:ascii="Arial" w:cs="Arial" w:eastAsia="Arial" w:hAnsi="Arial"/>
          <w:color w:val="1E1B4B"/>
          <w:sz w:val="19"/>
          <w:szCs w:val="19"/>
        </w:rPr>
        <w:t xml:space="preserve"> pour générer 10 questions et a failli quitter le site (« si chaque quiz est aussi long, c'est inutilisable »). Le modèle actuel est </w:t>
      </w:r>
      <w:r>
        <w:rPr>
          <w:rFonts w:ascii="Arial" w:cs="Arial" w:eastAsia="Arial" w:hAnsi="Arial"/>
          <w:b/>
          <w:bCs/>
          <w:color w:val="1E1B4B"/>
          <w:sz w:val="19"/>
          <w:szCs w:val="19"/>
        </w:rPr>
        <w:t xml:space="preserve">llama3.1:8b</w:t>
      </w:r>
      <w:r>
        <w:rPr>
          <w:rFonts w:ascii="Arial" w:cs="Arial" w:eastAsia="Arial" w:hAnsi="Arial"/>
          <w:color w:val="1E1B4B"/>
          <w:sz w:val="19"/>
          <w:szCs w:val="19"/>
        </w:rPr>
        <w:t xml:space="preserve"> servi en local via Ollama : trop lourd pour un usage interactif. Le sponsor exige un temps acceptable (objectif ≤ 15 s) sans dégrader la qualité. Benchmark reproductible mené : 5 runs × 3 modèles × même cours de référence × même machine.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2. Options envisagées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500"/>
        <w:gridCol w:w="1500"/>
        <w:gridCol w:w="2426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Latence p50 / p95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Qualité /5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Empreinte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Souveraineté données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A. llama3.1:8b (statu quo, local)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 …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~4.7 Go disque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~6 Go VRAM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Locale (OK)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B. llama3.2:3b (local léger)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 …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~2.0 Go disque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~3 Go VRAM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Locale (OK)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C. groq llama-3.3-70b (cloud LPU)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 …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… 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N/A (serveur distant)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Données sortent (RGPD, J3-bis)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Chiffres figés depuis equipe-23-benchmark-modeles.xlsx.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3. Décision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1B4B"/>
          <w:sz w:val="19"/>
          <w:szCs w:val="19"/>
        </w:rPr>
        <w:t xml:space="preserve">Bascule de l'option B — llama3.2:3b en local.</w:t>
      </w:r>
      <w:r>
        <w:rPr>
          <w:rFonts w:ascii="Arial" w:cs="Arial" w:eastAsia="Arial" w:hAnsi="Arial"/>
          <w:color w:val="1E1B4B"/>
          <w:sz w:val="19"/>
          <w:szCs w:val="19"/>
        </w:rPr>
        <w:t xml:space="preserve"> Elle ramène la latence sous l'objectif de 15 s (gain ~3×) tout en conservant une qualité acceptable et la souveraineté des données (valeur du projet), sans clé API ni dépendance externe. L'option C (groq, ~2 s, meilleure qualité) est conservée en repli activable via la factory si une latence &lt; 3 s devient prioritaire et que le volet RGPD (J3-bis) est tranché. Bascule sans changement de code :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OLLAMA_MODEL=llama3.2:3b</w:t>
      </w:r>
      <w:r>
        <w:rPr>
          <w:rFonts w:ascii="Arial" w:cs="Arial" w:eastAsia="Arial" w:hAnsi="Arial"/>
          <w:color w:val="1E1B4B"/>
          <w:sz w:val="19"/>
          <w:szCs w:val="19"/>
        </w:rPr>
        <w:t xml:space="preserve"> + ollama pull.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4. Conséquences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Positives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Latence sous l'objectif de 15 s → l'application redevient utilisable.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Empreinte disque/VRAM ÷ ~2 (meilleure tenue sur 8 Go de VRAM).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Données traitées en local (souveraineté, pas de fuite RGPD) ; aucun coût ; bascule réversible.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Négatives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Modèle plus petit ⇒ qualité potentiellement un cran sous le 8B (surveiller le taux de QCM rejetés/incorrects).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À surveiller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Qualité réelle en production (notation testeurs récurrente).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color w:val="1E1B4B"/>
          <w:sz w:val="18"/>
          <w:szCs w:val="18"/>
        </w:rPr>
        <w:t xml:space="preserve">Si la qualité du 3B est insuffisante : réévaluer l'option C (cloud) en intégrant la décision RGPD de J3-bis.</w:t>
      </w:r>
    </w:p>
    <w:sectPr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2026-06-30T13:58:01.196Z</dcterms:created>
  <dcterms:modified xsi:type="dcterms:W3CDTF">2026-06-30T13:58:01.197Z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