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keepNext w:val="true"/>
        <w:keepLines/>
        <w:spacing w:before="480" w:after="0"/>
        <w:rPr/>
      </w:pPr>
      <w:r>
        <w:rPr/>
        <w:t>Devoir 2 - SEG3525 : Site de Service</w:t>
      </w:r>
    </w:p>
    <w:p>
      <w:pPr>
        <w:pStyle w:val="Normal"/>
        <w:rPr/>
      </w:pPr>
      <w:r>
        <w:rPr>
          <w:sz w:val="22"/>
        </w:rPr>
        <w:t>1. Membres du groupe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>- Nom 1 :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>- Nom 2 :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Numéro de groupe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2. Service choisi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Nom du service : 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>- Type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3. Personnage 1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Nom : 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- 3 caractéristiques : 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Relation à la technologie : 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Objectif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4. Personnage 2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Nom : 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- 3 caractéristiques : 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Relation à la technologie : 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>- Objectif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5. Scénarimage 1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Lien vers les maquettes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6. Scénarimage 2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Lien vers les maquettes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7. Prototype haute fidélité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Lien portfolio 1 : 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Lien portfolio 2 : 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Explication du lien avec les scénarimages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 xml:space="preserve">8. Lien GitHub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9. Reconnaissance de l’IA générative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Maquettes : </w:t>
      </w:r>
    </w:p>
    <w:p>
      <w:pPr>
        <w:pStyle w:val="Normal"/>
        <w:rPr/>
      </w:pPr>
      <w:r>
        <w:rPr>
          <w:sz w:val="22"/>
        </w:rPr>
        <w:t xml:space="preserve">   </w:t>
      </w:r>
      <w:r>
        <w:rPr>
          <w:sz w:val="22"/>
        </w:rPr>
        <w:t xml:space="preserve">- Prototype 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 xml:space="preserve">   </w:t>
      </w:r>
      <w:r>
        <w:rPr>
          <w:sz w:val="22"/>
        </w:rPr>
        <w:t xml:space="preserve">- Rapport :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-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e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e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LibreOffice/7.5.7.1$Windows_X86_64 LibreOffice_project/47eb0cf7efbacdee9b19ae25d6752381ede23126</Application>
  <AppVersion>15.0000</AppVersion>
  <Pages>2</Pages>
  <Words>132</Words>
  <Characters>493</Characters>
  <CharactersWithSpaces>675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fr-CA</dc:language>
  <cp:lastModifiedBy/>
  <dcterms:modified xsi:type="dcterms:W3CDTF">2025-05-25T21:04:03Z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