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9F536C">
      <w:pPr>
        <w:rPr>
          <w:color w:val="auto"/>
          <w:sz w:val="18"/>
          <w:szCs w:val="18"/>
          <w:highlight w:val="none"/>
          <w:shd w:val="clear" w:color="auto" w:fill="FFF799"/>
        </w:rPr>
      </w:pPr>
      <w:r>
        <w:rPr>
          <w:color w:val="auto"/>
          <w:sz w:val="18"/>
          <w:szCs w:val="18"/>
          <w:highlight w:val="none"/>
          <w:shd w:val="clear" w:color="auto" w:fill="FFF799"/>
        </w:rPr>
        <w:fldChar w:fldCharType="begin"/>
      </w:r>
      <w:r>
        <w:rPr>
          <w:color w:val="auto"/>
          <w:sz w:val="18"/>
          <w:szCs w:val="18"/>
          <w:highlight w:val="none"/>
          <w:shd w:val="clear" w:color="auto" w:fill="FFF799"/>
        </w:rPr>
        <w:instrText xml:space="preserve">ADDIN CNKISM.UserStyle</w:instrText>
      </w:r>
      <w:r>
        <w:rPr>
          <w:color w:val="auto"/>
          <w:sz w:val="18"/>
          <w:szCs w:val="18"/>
          <w:highlight w:val="none"/>
          <w:shd w:val="clear" w:color="auto" w:fill="FFF799"/>
        </w:rPr>
        <w:fldChar w:fldCharType="end"/>
      </w:r>
    </w:p>
    <w:p w14:paraId="6ECA006E">
      <w:pPr>
        <w:rPr>
          <w:rFonts w:hint="eastAsia" w:eastAsia="宋体"/>
          <w:color w:val="auto"/>
          <w:sz w:val="18"/>
          <w:szCs w:val="18"/>
          <w:highlight w:val="none"/>
          <w:shd w:val="clear" w:color="auto" w:fill="FFF799"/>
          <w:lang w:eastAsia="zh-CN"/>
        </w:rPr>
      </w:pPr>
    </w:p>
    <w:p w14:paraId="0B4E111A">
      <w:pPr>
        <w:jc w:val="center"/>
        <w:rPr>
          <w:rFonts w:hint="eastAsia" w:eastAsia="宋体"/>
          <w:color w:val="auto"/>
          <w:sz w:val="18"/>
          <w:szCs w:val="18"/>
          <w:highlight w:val="none"/>
          <w:shd w:val="clear" w:color="auto" w:fill="FFF799"/>
          <w:lang w:eastAsia="zh-CN"/>
        </w:rPr>
      </w:pPr>
      <w:r>
        <w:rPr>
          <w:rFonts w:hint="eastAsia" w:eastAsia="宋体"/>
          <w:color w:val="auto"/>
          <w:sz w:val="18"/>
          <w:szCs w:val="18"/>
          <w:highlight w:val="none"/>
          <w:shd w:val="clear" w:color="auto" w:fill="FFF799"/>
          <w:lang w:eastAsia="zh-CN"/>
        </w:rPr>
        <w:drawing>
          <wp:inline distT="0" distB="0" distL="114300" distR="114300">
            <wp:extent cx="4426585" cy="1018540"/>
            <wp:effectExtent l="0" t="0" r="0" b="0"/>
            <wp:docPr id="2" name="图片 10" descr="xxgk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xxgk_logo"/>
                    <pic:cNvPicPr>
                      <a:picLocks noChangeAspect="1"/>
                    </pic:cNvPicPr>
                  </pic:nvPicPr>
                  <pic:blipFill>
                    <a:blip r:embed="rId11"/>
                    <a:srcRect r="352" b="4912"/>
                    <a:stretch>
                      <a:fillRect/>
                    </a:stretch>
                  </pic:blipFill>
                  <pic:spPr>
                    <a:xfrm>
                      <a:off x="0" y="0"/>
                      <a:ext cx="4426585" cy="1018540"/>
                    </a:xfrm>
                    <a:prstGeom prst="rect">
                      <a:avLst/>
                    </a:prstGeom>
                    <a:noFill/>
                    <a:ln>
                      <a:noFill/>
                    </a:ln>
                  </pic:spPr>
                </pic:pic>
              </a:graphicData>
            </a:graphic>
          </wp:inline>
        </w:drawing>
      </w:r>
    </w:p>
    <w:p w14:paraId="60323D00">
      <w:pPr>
        <w:rPr>
          <w:color w:val="auto"/>
          <w:sz w:val="18"/>
          <w:szCs w:val="18"/>
          <w:highlight w:val="none"/>
          <w:shd w:val="clear" w:color="auto" w:fill="FFF799"/>
        </w:rPr>
      </w:pPr>
      <w:r>
        <w:rPr>
          <w:color w:val="auto"/>
          <w:highlight w:val="none"/>
          <w:shd w:val="clear" w:color="auto" w:fill="FFF799"/>
        </w:rPr>
        <w:drawing>
          <wp:anchor distT="0" distB="0" distL="114300" distR="114300" simplePos="0" relativeHeight="251659264" behindDoc="0" locked="0" layoutInCell="1" allowOverlap="1">
            <wp:simplePos x="0" y="0"/>
            <wp:positionH relativeFrom="column">
              <wp:posOffset>2307590</wp:posOffset>
            </wp:positionH>
            <wp:positionV relativeFrom="paragraph">
              <wp:posOffset>19685</wp:posOffset>
            </wp:positionV>
            <wp:extent cx="1451610" cy="1430655"/>
            <wp:effectExtent l="0" t="0" r="0" b="0"/>
            <wp:wrapNone/>
            <wp:docPr id="1" name="图片 43" descr="校徽图片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校徽图片改"/>
                    <pic:cNvPicPr>
                      <a:picLocks noChangeAspect="1"/>
                    </pic:cNvPicPr>
                  </pic:nvPicPr>
                  <pic:blipFill>
                    <a:blip r:embed="rId12"/>
                    <a:srcRect l="1033" t="395" r="602" b="702"/>
                    <a:stretch>
                      <a:fillRect/>
                    </a:stretch>
                  </pic:blipFill>
                  <pic:spPr>
                    <a:xfrm>
                      <a:off x="0" y="0"/>
                      <a:ext cx="1451610" cy="1430655"/>
                    </a:xfrm>
                    <a:prstGeom prst="rect">
                      <a:avLst/>
                    </a:prstGeom>
                    <a:noFill/>
                    <a:ln>
                      <a:noFill/>
                    </a:ln>
                  </pic:spPr>
                </pic:pic>
              </a:graphicData>
            </a:graphic>
          </wp:anchor>
        </w:drawing>
      </w:r>
    </w:p>
    <w:p w14:paraId="4105DBDD">
      <w:pPr>
        <w:spacing w:before="322" w:beforeLines="100" w:line="720" w:lineRule="auto"/>
        <w:rPr>
          <w:color w:val="auto"/>
          <w:sz w:val="18"/>
          <w:szCs w:val="18"/>
          <w:highlight w:val="none"/>
          <w:shd w:val="clear" w:color="auto" w:fill="FFF799"/>
        </w:rPr>
      </w:pPr>
    </w:p>
    <w:p w14:paraId="2C94DE55">
      <w:pPr>
        <w:tabs>
          <w:tab w:val="left" w:pos="483"/>
        </w:tabs>
        <w:spacing w:before="161" w:beforeLines="50"/>
        <w:jc w:val="both"/>
        <w:rPr>
          <w:color w:val="auto"/>
          <w:sz w:val="18"/>
          <w:szCs w:val="18"/>
          <w:highlight w:val="none"/>
          <w:shd w:val="clear" w:color="auto" w:fill="FFF799"/>
        </w:rPr>
      </w:pPr>
    </w:p>
    <w:p w14:paraId="6EACA713">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rPr>
          <w:rFonts w:ascii="黑体" w:hAnsi="黑体" w:eastAsia="黑体"/>
          <w:b/>
          <w:color w:val="auto"/>
          <w:sz w:val="44"/>
          <w:szCs w:val="44"/>
          <w:highlight w:val="none"/>
        </w:rPr>
      </w:pPr>
    </w:p>
    <w:p w14:paraId="3694D03E">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outlineLvl w:val="0"/>
        <w:rPr>
          <w:rFonts w:hint="eastAsia" w:ascii="黑体" w:hAnsi="黑体" w:eastAsia="黑体"/>
          <w:b/>
          <w:color w:val="auto"/>
          <w:sz w:val="44"/>
          <w:szCs w:val="44"/>
          <w:highlight w:val="none"/>
          <w:lang w:val="en-US" w:eastAsia="zh-CN"/>
        </w:rPr>
      </w:pPr>
      <w:bookmarkStart w:id="0" w:name="_Toc1096625292"/>
      <w:bookmarkStart w:id="1" w:name="_Toc1143462373"/>
      <w:bookmarkStart w:id="2" w:name="_Toc326216493"/>
      <w:bookmarkStart w:id="3" w:name="_Toc1883703314"/>
      <w:bookmarkStart w:id="4" w:name="_Toc635742631"/>
      <w:bookmarkStart w:id="5" w:name="_Toc1991001916"/>
      <w:r>
        <w:rPr>
          <w:rFonts w:hint="eastAsia" w:ascii="黑体" w:hAnsi="黑体" w:eastAsia="黑体"/>
          <w:b/>
          <w:color w:val="auto"/>
          <w:sz w:val="44"/>
          <w:szCs w:val="44"/>
          <w:highlight w:val="none"/>
          <w:lang w:val="en-US" w:eastAsia="zh-CN"/>
        </w:rPr>
        <w:t>论文</w:t>
      </w:r>
      <w:r>
        <w:rPr>
          <w:rFonts w:ascii="黑体" w:hAnsi="黑体" w:eastAsia="黑体"/>
          <w:b/>
          <w:color w:val="auto"/>
          <w:sz w:val="44"/>
          <w:szCs w:val="44"/>
          <w:highlight w:val="none"/>
        </w:rPr>
        <w:t>题目：</w:t>
      </w:r>
      <w:r>
        <w:rPr>
          <w:rFonts w:hint="eastAsia" w:ascii="黑体" w:hAnsi="黑体" w:eastAsia="黑体"/>
          <w:b/>
          <w:color w:val="auto"/>
          <w:sz w:val="44"/>
          <w:szCs w:val="44"/>
          <w:highlight w:val="none"/>
          <w:lang w:val="en-US" w:eastAsia="zh-CN"/>
        </w:rPr>
        <w:t>基于Arduino嵌入式开发的微弱电信号测量</w:t>
      </w:r>
      <w:bookmarkEnd w:id="0"/>
      <w:bookmarkEnd w:id="1"/>
      <w:bookmarkEnd w:id="2"/>
      <w:bookmarkEnd w:id="3"/>
      <w:bookmarkEnd w:id="4"/>
      <w:bookmarkEnd w:id="5"/>
    </w:p>
    <w:p w14:paraId="2A4F4B01">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rPr>
          <w:rFonts w:hint="default" w:ascii="Times New Roman Regular" w:hAnsi="Times New Roman Regular" w:eastAsia="黑体" w:cs="Times New Roman Regular"/>
          <w:b w:val="0"/>
          <w:color w:val="auto"/>
          <w:sz w:val="44"/>
          <w:szCs w:val="44"/>
          <w:highlight w:val="none"/>
          <w:lang w:val="en-US" w:eastAsia="zh-CN"/>
        </w:rPr>
      </w:pPr>
      <w:r>
        <w:rPr>
          <w:rFonts w:hint="default" w:ascii="Times New Roman Bold" w:hAnsi="Times New Roman Bold" w:eastAsia="黑体" w:cs="Times New Roman Bold"/>
          <w:b/>
          <w:bCs/>
          <w:color w:val="auto"/>
          <w:sz w:val="44"/>
          <w:szCs w:val="44"/>
          <w:highlight w:val="none"/>
          <w:lang w:val="en-US" w:eastAsia="zh-CN"/>
        </w:rPr>
        <w:t>Title: Weak electrical signal measurement base</w:t>
      </w:r>
      <w:r>
        <w:rPr>
          <w:rFonts w:hint="eastAsia" w:ascii="Times New Roman Bold" w:hAnsi="Times New Roman Bold" w:eastAsia="黑体" w:cs="Times New Roman Bold"/>
          <w:b/>
          <w:bCs/>
          <w:color w:val="auto"/>
          <w:sz w:val="44"/>
          <w:szCs w:val="44"/>
          <w:highlight w:val="none"/>
          <w:lang w:val="en-US" w:eastAsia="zh-CN"/>
        </w:rPr>
        <w:t>d</w:t>
      </w:r>
      <w:r>
        <w:rPr>
          <w:rFonts w:hint="default" w:ascii="Times New Roman Bold" w:hAnsi="Times New Roman Bold" w:eastAsia="黑体" w:cs="Times New Roman Bold"/>
          <w:b/>
          <w:bCs/>
          <w:color w:val="auto"/>
          <w:sz w:val="44"/>
          <w:szCs w:val="44"/>
          <w:highlight w:val="none"/>
          <w:lang w:val="en-US" w:eastAsia="zh-CN"/>
        </w:rPr>
        <w:t xml:space="preserve"> on Arduino embedded development</w:t>
      </w:r>
    </w:p>
    <w:p w14:paraId="31FE9403">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rPr>
          <w:rFonts w:ascii="黑体" w:hAnsi="黑体" w:eastAsia="黑体"/>
          <w:b/>
          <w:color w:val="auto"/>
          <w:sz w:val="44"/>
          <w:szCs w:val="44"/>
          <w:highlight w:val="none"/>
        </w:rPr>
      </w:pPr>
    </w:p>
    <w:p w14:paraId="122F5E3B">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rPr>
          <w:rFonts w:hint="default" w:ascii="黑体" w:hAnsi="黑体" w:eastAsia="黑体"/>
          <w:b/>
          <w:color w:val="auto"/>
          <w:sz w:val="44"/>
          <w:szCs w:val="44"/>
          <w:highlight w:val="none"/>
          <w:lang w:val="en-US" w:eastAsia="zh-CN"/>
        </w:rPr>
      </w:pPr>
      <w:r>
        <w:rPr>
          <w:rFonts w:ascii="黑体" w:hAnsi="黑体" w:eastAsia="黑体"/>
          <w:b/>
          <w:color w:val="auto"/>
          <w:sz w:val="44"/>
          <w:szCs w:val="44"/>
          <w:highlight w:val="none"/>
        </w:rPr>
        <w:t>学    院：</w:t>
      </w:r>
      <w:r>
        <w:rPr>
          <w:rFonts w:hint="eastAsia" w:ascii="黑体" w:hAnsi="黑体" w:eastAsia="黑体"/>
          <w:b/>
          <w:color w:val="auto"/>
          <w:sz w:val="44"/>
          <w:szCs w:val="44"/>
          <w:highlight w:val="none"/>
          <w:lang w:val="en-US" w:eastAsia="zh-CN"/>
        </w:rPr>
        <w:t>人工智能与计算机学院</w:t>
      </w:r>
    </w:p>
    <w:p w14:paraId="67C5CF88">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outlineLvl w:val="0"/>
        <w:rPr>
          <w:rFonts w:hint="default" w:ascii="黑体" w:hAnsi="黑体" w:eastAsia="黑体"/>
          <w:b/>
          <w:color w:val="auto"/>
          <w:sz w:val="44"/>
          <w:szCs w:val="44"/>
          <w:highlight w:val="none"/>
          <w:lang w:val="en-US" w:eastAsia="zh-CN"/>
        </w:rPr>
      </w:pPr>
      <w:bookmarkStart w:id="6" w:name="_Toc194847060"/>
      <w:bookmarkStart w:id="7" w:name="_Toc1276624090"/>
      <w:bookmarkStart w:id="8" w:name="_Toc340946008"/>
      <w:bookmarkStart w:id="9" w:name="_Toc1195255392"/>
      <w:bookmarkStart w:id="10" w:name="_Toc679014658"/>
      <w:bookmarkStart w:id="11" w:name="_Toc1197674324"/>
      <w:r>
        <w:rPr>
          <w:rFonts w:ascii="黑体" w:hAnsi="黑体" w:eastAsia="黑体"/>
          <w:b/>
          <w:color w:val="auto"/>
          <w:sz w:val="44"/>
          <w:szCs w:val="44"/>
          <w:highlight w:val="none"/>
        </w:rPr>
        <w:t>班    级：</w:t>
      </w:r>
      <w:r>
        <w:rPr>
          <w:rFonts w:hint="eastAsia" w:ascii="黑体" w:hAnsi="黑体" w:eastAsia="黑体"/>
          <w:b/>
          <w:color w:val="auto"/>
          <w:sz w:val="44"/>
          <w:szCs w:val="44"/>
          <w:highlight w:val="none"/>
          <w:lang w:val="en-US" w:eastAsia="zh-CN"/>
        </w:rPr>
        <w:t>通信工程25-1</w:t>
      </w:r>
      <w:bookmarkEnd w:id="6"/>
      <w:bookmarkEnd w:id="7"/>
      <w:bookmarkEnd w:id="8"/>
      <w:bookmarkEnd w:id="9"/>
      <w:bookmarkEnd w:id="10"/>
      <w:bookmarkEnd w:id="11"/>
    </w:p>
    <w:p w14:paraId="69539AAC">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outlineLvl w:val="0"/>
        <w:rPr>
          <w:rFonts w:hint="default" w:ascii="黑体" w:hAnsi="黑体" w:eastAsia="黑体"/>
          <w:b/>
          <w:color w:val="auto"/>
          <w:sz w:val="44"/>
          <w:szCs w:val="44"/>
          <w:highlight w:val="none"/>
          <w:lang w:val="en-US" w:eastAsia="zh-CN"/>
        </w:rPr>
      </w:pPr>
      <w:bookmarkStart w:id="12" w:name="_Toc948140137"/>
      <w:bookmarkStart w:id="13" w:name="_Toc793186260"/>
      <w:bookmarkStart w:id="14" w:name="_Toc1095339306"/>
      <w:bookmarkStart w:id="15" w:name="_Toc711963453"/>
      <w:bookmarkStart w:id="16" w:name="_Toc2029459392"/>
      <w:bookmarkStart w:id="17" w:name="_Toc471256848"/>
      <w:r>
        <w:rPr>
          <w:rFonts w:ascii="黑体" w:hAnsi="黑体" w:eastAsia="黑体"/>
          <w:b/>
          <w:color w:val="auto"/>
          <w:sz w:val="44"/>
          <w:szCs w:val="44"/>
          <w:highlight w:val="none"/>
        </w:rPr>
        <w:t>姓    名：</w:t>
      </w:r>
      <w:r>
        <w:rPr>
          <w:rFonts w:hint="eastAsia" w:ascii="黑体" w:hAnsi="黑体" w:eastAsia="黑体"/>
          <w:b/>
          <w:color w:val="auto"/>
          <w:sz w:val="44"/>
          <w:szCs w:val="44"/>
          <w:highlight w:val="none"/>
          <w:lang w:val="en-US" w:eastAsia="zh-CN"/>
        </w:rPr>
        <w:t>陈梓睿 肖晓和 任金棚</w:t>
      </w:r>
      <w:bookmarkEnd w:id="12"/>
      <w:bookmarkEnd w:id="13"/>
      <w:bookmarkEnd w:id="14"/>
      <w:bookmarkEnd w:id="15"/>
      <w:bookmarkEnd w:id="16"/>
      <w:bookmarkEnd w:id="17"/>
    </w:p>
    <w:p w14:paraId="066460C9">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rPr>
          <w:rFonts w:hint="default" w:ascii="黑体" w:hAnsi="黑体" w:eastAsia="黑体"/>
          <w:b/>
          <w:color w:val="auto"/>
          <w:sz w:val="44"/>
          <w:szCs w:val="44"/>
          <w:highlight w:val="none"/>
          <w:lang w:val="en-US" w:eastAsia="zh-CN"/>
        </w:rPr>
      </w:pPr>
    </w:p>
    <w:p w14:paraId="3FFD80D2">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rPr>
          <w:rFonts w:hint="default" w:ascii="黑体" w:hAnsi="黑体" w:eastAsia="黑体"/>
          <w:b/>
          <w:color w:val="auto"/>
          <w:sz w:val="44"/>
          <w:szCs w:val="44"/>
          <w:highlight w:val="none"/>
          <w:lang w:val="en-US" w:eastAsia="zh-CN"/>
        </w:rPr>
      </w:pPr>
    </w:p>
    <w:p w14:paraId="068F1DA0">
      <w:pPr>
        <w:tabs>
          <w:tab w:val="left" w:pos="483"/>
        </w:tabs>
        <w:spacing w:line="740" w:lineRule="exact"/>
        <w:rPr>
          <w:rFonts w:ascii="黑体" w:hAnsi="黑体" w:eastAsia="黑体"/>
          <w:b/>
          <w:color w:val="auto"/>
          <w:sz w:val="44"/>
          <w:szCs w:val="44"/>
          <w:highlight w:val="none"/>
        </w:rPr>
      </w:pPr>
    </w:p>
    <w:p w14:paraId="1E28A719">
      <w:pPr>
        <w:keepNext w:val="0"/>
        <w:keepLines w:val="0"/>
        <w:pageBreakBefore w:val="0"/>
        <w:widowControl w:val="0"/>
        <w:kinsoku/>
        <w:wordWrap/>
        <w:overflowPunct/>
        <w:topLinePunct w:val="0"/>
        <w:autoSpaceDE/>
        <w:autoSpaceDN/>
        <w:bidi w:val="0"/>
        <w:adjustRightInd/>
        <w:snapToGrid/>
        <w:spacing w:line="740" w:lineRule="exact"/>
        <w:jc w:val="center"/>
        <w:textAlignment w:val="auto"/>
        <w:rPr>
          <w:rFonts w:ascii="宋体" w:hAnsi="宋体" w:cs="宋体"/>
          <w:b/>
          <w:bCs/>
          <w:color w:val="auto"/>
          <w:sz w:val="32"/>
          <w:szCs w:val="32"/>
          <w:highlight w:val="none"/>
        </w:rPr>
      </w:pPr>
      <w:r>
        <w:rPr>
          <w:rFonts w:ascii="黑体" w:hAnsi="黑体" w:eastAsia="黑体"/>
          <w:b/>
          <w:color w:val="auto"/>
          <w:sz w:val="44"/>
          <w:szCs w:val="44"/>
          <w:highlight w:val="none"/>
        </w:rPr>
        <w:t>20</w:t>
      </w:r>
      <w:r>
        <w:rPr>
          <w:rFonts w:hint="eastAsia" w:ascii="黑体" w:hAnsi="黑体" w:eastAsia="黑体"/>
          <w:b/>
          <w:color w:val="auto"/>
          <w:sz w:val="44"/>
          <w:szCs w:val="44"/>
          <w:highlight w:val="none"/>
          <w:lang w:val="en-US" w:eastAsia="zh-CN"/>
        </w:rPr>
        <w:t>26</w:t>
      </w:r>
      <w:r>
        <w:rPr>
          <w:rFonts w:ascii="黑体" w:hAnsi="黑体" w:eastAsia="黑体"/>
          <w:b/>
          <w:color w:val="auto"/>
          <w:sz w:val="44"/>
          <w:szCs w:val="44"/>
          <w:highlight w:val="none"/>
        </w:rPr>
        <w:t>年</w:t>
      </w:r>
      <w:r>
        <w:rPr>
          <w:rFonts w:hint="eastAsia" w:ascii="黑体" w:hAnsi="黑体" w:eastAsia="黑体"/>
          <w:b/>
          <w:color w:val="auto"/>
          <w:sz w:val="44"/>
          <w:szCs w:val="44"/>
          <w:highlight w:val="none"/>
          <w:lang w:val="en-US" w:eastAsia="zh-CN"/>
        </w:rPr>
        <w:t>4</w:t>
      </w:r>
      <w:r>
        <w:rPr>
          <w:rFonts w:ascii="黑体" w:hAnsi="黑体" w:eastAsia="黑体"/>
          <w:b/>
          <w:color w:val="auto"/>
          <w:sz w:val="44"/>
          <w:szCs w:val="44"/>
          <w:highlight w:val="none"/>
        </w:rPr>
        <w:t>月</w:t>
      </w:r>
      <w:r>
        <w:rPr>
          <w:rFonts w:hint="eastAsia" w:ascii="黑体" w:hAnsi="黑体" w:eastAsia="黑体"/>
          <w:b/>
          <w:color w:val="auto"/>
          <w:sz w:val="44"/>
          <w:szCs w:val="44"/>
          <w:highlight w:val="none"/>
          <w:lang w:val="en-US" w:eastAsia="zh-CN"/>
        </w:rPr>
        <w:t>19</w:t>
      </w:r>
      <w:r>
        <w:rPr>
          <w:rFonts w:ascii="黑体" w:hAnsi="黑体" w:eastAsia="黑体"/>
          <w:b/>
          <w:color w:val="auto"/>
          <w:sz w:val="44"/>
          <w:szCs w:val="44"/>
          <w:highlight w:val="none"/>
        </w:rPr>
        <w:t>日</w:t>
      </w:r>
    </w:p>
    <w:p w14:paraId="4679AFF3">
      <w:pPr>
        <w:rPr>
          <w:color w:val="auto"/>
          <w:highlight w:val="none"/>
        </w:rPr>
      </w:pPr>
    </w:p>
    <w:p w14:paraId="7EF41F6A">
      <w:pPr>
        <w:rPr>
          <w:color w:val="auto"/>
          <w:highlight w:val="none"/>
        </w:rPr>
        <w:sectPr>
          <w:headerReference r:id="rId4" w:type="default"/>
          <w:pgSz w:w="11906" w:h="16838"/>
          <w:pgMar w:top="1440" w:right="1083" w:bottom="1083" w:left="1440" w:header="850" w:footer="992" w:gutter="0"/>
          <w:pgBorders>
            <w:top w:val="none" w:sz="0" w:space="0"/>
            <w:left w:val="none" w:sz="0" w:space="0"/>
            <w:bottom w:val="none" w:sz="0" w:space="0"/>
            <w:right w:val="none" w:sz="0" w:space="0"/>
          </w:pgBorders>
          <w:pgNumType w:fmt="upperRoman" w:start="1"/>
          <w:cols w:space="720" w:num="1"/>
          <w:rtlGutter w:val="0"/>
          <w:docGrid w:type="lines" w:linePitch="322" w:charSpace="0"/>
        </w:sectPr>
      </w:pPr>
    </w:p>
    <w:p w14:paraId="526CC437">
      <w:pPr>
        <w:spacing w:line="360" w:lineRule="auto"/>
        <w:jc w:val="center"/>
        <w:outlineLvl w:val="0"/>
        <w:rPr>
          <w:rFonts w:hint="default" w:eastAsia="黑体"/>
          <w:bCs/>
          <w:color w:val="auto"/>
          <w:sz w:val="44"/>
          <w:szCs w:val="44"/>
          <w:highlight w:val="none"/>
          <w:lang w:val="en-US" w:eastAsia="zh-CN"/>
        </w:rPr>
      </w:pPr>
      <w:bookmarkStart w:id="18" w:name="_Toc190873487"/>
      <w:bookmarkStart w:id="19" w:name="_Toc1137893858"/>
      <w:bookmarkStart w:id="20" w:name="_Toc1062621819"/>
      <w:bookmarkStart w:id="21" w:name="_Toc641236043"/>
      <w:bookmarkStart w:id="22" w:name="_Toc1650474891"/>
      <w:bookmarkStart w:id="23" w:name="_Toc494154200"/>
      <w:bookmarkStart w:id="24" w:name="_Toc16668"/>
      <w:r>
        <w:rPr>
          <w:rFonts w:hint="eastAsia" w:eastAsia="黑体"/>
          <w:color w:val="auto"/>
          <w:sz w:val="44"/>
          <w:szCs w:val="44"/>
          <w:highlight w:val="none"/>
          <w:lang w:val="en-US" w:eastAsia="zh-CN"/>
        </w:rPr>
        <w:t>基于Arduino嵌入式开发的</w:t>
      </w:r>
      <w:r>
        <w:rPr>
          <w:rFonts w:hint="eastAsia" w:eastAsia="黑体"/>
          <w:bCs/>
          <w:color w:val="auto"/>
          <w:sz w:val="44"/>
          <w:szCs w:val="44"/>
          <w:highlight w:val="none"/>
          <w:lang w:val="en-US" w:eastAsia="zh-CN"/>
        </w:rPr>
        <w:t>微弱电信号测量</w:t>
      </w:r>
      <w:bookmarkEnd w:id="18"/>
      <w:bookmarkEnd w:id="19"/>
      <w:bookmarkEnd w:id="20"/>
      <w:bookmarkEnd w:id="21"/>
      <w:bookmarkEnd w:id="22"/>
      <w:bookmarkEnd w:id="23"/>
    </w:p>
    <w:bookmarkEnd w:id="24"/>
    <w:p w14:paraId="6F0C7559">
      <w:pPr>
        <w:spacing w:line="360" w:lineRule="auto"/>
        <w:ind w:firstLine="480" w:firstLineChars="200"/>
        <w:rPr>
          <w:rFonts w:hint="eastAsia" w:eastAsia="黑体"/>
          <w:color w:val="auto"/>
          <w:sz w:val="24"/>
          <w:highlight w:val="none"/>
        </w:rPr>
      </w:pPr>
    </w:p>
    <w:p w14:paraId="7D408F9A">
      <w:pPr>
        <w:spacing w:line="360" w:lineRule="auto"/>
        <w:ind w:firstLine="480" w:firstLineChars="200"/>
        <w:rPr>
          <w:rFonts w:hint="eastAsia"/>
          <w:color w:val="auto"/>
          <w:kern w:val="44"/>
          <w:sz w:val="24"/>
          <w:highlight w:val="none"/>
          <w:lang w:val="en-US" w:eastAsia="zh-CN"/>
        </w:rPr>
      </w:pPr>
      <w:r>
        <w:rPr>
          <w:rFonts w:hint="eastAsia" w:eastAsia="黑体"/>
          <w:color w:val="auto"/>
          <w:sz w:val="24"/>
          <w:highlight w:val="none"/>
        </w:rPr>
        <w:t>摘  要</w:t>
      </w:r>
      <w:r>
        <w:rPr>
          <w:rFonts w:hint="eastAsia"/>
          <w:color w:val="auto"/>
          <w:kern w:val="44"/>
          <w:sz w:val="24"/>
          <w:highlight w:val="none"/>
        </w:rPr>
        <w:t>：本文围绕微弱电信号测量中灵敏度低、易受干扰的问题，设计了一套基于Arduino</w:t>
      </w:r>
      <w:r>
        <w:rPr>
          <w:rFonts w:hint="eastAsia"/>
          <w:color w:val="auto"/>
          <w:kern w:val="44"/>
          <w:sz w:val="24"/>
          <w:highlight w:val="none"/>
          <w:lang w:val="en-US" w:eastAsia="zh-CN"/>
        </w:rPr>
        <w:t>嵌入式开发</w:t>
      </w:r>
      <w:r>
        <w:rPr>
          <w:rFonts w:hint="eastAsia"/>
          <w:color w:val="auto"/>
          <w:kern w:val="44"/>
          <w:sz w:val="24"/>
          <w:highlight w:val="none"/>
        </w:rPr>
        <w:t>的测量系统。系统利用悬丝结构与光杠杆原理实现物理放大，并结合信号调理电路与嵌入式处理完成数据采集与计算。通过归一化算法和多级降噪方法，提高了测量稳定性与抗干扰能力。文中对系统结构、硬件实现、软件算法、标定方法及误差来源</w:t>
      </w:r>
      <w:r>
        <w:rPr>
          <w:rFonts w:hint="eastAsia"/>
          <w:color w:val="auto"/>
          <w:kern w:val="44"/>
          <w:sz w:val="24"/>
          <w:highlight w:val="none"/>
          <w:lang w:val="en-US" w:eastAsia="zh-CN"/>
        </w:rPr>
        <w:t>与不确定度</w:t>
      </w:r>
      <w:r>
        <w:rPr>
          <w:rFonts w:hint="eastAsia"/>
          <w:color w:val="auto"/>
          <w:kern w:val="44"/>
          <w:sz w:val="24"/>
          <w:highlight w:val="none"/>
        </w:rPr>
        <w:t>进行了分析</w:t>
      </w:r>
      <w:r>
        <w:rPr>
          <w:rFonts w:hint="eastAsia"/>
          <w:color w:val="auto"/>
          <w:kern w:val="44"/>
          <w:sz w:val="24"/>
          <w:highlight w:val="none"/>
          <w:lang w:val="en-US" w:eastAsia="zh-CN"/>
        </w:rPr>
        <w:t>和评估</w:t>
      </w:r>
      <w:r>
        <w:rPr>
          <w:rFonts w:hint="eastAsia"/>
          <w:color w:val="auto"/>
          <w:kern w:val="44"/>
          <w:sz w:val="24"/>
          <w:highlight w:val="none"/>
        </w:rPr>
        <w:t>，并通过实验方案对系统性能进行验证。同时，从成本角度对系统进行了评估，说明其具有较好的经济性。最后讨论了系统的应用场景及存在的局限。结果表明，该系统能够实现对微弱电信号的稳定测量，并具备一定实用价值。</w:t>
      </w:r>
    </w:p>
    <w:p w14:paraId="01746CB4">
      <w:pPr>
        <w:spacing w:line="360" w:lineRule="auto"/>
        <w:rPr>
          <w:rFonts w:hint="eastAsia"/>
          <w:color w:val="auto"/>
          <w:sz w:val="24"/>
          <w:highlight w:val="none"/>
        </w:rPr>
      </w:pPr>
    </w:p>
    <w:p w14:paraId="3D6E6E59">
      <w:pPr>
        <w:spacing w:line="360" w:lineRule="auto"/>
        <w:ind w:firstLine="480" w:firstLineChars="200"/>
        <w:rPr>
          <w:rFonts w:hint="eastAsia"/>
          <w:color w:val="auto"/>
          <w:kern w:val="44"/>
          <w:sz w:val="24"/>
          <w:highlight w:val="none"/>
        </w:rPr>
      </w:pPr>
      <w:r>
        <w:rPr>
          <w:rFonts w:hint="eastAsia" w:eastAsia="黑体"/>
          <w:color w:val="auto"/>
          <w:sz w:val="24"/>
          <w:highlight w:val="none"/>
        </w:rPr>
        <w:t>关键词：</w:t>
      </w:r>
      <w:r>
        <w:rPr>
          <w:rFonts w:hint="eastAsia"/>
          <w:color w:val="auto"/>
          <w:kern w:val="44"/>
          <w:sz w:val="24"/>
          <w:highlight w:val="none"/>
        </w:rPr>
        <w:t>Arduino；微弱电信号；跨阻放大器；</w:t>
      </w:r>
      <w:r>
        <w:rPr>
          <w:rFonts w:hint="eastAsia"/>
          <w:color w:val="auto"/>
          <w:kern w:val="44"/>
          <w:sz w:val="24"/>
          <w:highlight w:val="none"/>
          <w:lang w:val="en-US" w:eastAsia="zh-CN"/>
        </w:rPr>
        <w:t>PSD传感器</w:t>
      </w:r>
      <w:r>
        <w:rPr>
          <w:rFonts w:hint="eastAsia"/>
          <w:color w:val="auto"/>
          <w:kern w:val="44"/>
          <w:sz w:val="24"/>
          <w:highlight w:val="none"/>
        </w:rPr>
        <w:t>；不确定度评估</w:t>
      </w:r>
    </w:p>
    <w:p w14:paraId="0297A050">
      <w:pPr>
        <w:spacing w:line="360" w:lineRule="auto"/>
        <w:jc w:val="both"/>
        <w:rPr>
          <w:rFonts w:hint="eastAsia" w:eastAsia="黑体"/>
          <w:b/>
          <w:color w:val="auto"/>
          <w:sz w:val="44"/>
          <w:szCs w:val="44"/>
          <w:highlight w:val="none"/>
          <w:lang w:val="en-US" w:eastAsia="zh-CN"/>
        </w:rPr>
      </w:pPr>
    </w:p>
    <w:p w14:paraId="66B1295C">
      <w:pPr>
        <w:spacing w:line="360" w:lineRule="auto"/>
        <w:jc w:val="center"/>
        <w:rPr>
          <w:rFonts w:hint="eastAsia" w:eastAsia="黑体"/>
          <w:b/>
          <w:color w:val="auto"/>
          <w:sz w:val="44"/>
          <w:szCs w:val="44"/>
          <w:highlight w:val="none"/>
          <w:lang w:val="en-US" w:eastAsia="zh-CN"/>
        </w:rPr>
      </w:pPr>
      <w:r>
        <w:rPr>
          <w:rFonts w:hint="eastAsia" w:eastAsia="黑体"/>
          <w:b/>
          <w:color w:val="auto"/>
          <w:sz w:val="44"/>
          <w:szCs w:val="44"/>
          <w:highlight w:val="none"/>
          <w:lang w:val="en-US" w:eastAsia="zh-CN"/>
        </w:rPr>
        <w:t>Weak electrical signal measurement based on Arduino embedded development</w:t>
      </w:r>
    </w:p>
    <w:p w14:paraId="1DE8EBC7">
      <w:pPr>
        <w:spacing w:line="360" w:lineRule="auto"/>
        <w:jc w:val="left"/>
        <w:rPr>
          <w:rFonts w:eastAsia="仿宋_GB2312"/>
          <w:b/>
          <w:color w:val="auto"/>
          <w:sz w:val="24"/>
          <w:highlight w:val="none"/>
        </w:rPr>
      </w:pPr>
    </w:p>
    <w:p w14:paraId="4017002C">
      <w:pPr>
        <w:spacing w:line="360" w:lineRule="auto"/>
        <w:rPr>
          <w:rStyle w:val="31"/>
          <w:rFonts w:hint="eastAsia"/>
          <w:color w:val="auto"/>
          <w:sz w:val="24"/>
          <w:szCs w:val="24"/>
          <w:highlight w:val="none"/>
        </w:rPr>
      </w:pPr>
      <w:r>
        <w:rPr>
          <w:rFonts w:eastAsia="仿宋_GB2312"/>
          <w:b/>
          <w:color w:val="auto"/>
          <w:sz w:val="24"/>
          <w:highlight w:val="none"/>
        </w:rPr>
        <w:t>Abstract</w:t>
      </w:r>
      <w:r>
        <w:rPr>
          <w:rFonts w:hint="eastAsia" w:eastAsia="仿宋_GB2312"/>
          <w:b/>
          <w:color w:val="auto"/>
          <w:sz w:val="24"/>
          <w:highlight w:val="none"/>
        </w:rPr>
        <w:t>:</w:t>
      </w:r>
      <w:r>
        <w:rPr>
          <w:rStyle w:val="31"/>
          <w:rFonts w:hint="eastAsia"/>
          <w:color w:val="auto"/>
          <w:sz w:val="24"/>
          <w:szCs w:val="24"/>
          <w:highlight w:val="none"/>
        </w:rPr>
        <w:t xml:space="preserve"> This paper presents an Arduino-based system for weak electrical signal measurement, addressing low sensitivity and environmental interference. The system combines mechanical amplification with signal conditioning and </w:t>
      </w:r>
      <w:r>
        <w:rPr>
          <w:rStyle w:val="31"/>
          <w:rFonts w:hint="eastAsia"/>
          <w:color w:val="auto"/>
          <w:sz w:val="24"/>
          <w:szCs w:val="24"/>
          <w:highlight w:val="none"/>
          <w:lang w:val="en-US" w:eastAsia="zh-CN"/>
        </w:rPr>
        <w:t xml:space="preserve">Arduino based </w:t>
      </w:r>
      <w:r>
        <w:rPr>
          <w:rStyle w:val="31"/>
          <w:rFonts w:hint="eastAsia"/>
          <w:color w:val="auto"/>
          <w:sz w:val="24"/>
          <w:szCs w:val="24"/>
          <w:highlight w:val="none"/>
        </w:rPr>
        <w:t xml:space="preserve">embedded processing for data acquisition and computation. A normalized algorithm and multi-stage noise reduction methods are applied to improve stability and robustness. </w:t>
      </w:r>
      <w:r>
        <w:rPr>
          <w:rStyle w:val="31"/>
          <w:rFonts w:hint="eastAsia"/>
          <w:color w:val="auto"/>
          <w:sz w:val="24"/>
          <w:szCs w:val="24"/>
          <w:highlight w:val="none"/>
          <w:lang w:val="en-US" w:eastAsia="zh-CN"/>
        </w:rPr>
        <w:t>The system structure, hardware implementation, software algorithms, calibration methods, and error sources along with uncertainties are analyzed and evaluated, and the system performance is verified through experimental procedures.</w:t>
      </w:r>
      <w:r>
        <w:rPr>
          <w:rStyle w:val="31"/>
          <w:rFonts w:hint="eastAsia"/>
          <w:color w:val="auto"/>
          <w:sz w:val="24"/>
          <w:szCs w:val="24"/>
          <w:highlight w:val="none"/>
        </w:rPr>
        <w:t xml:space="preserve"> In addition, a cost analysis is conducted to demonstrate its economic feasibility. Application scenarios and limitations are also discussed. Results show that the system can achieve stable measurement of weak electrical signals with practical value.</w:t>
      </w:r>
    </w:p>
    <w:p w14:paraId="58766737">
      <w:pPr>
        <w:spacing w:line="360" w:lineRule="auto"/>
        <w:rPr>
          <w:rStyle w:val="31"/>
          <w:rFonts w:hint="eastAsia"/>
          <w:color w:val="auto"/>
          <w:sz w:val="24"/>
          <w:szCs w:val="24"/>
          <w:highlight w:val="none"/>
        </w:rPr>
      </w:pPr>
    </w:p>
    <w:p w14:paraId="1D567311">
      <w:pPr>
        <w:spacing w:line="360" w:lineRule="auto"/>
        <w:rPr>
          <w:color w:val="auto"/>
          <w:highlight w:val="none"/>
        </w:rPr>
      </w:pPr>
      <w:r>
        <w:rPr>
          <w:b/>
          <w:color w:val="auto"/>
          <w:kern w:val="44"/>
          <w:sz w:val="24"/>
          <w:highlight w:val="none"/>
        </w:rPr>
        <w:t>Keyword</w:t>
      </w:r>
      <w:r>
        <w:rPr>
          <w:rFonts w:hint="eastAsia"/>
          <w:b/>
          <w:color w:val="auto"/>
          <w:kern w:val="44"/>
          <w:sz w:val="24"/>
          <w:highlight w:val="none"/>
        </w:rPr>
        <w:t>s</w:t>
      </w:r>
      <w:r>
        <w:rPr>
          <w:b/>
          <w:color w:val="auto"/>
          <w:kern w:val="44"/>
          <w:sz w:val="24"/>
          <w:highlight w:val="none"/>
        </w:rPr>
        <w:t>:</w:t>
      </w:r>
      <w:r>
        <w:rPr>
          <w:color w:val="auto"/>
          <w:kern w:val="44"/>
          <w:sz w:val="24"/>
          <w:highlight w:val="none"/>
        </w:rPr>
        <w:t xml:space="preserve"> </w:t>
      </w:r>
      <w:r>
        <w:rPr>
          <w:rStyle w:val="31"/>
          <w:rFonts w:hint="eastAsia"/>
          <w:color w:val="auto"/>
          <w:sz w:val="24"/>
          <w:szCs w:val="24"/>
          <w:highlight w:val="none"/>
        </w:rPr>
        <w:t xml:space="preserve">Arduino; Weak Electrical Signal; </w:t>
      </w:r>
      <w:r>
        <w:rPr>
          <w:rStyle w:val="31"/>
          <w:rFonts w:hint="default"/>
          <w:color w:val="auto"/>
          <w:sz w:val="24"/>
          <w:szCs w:val="24"/>
          <w:highlight w:val="none"/>
          <w:lang w:val="en-US"/>
        </w:rPr>
        <w:t>Trans-impedance</w:t>
      </w:r>
      <w:r>
        <w:rPr>
          <w:rStyle w:val="31"/>
          <w:rFonts w:hint="eastAsia"/>
          <w:color w:val="auto"/>
          <w:sz w:val="24"/>
          <w:szCs w:val="24"/>
          <w:highlight w:val="none"/>
        </w:rPr>
        <w:t xml:space="preserve"> Amplifier; </w:t>
      </w:r>
      <w:r>
        <w:rPr>
          <w:rStyle w:val="31"/>
          <w:rFonts w:hint="eastAsia"/>
          <w:color w:val="auto"/>
          <w:sz w:val="24"/>
          <w:szCs w:val="24"/>
          <w:highlight w:val="none"/>
          <w:lang w:val="en-US" w:eastAsia="zh-CN"/>
        </w:rPr>
        <w:t>PSD Sensor</w:t>
      </w:r>
      <w:r>
        <w:rPr>
          <w:rStyle w:val="31"/>
          <w:rFonts w:hint="eastAsia"/>
          <w:color w:val="auto"/>
          <w:sz w:val="24"/>
          <w:szCs w:val="24"/>
          <w:highlight w:val="none"/>
        </w:rPr>
        <w:t>; Uncertainty Assessment</w:t>
      </w:r>
      <w:r>
        <w:rPr>
          <w:color w:val="auto"/>
          <w:sz w:val="24"/>
          <w:highlight w:val="none"/>
        </w:rPr>
        <w:br w:type="page"/>
      </w:r>
      <w:bookmarkStart w:id="25" w:name="_Toc17858"/>
      <w:bookmarkStart w:id="26" w:name="_Toc19851_WPSOffice_Level2"/>
      <w:bookmarkStart w:id="27" w:name="_Toc32753_WPSOffice_Level2"/>
      <w:bookmarkStart w:id="28" w:name="_Toc532872738"/>
      <w:bookmarkStart w:id="29" w:name="_Toc15020_WPSOffice_Level2"/>
      <w:bookmarkStart w:id="30" w:name="_Toc152619889"/>
      <w:bookmarkStart w:id="31" w:name="_Toc533261391"/>
    </w:p>
    <w:sdt>
      <w:sdtPr>
        <w:rPr>
          <w:rFonts w:ascii="宋体" w:hAnsi="宋体" w:eastAsia="宋体" w:cs="Times New Roman"/>
          <w:b/>
          <w:bCs/>
          <w:kern w:val="2"/>
          <w:sz w:val="32"/>
          <w:szCs w:val="40"/>
          <w:lang w:val="en-US" w:eastAsia="zh-CN" w:bidi="ar-SA"/>
        </w:rPr>
        <w:id w:val="440429957"/>
        <w15:color w:val="DBDBDB"/>
        <w:docPartObj>
          <w:docPartGallery w:val="Table of Contents"/>
          <w:docPartUnique/>
        </w:docPartObj>
      </w:sdtPr>
      <w:sdtEndPr>
        <w:rPr>
          <w:rFonts w:ascii="Times New Roman" w:hAnsi="Times New Roman" w:eastAsia="宋体" w:cs="Times New Roman"/>
          <w:b/>
          <w:bCs/>
          <w:color w:val="auto"/>
          <w:kern w:val="2"/>
          <w:sz w:val="21"/>
          <w:szCs w:val="24"/>
          <w:highlight w:val="none"/>
          <w:lang w:val="en-US" w:eastAsia="zh-CN" w:bidi="ar-SA"/>
        </w:rPr>
      </w:sdtEndPr>
      <w:sdtContent>
        <w:p w14:paraId="57AC7F79">
          <w:pPr>
            <w:spacing w:before="0" w:beforeLines="0" w:after="0" w:afterLines="0" w:line="240" w:lineRule="auto"/>
            <w:ind w:left="0" w:leftChars="0" w:right="0" w:rightChars="0" w:firstLine="0" w:firstLineChars="0"/>
            <w:jc w:val="center"/>
            <w:rPr>
              <w:rFonts w:ascii="Times New Roman" w:hAnsi="Times New Roman" w:eastAsia="宋体" w:cs="Times New Roman"/>
              <w:color w:val="auto"/>
              <w:kern w:val="2"/>
              <w:sz w:val="21"/>
              <w:szCs w:val="24"/>
              <w:highlight w:val="none"/>
              <w:lang w:val="en-US" w:eastAsia="zh-CN" w:bidi="ar-SA"/>
            </w:rPr>
          </w:pPr>
          <w:r>
            <w:rPr>
              <w:rFonts w:ascii="宋体" w:hAnsi="宋体" w:eastAsia="宋体"/>
              <w:b/>
              <w:bCs/>
              <w:sz w:val="32"/>
              <w:szCs w:val="40"/>
            </w:rPr>
            <w:t>目录</w:t>
          </w:r>
          <w:r>
            <w:rPr>
              <w:rFonts w:ascii="Times New Roman" w:hAnsi="Times New Roman" w:eastAsia="宋体" w:cs="Times New Roman"/>
              <w:color w:val="auto"/>
              <w:kern w:val="2"/>
              <w:sz w:val="21"/>
              <w:szCs w:val="24"/>
              <w:highlight w:val="none"/>
              <w:lang w:val="en-US" w:eastAsia="zh-CN" w:bidi="ar-SA"/>
            </w:rPr>
            <w:fldChar w:fldCharType="begin"/>
          </w:r>
          <w:r>
            <w:rPr>
              <w:rFonts w:ascii="Times New Roman" w:hAnsi="Times New Roman" w:eastAsia="宋体" w:cs="Times New Roman"/>
              <w:color w:val="auto"/>
              <w:kern w:val="2"/>
              <w:sz w:val="21"/>
              <w:szCs w:val="24"/>
              <w:highlight w:val="none"/>
              <w:lang w:val="en-US" w:eastAsia="zh-CN" w:bidi="ar-SA"/>
            </w:rPr>
            <w:instrText xml:space="preserve">TOC \o "1-2" \h \u </w:instrText>
          </w:r>
          <w:r>
            <w:rPr>
              <w:rFonts w:ascii="Times New Roman" w:hAnsi="Times New Roman" w:eastAsia="宋体" w:cs="Times New Roman"/>
              <w:color w:val="auto"/>
              <w:kern w:val="2"/>
              <w:sz w:val="21"/>
              <w:szCs w:val="24"/>
              <w:highlight w:val="none"/>
              <w:lang w:val="en-US" w:eastAsia="zh-CN" w:bidi="ar-SA"/>
            </w:rPr>
            <w:fldChar w:fldCharType="separate"/>
          </w:r>
        </w:p>
        <w:p w14:paraId="45A00C34">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_Toc1010903481 </w:instrText>
          </w:r>
          <w:r>
            <w:rPr>
              <w:rFonts w:ascii="Times New Roman" w:hAnsi="Times New Roman" w:eastAsia="宋体" w:cs="Times New Roman"/>
              <w:kern w:val="2"/>
              <w:szCs w:val="24"/>
              <w:highlight w:val="none"/>
              <w:lang w:val="en-US" w:eastAsia="zh-CN" w:bidi="ar-SA"/>
            </w:rPr>
            <w:fldChar w:fldCharType="separate"/>
          </w:r>
          <w:r>
            <w:rPr>
              <w:rFonts w:hint="default" w:eastAsia="黑体"/>
              <w:szCs w:val="32"/>
              <w:lang w:val="en-US" w:eastAsia="zh-CN"/>
            </w:rPr>
            <w:t xml:space="preserve">1. </w:t>
          </w:r>
          <w:r>
            <w:rPr>
              <w:rFonts w:hint="eastAsia" w:eastAsia="黑体"/>
              <w:szCs w:val="32"/>
              <w:highlight w:val="none"/>
              <w:lang w:val="en-US" w:eastAsia="zh-CN"/>
            </w:rPr>
            <w:t>引言</w:t>
          </w:r>
          <w:r>
            <w:tab/>
          </w:r>
          <w:r>
            <w:fldChar w:fldCharType="begin"/>
          </w:r>
          <w:r>
            <w:instrText xml:space="preserve"> PAGEREF _Toc1010903481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6F1D03B">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_Toc1511673750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2. </w:t>
          </w:r>
          <w:r>
            <w:rPr>
              <w:rFonts w:hint="eastAsia" w:ascii="Times New Roman" w:hAnsi="Times New Roman" w:eastAsia="黑体" w:cs="Times New Roman"/>
              <w:szCs w:val="32"/>
              <w:highlight w:val="none"/>
              <w:lang w:val="en-US" w:eastAsia="zh-CN"/>
            </w:rPr>
            <w:t>系统总体设计</w:t>
          </w:r>
          <w:r>
            <w:tab/>
          </w:r>
          <w:r>
            <w:fldChar w:fldCharType="begin"/>
          </w:r>
          <w:r>
            <w:instrText xml:space="preserve"> PAGEREF _Toc1511673750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76D6D65">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_Toc1969172240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2.1. </w:t>
          </w:r>
          <w:r>
            <w:rPr>
              <w:rFonts w:hint="eastAsia" w:ascii="Times New Roman" w:hAnsi="Times New Roman" w:eastAsia="黑体" w:cs="Times New Roman"/>
              <w:szCs w:val="28"/>
              <w:highlight w:val="none"/>
              <w:lang w:val="en-US" w:eastAsia="zh-CN"/>
            </w:rPr>
            <w:t>系统架构</w:t>
          </w:r>
          <w:r>
            <w:tab/>
          </w:r>
          <w:r>
            <w:fldChar w:fldCharType="begin"/>
          </w:r>
          <w:r>
            <w:instrText xml:space="preserve"> PAGEREF _Toc1969172240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4C91C9">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_Toc1007353763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2.2. </w:t>
          </w:r>
          <w:r>
            <w:rPr>
              <w:rFonts w:hint="eastAsia" w:ascii="Times New Roman" w:hAnsi="Times New Roman" w:eastAsia="黑体" w:cs="Times New Roman"/>
              <w:szCs w:val="28"/>
              <w:highlight w:val="none"/>
              <w:lang w:val="en-US" w:eastAsia="zh-CN"/>
            </w:rPr>
            <w:t>电路设计</w:t>
          </w:r>
          <w:r>
            <w:tab/>
          </w:r>
          <w:r>
            <w:fldChar w:fldCharType="begin"/>
          </w:r>
          <w:r>
            <w:instrText xml:space="preserve"> PAGEREF _Toc1007353763 \h </w:instrText>
          </w:r>
          <w:r>
            <w:fldChar w:fldCharType="separate"/>
          </w:r>
          <w:r>
            <w:t>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9DD7B0E">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_Toc1981105440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3. </w:t>
          </w:r>
          <w:r>
            <w:rPr>
              <w:rFonts w:hint="eastAsia" w:ascii="Times New Roman" w:hAnsi="Times New Roman" w:eastAsia="黑体" w:cs="Times New Roman"/>
              <w:szCs w:val="32"/>
              <w:highlight w:val="none"/>
              <w:lang w:val="en-US" w:eastAsia="zh-CN"/>
            </w:rPr>
            <w:t>硬件设计与实现</w:t>
          </w:r>
          <w:r>
            <w:tab/>
          </w:r>
          <w:r>
            <w:fldChar w:fldCharType="begin"/>
          </w:r>
          <w:r>
            <w:instrText xml:space="preserve"> PAGEREF _Toc1981105440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89AC643">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_Toc1852666992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3.1. </w:t>
          </w:r>
          <w:r>
            <w:rPr>
              <w:rFonts w:hint="eastAsia" w:ascii="Times New Roman" w:hAnsi="Times New Roman" w:eastAsia="黑体" w:cs="Times New Roman"/>
              <w:szCs w:val="28"/>
              <w:highlight w:val="none"/>
              <w:lang w:val="en-US" w:eastAsia="zh-CN"/>
            </w:rPr>
            <w:t>数据采集模块设计</w:t>
          </w:r>
          <w:r>
            <w:tab/>
          </w:r>
          <w:r>
            <w:fldChar w:fldCharType="begin"/>
          </w:r>
          <w:r>
            <w:instrText xml:space="preserve"> PAGEREF _Toc1852666992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5164D9A">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_Toc1408736691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3.2. </w:t>
          </w:r>
          <w:r>
            <w:rPr>
              <w:rFonts w:hint="eastAsia" w:ascii="Times New Roman" w:hAnsi="Times New Roman" w:eastAsia="黑体" w:cs="Times New Roman"/>
              <w:szCs w:val="28"/>
              <w:highlight w:val="none"/>
              <w:lang w:val="en-US" w:eastAsia="zh-CN"/>
            </w:rPr>
            <w:t>数据放大模块设计</w:t>
          </w:r>
          <w:r>
            <w:tab/>
          </w:r>
          <w:r>
            <w:fldChar w:fldCharType="begin"/>
          </w:r>
          <w:r>
            <w:instrText xml:space="preserve"> PAGEREF _Toc1408736691 \h </w:instrText>
          </w:r>
          <w:r>
            <w:fldChar w:fldCharType="separate"/>
          </w:r>
          <w:r>
            <w:t>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4349F89">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_Toc630357462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3.3. </w:t>
          </w:r>
          <w:r>
            <w:rPr>
              <w:rFonts w:hint="eastAsia" w:ascii="Times New Roman" w:hAnsi="Times New Roman" w:eastAsia="黑体" w:cs="Times New Roman"/>
              <w:szCs w:val="28"/>
              <w:highlight w:val="none"/>
              <w:lang w:val="en-US" w:eastAsia="zh-CN"/>
            </w:rPr>
            <w:t>数据处理模块设计</w:t>
          </w:r>
          <w:r>
            <w:tab/>
          </w:r>
          <w:r>
            <w:fldChar w:fldCharType="begin"/>
          </w:r>
          <w:r>
            <w:instrText xml:space="preserve"> PAGEREF _Toc630357462 \h </w:instrText>
          </w:r>
          <w:r>
            <w:fldChar w:fldCharType="separate"/>
          </w:r>
          <w:r>
            <w:t>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770732B">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_Toc881033183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3.4. </w:t>
          </w:r>
          <w:r>
            <w:rPr>
              <w:rFonts w:hint="eastAsia" w:ascii="Times New Roman" w:hAnsi="Times New Roman" w:eastAsia="黑体" w:cs="Times New Roman"/>
              <w:szCs w:val="28"/>
              <w:highlight w:val="none"/>
              <w:lang w:val="en-US" w:eastAsia="zh-CN"/>
            </w:rPr>
            <w:t>电磁屏蔽设计</w:t>
          </w:r>
          <w:r>
            <w:tab/>
          </w:r>
          <w:r>
            <w:fldChar w:fldCharType="begin"/>
          </w:r>
          <w:r>
            <w:instrText xml:space="preserve"> PAGEREF _Toc881033183 \h </w:instrText>
          </w:r>
          <w:r>
            <w:fldChar w:fldCharType="separate"/>
          </w:r>
          <w:r>
            <w:t>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B166590">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_Toc624960616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3.5. </w:t>
          </w:r>
          <w:r>
            <w:rPr>
              <w:rFonts w:hint="eastAsia" w:ascii="Times New Roman" w:hAnsi="Times New Roman" w:eastAsia="黑体" w:cs="Times New Roman"/>
              <w:szCs w:val="28"/>
              <w:highlight w:val="none"/>
              <w:lang w:val="en-US" w:eastAsia="zh-CN"/>
            </w:rPr>
            <w:t>电源选择</w:t>
          </w:r>
          <w:r>
            <w:tab/>
          </w:r>
          <w:r>
            <w:fldChar w:fldCharType="begin"/>
          </w:r>
          <w:r>
            <w:instrText xml:space="preserve"> PAGEREF _Toc624960616 \h </w:instrText>
          </w:r>
          <w:r>
            <w:fldChar w:fldCharType="separate"/>
          </w:r>
          <w:r>
            <w:t>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16D38E5">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_Toc370555635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4. </w:t>
          </w:r>
          <w:r>
            <w:rPr>
              <w:rFonts w:hint="eastAsia" w:eastAsia="黑体" w:cs="Times New Roman"/>
              <w:szCs w:val="32"/>
              <w:highlight w:val="none"/>
              <w:lang w:val="en-US" w:eastAsia="zh-CN"/>
            </w:rPr>
            <w:t>系统标定与量化模型</w:t>
          </w:r>
          <w:r>
            <w:tab/>
          </w:r>
          <w:r>
            <w:fldChar w:fldCharType="begin"/>
          </w:r>
          <w:r>
            <w:instrText xml:space="preserve"> PAGEREF _Toc370555635 \h </w:instrText>
          </w:r>
          <w:r>
            <w:fldChar w:fldCharType="separate"/>
          </w:r>
          <w:r>
            <w:t>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EA6FF1C">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_Toc225981145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4.1. </w:t>
          </w:r>
          <w:r>
            <w:rPr>
              <w:rFonts w:hint="eastAsia" w:ascii="Times New Roman" w:hAnsi="Times New Roman" w:eastAsia="黑体" w:cs="Times New Roman"/>
              <w:szCs w:val="28"/>
              <w:highlight w:val="none"/>
              <w:lang w:val="en-US" w:eastAsia="zh-CN"/>
            </w:rPr>
            <w:t>悬丝扭转劲度系数</w:t>
          </w:r>
          <m:oMath>
            <m:r>
              <m:rPr>
                <m:sty m:val="p"/>
              </m:rPr>
              <w:rPr>
                <w:rFonts w:hint="default" w:ascii="Times New Roman" w:hAnsi="Times New Roman" w:eastAsia="黑体" w:cs="Times New Roman"/>
                <w:szCs w:val="28"/>
                <w:highlight w:val="none"/>
                <w:lang w:val="en-US" w:eastAsia="zh-CN"/>
              </w:rPr>
              <m:t>k</m:t>
            </m:r>
          </m:oMath>
          <w:r>
            <w:rPr>
              <w:rFonts w:hint="eastAsia" w:ascii="Times New Roman" w:hAnsi="Times New Roman" w:eastAsia="黑体" w:cs="Times New Roman"/>
              <w:szCs w:val="28"/>
              <w:highlight w:val="none"/>
              <w:lang w:val="en-US" w:eastAsia="zh-CN"/>
            </w:rPr>
            <w:t>的静态标定</w:t>
          </w:r>
          <w:r>
            <w:tab/>
          </w:r>
          <w:r>
            <w:fldChar w:fldCharType="begin"/>
          </w:r>
          <w:r>
            <w:instrText xml:space="preserve"> PAGEREF _Toc225981145 \h </w:instrText>
          </w:r>
          <w:r>
            <w:fldChar w:fldCharType="separate"/>
          </w:r>
          <w:r>
            <w:t>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D5F1CAD">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_Toc1314016119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4.2. </w:t>
          </w:r>
          <w:r>
            <w:rPr>
              <w:rFonts w:hint="eastAsia" w:ascii="Times New Roman" w:hAnsi="Times New Roman" w:eastAsia="黑体" w:cs="Times New Roman"/>
              <w:szCs w:val="28"/>
              <w:highlight w:val="none"/>
              <w:lang w:val="en-US" w:eastAsia="zh-CN"/>
            </w:rPr>
            <w:t>信号量化模型与反推算法</w:t>
          </w:r>
          <w:r>
            <w:tab/>
          </w:r>
          <w:r>
            <w:fldChar w:fldCharType="begin"/>
          </w:r>
          <w:r>
            <w:instrText xml:space="preserve"> PAGEREF _Toc1314016119 \h </w:instrText>
          </w:r>
          <w:r>
            <w:fldChar w:fldCharType="separate"/>
          </w:r>
          <w:r>
            <w:t>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B27A0F5">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_Toc2094569932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4.3. </w:t>
          </w:r>
          <w:r>
            <w:rPr>
              <w:rFonts w:hint="eastAsia" w:ascii="Times New Roman" w:hAnsi="Times New Roman" w:eastAsia="黑体" w:cs="Times New Roman"/>
              <w:szCs w:val="28"/>
              <w:highlight w:val="none"/>
              <w:lang w:val="en-US" w:eastAsia="zh-CN"/>
            </w:rPr>
            <w:t>机械谐振选频特性分析</w:t>
          </w:r>
          <w:r>
            <w:tab/>
          </w:r>
          <w:r>
            <w:fldChar w:fldCharType="begin"/>
          </w:r>
          <w:r>
            <w:instrText xml:space="preserve"> PAGEREF _Toc2094569932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B7606FD">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_Toc1884905500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5. </w:t>
          </w:r>
          <w:r>
            <w:rPr>
              <w:rFonts w:hint="eastAsia" w:ascii="Times New Roman" w:hAnsi="Times New Roman" w:eastAsia="黑体" w:cs="Times New Roman"/>
              <w:szCs w:val="32"/>
              <w:highlight w:val="none"/>
              <w:lang w:val="en-US" w:eastAsia="zh-CN"/>
            </w:rPr>
            <w:t>软件系统设计</w:t>
          </w:r>
          <w:r>
            <w:tab/>
          </w:r>
          <w:r>
            <w:fldChar w:fldCharType="begin"/>
          </w:r>
          <w:r>
            <w:instrText xml:space="preserve"> PAGEREF _Toc1884905500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9183DFE">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_Toc2075461603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5.1. </w:t>
          </w:r>
          <w:r>
            <w:rPr>
              <w:rFonts w:hint="eastAsia" w:ascii="Times New Roman" w:hAnsi="Times New Roman" w:eastAsia="黑体" w:cs="Times New Roman"/>
              <w:szCs w:val="28"/>
              <w:highlight w:val="none"/>
              <w:lang w:val="en-US" w:eastAsia="zh-CN"/>
            </w:rPr>
            <w:t>数据</w:t>
          </w:r>
          <w:r>
            <w:rPr>
              <w:rFonts w:hint="eastAsia" w:eastAsia="黑体" w:cs="Times New Roman"/>
              <w:szCs w:val="28"/>
              <w:highlight w:val="none"/>
              <w:lang w:val="en-US" w:eastAsia="zh-CN"/>
            </w:rPr>
            <w:t>换算</w:t>
          </w:r>
          <w:r>
            <w:rPr>
              <w:rFonts w:hint="eastAsia" w:ascii="Times New Roman" w:hAnsi="Times New Roman" w:eastAsia="黑体" w:cs="Times New Roman"/>
              <w:szCs w:val="28"/>
              <w:highlight w:val="none"/>
              <w:lang w:val="en-US" w:eastAsia="zh-CN"/>
            </w:rPr>
            <w:t>算法</w:t>
          </w:r>
          <w:r>
            <w:tab/>
          </w:r>
          <w:r>
            <w:fldChar w:fldCharType="begin"/>
          </w:r>
          <w:r>
            <w:instrText xml:space="preserve"> PAGEREF _Toc2075461603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1019893">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_Toc706283400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5.2. </w:t>
          </w:r>
          <w:r>
            <w:rPr>
              <w:rFonts w:hint="eastAsia" w:ascii="Times New Roman" w:hAnsi="Times New Roman" w:eastAsia="黑体" w:cs="Times New Roman"/>
              <w:szCs w:val="28"/>
              <w:highlight w:val="none"/>
              <w:lang w:val="en-US" w:eastAsia="zh-CN"/>
            </w:rPr>
            <w:t>数字降噪算法</w:t>
          </w:r>
          <w:r>
            <w:tab/>
          </w:r>
          <w:r>
            <w:fldChar w:fldCharType="begin"/>
          </w:r>
          <w:r>
            <w:instrText xml:space="preserve"> PAGEREF _Toc706283400 \h </w:instrText>
          </w:r>
          <w:r>
            <w:fldChar w:fldCharType="separate"/>
          </w:r>
          <w:r>
            <w:t>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39ECF20">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_Toc1362986831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5.3. </w:t>
          </w:r>
          <w:r>
            <w:rPr>
              <w:rFonts w:hint="eastAsia" w:ascii="Times New Roman" w:hAnsi="Times New Roman" w:eastAsia="黑体" w:cs="Times New Roman"/>
              <w:szCs w:val="28"/>
              <w:highlight w:val="none"/>
              <w:lang w:val="en-US" w:eastAsia="zh-CN"/>
            </w:rPr>
            <w:t>显示界面设计</w:t>
          </w:r>
          <w:r>
            <w:tab/>
          </w:r>
          <w:r>
            <w:fldChar w:fldCharType="begin"/>
          </w:r>
          <w:r>
            <w:instrText xml:space="preserve"> PAGEREF _Toc1362986831 \h </w:instrText>
          </w:r>
          <w:r>
            <w:fldChar w:fldCharType="separate"/>
          </w:r>
          <w:r>
            <w:t>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DE6509A">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_Toc511606068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6. </w:t>
          </w:r>
          <w:r>
            <w:rPr>
              <w:rFonts w:hint="eastAsia" w:eastAsia="黑体" w:cs="Times New Roman"/>
              <w:szCs w:val="32"/>
              <w:highlight w:val="none"/>
              <w:lang w:val="en-US" w:eastAsia="zh-CN"/>
            </w:rPr>
            <w:t>实验预算分析</w:t>
          </w:r>
          <w:r>
            <w:tab/>
          </w:r>
          <w:r>
            <w:fldChar w:fldCharType="begin"/>
          </w:r>
          <w:r>
            <w:instrText xml:space="preserve"> PAGEREF _Toc511606068 \h </w:instrText>
          </w:r>
          <w:r>
            <w:fldChar w:fldCharType="separate"/>
          </w:r>
          <w:r>
            <w:t>9</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EB0F4D">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_Toc38662288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6.1. </w:t>
          </w:r>
          <w:r>
            <w:rPr>
              <w:rFonts w:hint="eastAsia" w:eastAsia="黑体" w:cs="Times New Roman"/>
              <w:szCs w:val="28"/>
              <w:highlight w:val="none"/>
              <w:lang w:val="en-US" w:eastAsia="zh-CN"/>
            </w:rPr>
            <w:t>实验成本展示与分析</w:t>
          </w:r>
          <w:r>
            <w:tab/>
          </w:r>
          <w:r>
            <w:fldChar w:fldCharType="begin"/>
          </w:r>
          <w:r>
            <w:instrText xml:space="preserve"> PAGEREF _Toc38662288 \h </w:instrText>
          </w:r>
          <w:r>
            <w:fldChar w:fldCharType="separate"/>
          </w:r>
          <w:r>
            <w:t>9</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CD6E369">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_Toc1821225215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6.2. </w:t>
          </w:r>
          <w:r>
            <w:rPr>
              <w:rFonts w:hint="eastAsia" w:eastAsia="黑体" w:cs="Times New Roman"/>
              <w:szCs w:val="28"/>
              <w:highlight w:val="none"/>
              <w:lang w:val="en-US" w:eastAsia="zh-CN"/>
            </w:rPr>
            <w:t>实验经济学结论</w:t>
          </w:r>
          <w:r>
            <w:tab/>
          </w:r>
          <w:r>
            <w:fldChar w:fldCharType="begin"/>
          </w:r>
          <w:r>
            <w:instrText xml:space="preserve"> PAGEREF _Toc1821225215 \h </w:instrText>
          </w:r>
          <w:r>
            <w:fldChar w:fldCharType="separate"/>
          </w:r>
          <w:r>
            <w:t>10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684316C">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_Toc1247767814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7. </w:t>
          </w:r>
          <w:r>
            <w:rPr>
              <w:rFonts w:hint="eastAsia" w:ascii="Times New Roman" w:hAnsi="Times New Roman" w:eastAsia="黑体" w:cs="Times New Roman"/>
              <w:szCs w:val="32"/>
              <w:highlight w:val="none"/>
              <w:lang w:val="en-US" w:eastAsia="zh-CN"/>
            </w:rPr>
            <w:t>系统校准与性能测试</w:t>
          </w:r>
          <w:r>
            <w:tab/>
          </w:r>
          <w:r>
            <w:fldChar w:fldCharType="begin"/>
          </w:r>
          <w:r>
            <w:instrText xml:space="preserve"> PAGEREF _Toc1247767814 \h </w:instrText>
          </w:r>
          <w:r>
            <w:fldChar w:fldCharType="separate"/>
          </w:r>
          <w:r>
            <w:t>10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3A7542B">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_Toc1055836943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7.1. </w:t>
          </w:r>
          <w:r>
            <w:rPr>
              <w:rFonts w:hint="eastAsia" w:ascii="Times New Roman" w:hAnsi="Times New Roman" w:eastAsia="黑体" w:cs="Times New Roman"/>
              <w:szCs w:val="28"/>
              <w:highlight w:val="none"/>
              <w:lang w:val="en-US" w:eastAsia="zh-CN"/>
            </w:rPr>
            <w:t>校准方法</w:t>
          </w:r>
          <w:r>
            <w:tab/>
          </w:r>
          <w:r>
            <w:fldChar w:fldCharType="begin"/>
          </w:r>
          <w:r>
            <w:instrText xml:space="preserve"> PAGEREF _Toc1055836943 \h </w:instrText>
          </w:r>
          <w:r>
            <w:fldChar w:fldCharType="separate"/>
          </w:r>
          <w:r>
            <w:t>10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6D335A2">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_Toc794125840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7.2. </w:t>
          </w:r>
          <w:r>
            <w:rPr>
              <w:rFonts w:hint="eastAsia" w:ascii="Times New Roman" w:hAnsi="Times New Roman" w:eastAsia="黑体" w:cs="Times New Roman"/>
              <w:szCs w:val="28"/>
              <w:highlight w:val="none"/>
              <w:lang w:val="en-US" w:eastAsia="zh-CN"/>
            </w:rPr>
            <w:t>线性度验证</w:t>
          </w:r>
          <w:r>
            <w:tab/>
          </w:r>
          <w:r>
            <w:fldChar w:fldCharType="begin"/>
          </w:r>
          <w:r>
            <w:instrText xml:space="preserve"> PAGEREF _Toc794125840 \h </w:instrText>
          </w:r>
          <w:r>
            <w:fldChar w:fldCharType="separate"/>
          </w:r>
          <w:r>
            <w:t>11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FAEAEDB">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_Toc262126775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7.3. </w:t>
          </w:r>
          <w:r>
            <w:rPr>
              <w:rFonts w:hint="eastAsia" w:ascii="Times New Roman" w:hAnsi="Times New Roman" w:eastAsia="黑体" w:cs="Times New Roman"/>
              <w:szCs w:val="28"/>
              <w:highlight w:val="none"/>
              <w:lang w:val="en-US" w:eastAsia="zh-CN"/>
            </w:rPr>
            <w:t>稳定性测试</w:t>
          </w:r>
          <w:r>
            <w:tab/>
          </w:r>
          <w:r>
            <w:fldChar w:fldCharType="begin"/>
          </w:r>
          <w:r>
            <w:instrText xml:space="preserve"> PAGEREF _Toc262126775 \h </w:instrText>
          </w:r>
          <w:r>
            <w:fldChar w:fldCharType="separate"/>
          </w:r>
          <w:r>
            <w:t>11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5439632">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_Toc1075747428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8. </w:t>
          </w:r>
          <w:r>
            <w:rPr>
              <w:rFonts w:hint="eastAsia" w:ascii="Times New Roman" w:hAnsi="Times New Roman" w:eastAsia="黑体" w:cs="Times New Roman"/>
              <w:szCs w:val="32"/>
              <w:highlight w:val="none"/>
              <w:lang w:val="en-US" w:eastAsia="zh-CN"/>
            </w:rPr>
            <w:t>误差分析与不确定度评估</w:t>
          </w:r>
          <w:r>
            <w:tab/>
          </w:r>
          <w:r>
            <w:fldChar w:fldCharType="begin"/>
          </w:r>
          <w:r>
            <w:instrText xml:space="preserve"> PAGEREF _Toc1075747428 \h </w:instrText>
          </w:r>
          <w:r>
            <w:fldChar w:fldCharType="separate"/>
          </w:r>
          <w:r>
            <w:t>12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92BA44C">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_Toc422198303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8.1. </w:t>
          </w:r>
          <w:r>
            <w:rPr>
              <w:rFonts w:hint="eastAsia" w:ascii="Times New Roman" w:hAnsi="Times New Roman" w:eastAsia="黑体" w:cs="Times New Roman"/>
              <w:szCs w:val="28"/>
              <w:highlight w:val="none"/>
              <w:lang w:val="en-US" w:eastAsia="zh-CN"/>
            </w:rPr>
            <w:t>误差来源分析</w:t>
          </w:r>
          <w:r>
            <w:tab/>
          </w:r>
          <w:r>
            <w:fldChar w:fldCharType="begin"/>
          </w:r>
          <w:r>
            <w:instrText xml:space="preserve"> PAGEREF _Toc422198303 \h </w:instrText>
          </w:r>
          <w:r>
            <w:fldChar w:fldCharType="separate"/>
          </w:r>
          <w:r>
            <w:t>12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46091EC">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_Toc600908833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8.2. </w:t>
          </w:r>
          <w:r>
            <w:rPr>
              <w:rFonts w:hint="eastAsia" w:ascii="Times New Roman" w:hAnsi="Times New Roman" w:eastAsia="黑体" w:cs="Times New Roman"/>
              <w:szCs w:val="28"/>
              <w:highlight w:val="none"/>
              <w:lang w:val="en-US" w:eastAsia="zh-CN"/>
            </w:rPr>
            <w:t>不确定度计算模型</w:t>
          </w:r>
          <w:r>
            <w:tab/>
          </w:r>
          <w:r>
            <w:fldChar w:fldCharType="begin"/>
          </w:r>
          <w:r>
            <w:instrText xml:space="preserve"> PAGEREF _Toc600908833 \h </w:instrText>
          </w:r>
          <w:r>
            <w:fldChar w:fldCharType="separate"/>
          </w:r>
          <w:r>
            <w:t>12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8BBCAB2">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_Toc2006648037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8.3. </w:t>
          </w:r>
          <w:r>
            <w:rPr>
              <w:rFonts w:hint="eastAsia" w:ascii="Times New Roman" w:hAnsi="Times New Roman" w:eastAsia="黑体" w:cs="Times New Roman"/>
              <w:szCs w:val="28"/>
              <w:highlight w:val="none"/>
              <w:lang w:val="en-US" w:eastAsia="zh-CN"/>
            </w:rPr>
            <w:t>提升测量精度提升策略</w:t>
          </w:r>
          <w:r>
            <w:tab/>
          </w:r>
          <w:r>
            <w:fldChar w:fldCharType="begin"/>
          </w:r>
          <w:r>
            <w:instrText xml:space="preserve"> PAGEREF _Toc2006648037 \h </w:instrText>
          </w:r>
          <w:r>
            <w:fldChar w:fldCharType="separate"/>
          </w:r>
          <w:r>
            <w:t>13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E4C2114">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_Toc792005745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9. </w:t>
          </w:r>
          <w:r>
            <w:rPr>
              <w:rFonts w:hint="eastAsia" w:ascii="Times New Roman" w:hAnsi="Times New Roman" w:eastAsia="黑体" w:cs="Times New Roman"/>
              <w:szCs w:val="32"/>
              <w:highlight w:val="none"/>
              <w:lang w:val="en-US" w:eastAsia="zh-CN"/>
            </w:rPr>
            <w:t>应用案例与效果分析</w:t>
          </w:r>
          <w:r>
            <w:tab/>
          </w:r>
          <w:r>
            <w:fldChar w:fldCharType="begin"/>
          </w:r>
          <w:r>
            <w:instrText xml:space="preserve"> PAGEREF _Toc792005745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2216CEA">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_Toc1136912109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9.1. </w:t>
          </w:r>
          <w:r>
            <w:rPr>
              <w:rFonts w:hint="eastAsia" w:ascii="Times New Roman" w:hAnsi="Times New Roman" w:eastAsia="黑体" w:cs="Times New Roman"/>
              <w:szCs w:val="28"/>
              <w:highlight w:val="none"/>
              <w:lang w:val="en-US" w:eastAsia="zh-CN"/>
            </w:rPr>
            <w:t>光电效应实验</w:t>
          </w:r>
          <w:r>
            <w:tab/>
          </w:r>
          <w:r>
            <w:fldChar w:fldCharType="begin"/>
          </w:r>
          <w:r>
            <w:instrText xml:space="preserve"> PAGEREF _Toc1136912109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F5E15DC">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_Toc1919808604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9.2. </w:t>
          </w:r>
          <w:r>
            <w:rPr>
              <w:rFonts w:hint="eastAsia" w:ascii="Times New Roman" w:hAnsi="Times New Roman" w:eastAsia="黑体" w:cs="Times New Roman"/>
              <w:szCs w:val="28"/>
              <w:highlight w:val="none"/>
              <w:lang w:val="en-US" w:eastAsia="zh-CN"/>
            </w:rPr>
            <w:t>微弱光探测</w:t>
          </w:r>
          <w:r>
            <w:tab/>
          </w:r>
          <w:r>
            <w:fldChar w:fldCharType="begin"/>
          </w:r>
          <w:r>
            <w:instrText xml:space="preserve"> PAGEREF _Toc1919808604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4DEE2A4">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_Toc281411253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9.3. </w:t>
          </w:r>
          <w:r>
            <w:rPr>
              <w:rFonts w:hint="eastAsia" w:ascii="Times New Roman" w:hAnsi="Times New Roman" w:eastAsia="黑体" w:cs="Times New Roman"/>
              <w:szCs w:val="28"/>
              <w:highlight w:val="none"/>
              <w:lang w:val="en-US" w:eastAsia="zh-CN"/>
            </w:rPr>
            <w:t>材料光电特性测试</w:t>
          </w:r>
          <w:r>
            <w:tab/>
          </w:r>
          <w:r>
            <w:fldChar w:fldCharType="begin"/>
          </w:r>
          <w:r>
            <w:instrText xml:space="preserve"> PAGEREF _Toc281411253 \h </w:instrText>
          </w:r>
          <w:r>
            <w:fldChar w:fldCharType="separate"/>
          </w:r>
          <w:r>
            <w:t>15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9FFCB4D">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_Toc919938477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10. </w:t>
          </w:r>
          <w:r>
            <w:rPr>
              <w:rFonts w:hint="eastAsia" w:ascii="Times New Roman" w:hAnsi="Times New Roman" w:eastAsia="黑体" w:cs="Times New Roman"/>
              <w:szCs w:val="32"/>
              <w:highlight w:val="none"/>
              <w:lang w:val="en-US" w:eastAsia="zh-CN"/>
            </w:rPr>
            <w:t>系统局限性讨论</w:t>
          </w:r>
          <w:r>
            <w:tab/>
          </w:r>
          <w:r>
            <w:fldChar w:fldCharType="begin"/>
          </w:r>
          <w:r>
            <w:instrText xml:space="preserve"> PAGEREF _Toc919938477 \h </w:instrText>
          </w:r>
          <w:r>
            <w:fldChar w:fldCharType="separate"/>
          </w:r>
          <w:r>
            <w:t>16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27A2765">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_Toc1671208186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10.1. </w:t>
          </w:r>
          <w:r>
            <w:rPr>
              <w:rFonts w:hint="eastAsia" w:ascii="Times New Roman" w:hAnsi="Times New Roman" w:eastAsia="黑体" w:cs="Times New Roman"/>
              <w:szCs w:val="28"/>
              <w:highlight w:val="none"/>
              <w:lang w:val="en-US" w:eastAsia="zh-CN"/>
            </w:rPr>
            <w:t>性能局限性</w:t>
          </w:r>
          <w:r>
            <w:tab/>
          </w:r>
          <w:r>
            <w:fldChar w:fldCharType="begin"/>
          </w:r>
          <w:r>
            <w:instrText xml:space="preserve"> PAGEREF _Toc1671208186 \h </w:instrText>
          </w:r>
          <w:r>
            <w:fldChar w:fldCharType="separate"/>
          </w:r>
          <w:r>
            <w:t>16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F19C2BC">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_Toc1057362989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10.2. </w:t>
          </w:r>
          <w:r>
            <w:rPr>
              <w:rFonts w:hint="eastAsia" w:ascii="Times New Roman" w:hAnsi="Times New Roman" w:eastAsia="黑体" w:cs="Times New Roman"/>
              <w:szCs w:val="28"/>
              <w:highlight w:val="none"/>
              <w:lang w:val="en-US" w:eastAsia="zh-CN"/>
            </w:rPr>
            <w:t>应用局限性</w:t>
          </w:r>
          <w:r>
            <w:tab/>
          </w:r>
          <w:r>
            <w:fldChar w:fldCharType="begin"/>
          </w:r>
          <w:r>
            <w:instrText xml:space="preserve"> PAGEREF _Toc1057362989 \h </w:instrText>
          </w:r>
          <w:r>
            <w:fldChar w:fldCharType="separate"/>
          </w:r>
          <w:r>
            <w:t>16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8F01294">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_Toc672577198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10.3. </w:t>
          </w:r>
          <w:r>
            <w:rPr>
              <w:rFonts w:hint="eastAsia" w:ascii="Times New Roman" w:hAnsi="Times New Roman" w:eastAsia="黑体" w:cs="Times New Roman"/>
              <w:szCs w:val="28"/>
              <w:highlight w:val="none"/>
              <w:lang w:val="en-US" w:eastAsia="zh-CN"/>
            </w:rPr>
            <w:t>技术局限性</w:t>
          </w:r>
          <w:r>
            <w:tab/>
          </w:r>
          <w:r>
            <w:fldChar w:fldCharType="begin"/>
          </w:r>
          <w:r>
            <w:instrText xml:space="preserve"> PAGEREF _Toc672577198 \h </w:instrText>
          </w:r>
          <w:r>
            <w:fldChar w:fldCharType="separate"/>
          </w:r>
          <w:r>
            <w:t>16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B14DE51">
          <w:pPr>
            <w:pStyle w:val="16"/>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_Toc1798532625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32"/>
              <w:lang w:val="en-US" w:eastAsia="zh-CN"/>
            </w:rPr>
            <w:t xml:space="preserve">11. </w:t>
          </w:r>
          <w:r>
            <w:rPr>
              <w:rFonts w:hint="eastAsia" w:ascii="Times New Roman" w:hAnsi="Times New Roman" w:eastAsia="黑体" w:cs="Times New Roman"/>
              <w:szCs w:val="32"/>
              <w:highlight w:val="none"/>
              <w:lang w:val="en-US" w:eastAsia="zh-CN"/>
            </w:rPr>
            <w:t>结论与展望</w:t>
          </w:r>
          <w:r>
            <w:tab/>
          </w:r>
          <w:r>
            <w:fldChar w:fldCharType="begin"/>
          </w:r>
          <w:r>
            <w:instrText xml:space="preserve"> PAGEREF _Toc1798532625 \h </w:instrText>
          </w:r>
          <w:r>
            <w:fldChar w:fldCharType="separate"/>
          </w:r>
          <w:r>
            <w:t>17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031B5D3">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_Toc2105496850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szCs w:val="28"/>
              <w:shd w:val="clear" w:fill="FFFFFF"/>
            </w:rPr>
            <w:t xml:space="preserve">11.1. </w:t>
          </w:r>
          <w:r>
            <w:rPr>
              <w:rFonts w:hint="eastAsia" w:ascii="Times New Roman" w:hAnsi="Times New Roman" w:eastAsia="黑体" w:cs="Times New Roman"/>
              <w:szCs w:val="28"/>
              <w:highlight w:val="none"/>
              <w:lang w:val="en-US" w:eastAsia="zh-CN"/>
            </w:rPr>
            <w:t>研究结论</w:t>
          </w:r>
          <w:r>
            <w:tab/>
          </w:r>
          <w:r>
            <w:fldChar w:fldCharType="begin"/>
          </w:r>
          <w:r>
            <w:instrText xml:space="preserve"> PAGEREF _Toc2105496850 \h </w:instrText>
          </w:r>
          <w:r>
            <w:fldChar w:fldCharType="separate"/>
          </w:r>
          <w:r>
            <w:t>17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733AC38">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_Toc850022684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11.2. </w:t>
          </w:r>
          <w:r>
            <w:rPr>
              <w:rFonts w:hint="eastAsia" w:ascii="Times New Roman" w:hAnsi="Times New Roman" w:eastAsia="黑体" w:cs="Times New Roman"/>
              <w:szCs w:val="28"/>
              <w:highlight w:val="none"/>
              <w:lang w:val="en-US" w:eastAsia="zh-CN"/>
            </w:rPr>
            <w:t>研究创新点</w:t>
          </w:r>
          <w:r>
            <w:tab/>
          </w:r>
          <w:r>
            <w:fldChar w:fldCharType="begin"/>
          </w:r>
          <w:r>
            <w:instrText xml:space="preserve"> PAGEREF _Toc850022684 \h </w:instrText>
          </w:r>
          <w:r>
            <w:fldChar w:fldCharType="separate"/>
          </w:r>
          <w:r>
            <w:t>17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7686BBB">
          <w:pPr>
            <w:pStyle w:val="19"/>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_Toc1270030144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szCs w:val="28"/>
              <w:lang w:val="en-US" w:eastAsia="zh-CN"/>
            </w:rPr>
            <w:t xml:space="preserve">11.3. </w:t>
          </w:r>
          <w:r>
            <w:rPr>
              <w:rFonts w:hint="eastAsia" w:ascii="Times New Roman" w:hAnsi="Times New Roman" w:eastAsia="黑体" w:cs="Times New Roman"/>
              <w:szCs w:val="28"/>
              <w:highlight w:val="none"/>
              <w:lang w:val="en-US" w:eastAsia="zh-CN"/>
            </w:rPr>
            <w:t>未来展望</w:t>
          </w:r>
          <w:r>
            <w:tab/>
          </w:r>
          <w:r>
            <w:fldChar w:fldCharType="begin"/>
          </w:r>
          <w:r>
            <w:instrText xml:space="preserve"> PAGEREF _Toc1270030144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293BA96">
          <w:pPr>
            <w:spacing w:before="0" w:beforeLines="0" w:after="0" w:afterLines="0" w:line="240" w:lineRule="auto"/>
            <w:ind w:left="0" w:leftChars="0" w:right="0" w:rightChars="0" w:firstLine="0" w:firstLineChars="0"/>
            <w:jc w:val="both"/>
            <w:rPr>
              <w:rFonts w:ascii="Times New Roman" w:hAnsi="Times New Roman" w:eastAsia="宋体" w:cs="Times New Roman"/>
              <w:color w:val="auto"/>
              <w:kern w:val="2"/>
              <w:sz w:val="21"/>
              <w:szCs w:val="24"/>
              <w:highlight w:val="none"/>
              <w:lang w:val="en-US" w:eastAsia="zh-CN" w:bidi="ar-SA"/>
            </w:rPr>
            <w:sectPr>
              <w:headerReference r:id="rId5" w:type="default"/>
              <w:footerReference r:id="rId6" w:type="default"/>
              <w:footerReference r:id="rId7" w:type="even"/>
              <w:pgSz w:w="11906" w:h="16838"/>
              <w:pgMar w:top="1213" w:right="1083" w:bottom="1083" w:left="1440" w:header="850" w:footer="992" w:gutter="0"/>
              <w:pgBorders>
                <w:top w:val="none" w:sz="0" w:space="0"/>
                <w:left w:val="none" w:sz="0" w:space="0"/>
                <w:bottom w:val="none" w:sz="0" w:space="0"/>
                <w:right w:val="none" w:sz="0" w:space="0"/>
              </w:pgBorders>
              <w:pgNumType w:fmt="upperRoman" w:start="1"/>
              <w:cols w:space="720" w:num="1"/>
              <w:rtlGutter w:val="0"/>
              <w:docGrid w:type="lines" w:linePitch="322" w:charSpace="0"/>
            </w:sectPr>
          </w:pPr>
          <w:r>
            <w:rPr>
              <w:rFonts w:ascii="Times New Roman" w:hAnsi="Times New Roman" w:eastAsia="宋体" w:cs="Times New Roman"/>
              <w:color w:val="auto"/>
              <w:kern w:val="2"/>
              <w:szCs w:val="24"/>
              <w:highlight w:val="none"/>
              <w:lang w:val="en-US" w:eastAsia="zh-CN" w:bidi="ar-SA"/>
            </w:rPr>
            <w:fldChar w:fldCharType="end"/>
          </w:r>
        </w:p>
      </w:sdtContent>
    </w:sdt>
    <w:bookmarkEnd w:id="25"/>
    <w:p w14:paraId="7F4192BC">
      <w:pPr>
        <w:numPr>
          <w:ilvl w:val="0"/>
          <w:numId w:val="1"/>
        </w:numPr>
        <w:spacing w:line="360" w:lineRule="auto"/>
        <w:ind w:left="425" w:leftChars="0" w:hanging="425" w:firstLineChars="0"/>
        <w:jc w:val="left"/>
        <w:outlineLvl w:val="0"/>
        <w:rPr>
          <w:rStyle w:val="31"/>
          <w:rFonts w:hint="eastAsia" w:eastAsia="黑体"/>
          <w:color w:val="auto"/>
          <w:sz w:val="32"/>
          <w:szCs w:val="32"/>
          <w:highlight w:val="none"/>
          <w:lang w:val="en-US" w:eastAsia="zh-CN"/>
        </w:rPr>
      </w:pPr>
      <w:bookmarkStart w:id="32" w:name="_Toc1010903481"/>
      <w:bookmarkStart w:id="33" w:name="_Toc485224738"/>
      <w:bookmarkStart w:id="34" w:name="_Toc1339668345"/>
      <w:bookmarkStart w:id="35" w:name="_Toc1817611038"/>
      <w:r>
        <w:rPr>
          <w:rStyle w:val="31"/>
          <w:rFonts w:hint="eastAsia" w:eastAsia="黑体"/>
          <w:color w:val="auto"/>
          <w:sz w:val="32"/>
          <w:szCs w:val="32"/>
          <w:highlight w:val="none"/>
          <w:lang w:val="en-US" w:eastAsia="zh-CN"/>
        </w:rPr>
        <w:t>引言</w:t>
      </w:r>
      <w:bookmarkEnd w:id="32"/>
      <w:bookmarkEnd w:id="33"/>
      <w:bookmarkEnd w:id="34"/>
      <w:bookmarkEnd w:id="35"/>
    </w:p>
    <w:p w14:paraId="07EF65D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实际工程和物理实验中，如何测量微弱电信号一直是一个比较困难的问题。随着通信技术和传感技术的发展，对信号测量精度的要求越来越高，尤其是在纳安量级甚至更小的电信号检测中，传统仪器往往容易受到环境干扰，测量结果不稳定。同时，单纯依赖电子放大的方法在高增益条件下容易引入噪声，影响最终测量精度。</w:t>
      </w:r>
    </w:p>
    <w:p w14:paraId="48A3060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了解决这些问题，一种比较有效的思路是将物理放大方法与电子测量技术结合起来。单纯依赖电子放大的方法在高增益条件下会同时放大信号与噪声，信噪比难以提升。相比之下，物理放大在信号转换阶段不引入电学噪声，可将微弱变化转化为可观测位移，再用电学手段读取，从而在原理上规避了前置放大器的噪声瓶颈。例如，通过光杠杆原理可以将非常微小的变化放大为可观测的位移，再配合传感器进行检测，可以在一定程度上提高测量灵敏度。同时，嵌入式系统的发展也使得数据处理更加灵活，可以在较低成本的条件下实现较复杂的算法处理。</w:t>
      </w:r>
    </w:p>
    <w:p w14:paraId="5C0D0D8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基于上述思路，本文设计了一套基于Arduino的微弱电信号测量系统。系统通过悬丝结构实现力学放大，并利用光学方法进一步放大信号变化，再通过电路和程序对信号进行采集与处理。在此基础上，通过算法优化和抗干扰设计来提高系统稳定性。</w:t>
      </w:r>
    </w:p>
    <w:p w14:paraId="01EFDC2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本文主要从系统设计、硬件实现、软件处理、标定方法以及误差分析等方面进行介绍，并对系统成本、应用效果和存在的问题进行了讨论。希望为低成本条件下的微弱信号测量提供一种可行方案。</w:t>
      </w:r>
    </w:p>
    <w:p w14:paraId="507F3334">
      <w:pPr>
        <w:rPr>
          <w:rFonts w:hint="eastAsia" w:ascii="Times New Roman" w:hAnsi="Times New Roman" w:eastAsia="宋体" w:cs="Times New Roman"/>
          <w:color w:val="auto"/>
          <w:sz w:val="24"/>
          <w:highlight w:val="none"/>
          <w:lang w:val="en-US" w:eastAsia="zh-CN"/>
        </w:rPr>
      </w:pPr>
    </w:p>
    <w:bookmarkEnd w:id="26"/>
    <w:bookmarkEnd w:id="27"/>
    <w:bookmarkEnd w:id="28"/>
    <w:bookmarkEnd w:id="29"/>
    <w:bookmarkEnd w:id="30"/>
    <w:bookmarkEnd w:id="31"/>
    <w:p w14:paraId="383139D2">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36" w:name="_Toc1511673750"/>
      <w:bookmarkStart w:id="37" w:name="_Toc633837091"/>
      <w:bookmarkStart w:id="38" w:name="_Toc1176763907"/>
      <w:bookmarkStart w:id="39" w:name="_Toc1587319267"/>
      <w:r>
        <w:rPr>
          <w:rStyle w:val="31"/>
          <w:rFonts w:hint="eastAsia" w:ascii="Times New Roman" w:hAnsi="Times New Roman" w:eastAsia="黑体" w:cs="Times New Roman"/>
          <w:color w:val="auto"/>
          <w:sz w:val="32"/>
          <w:szCs w:val="32"/>
          <w:highlight w:val="none"/>
          <w:lang w:val="en-US" w:eastAsia="zh-CN"/>
        </w:rPr>
        <w:t>系统总体设计</w:t>
      </w:r>
      <w:bookmarkEnd w:id="36"/>
      <w:bookmarkEnd w:id="37"/>
      <w:bookmarkEnd w:id="38"/>
      <w:bookmarkEnd w:id="39"/>
    </w:p>
    <w:p w14:paraId="6E604E1C">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40" w:name="_Toc1969172240"/>
      <w:bookmarkStart w:id="41" w:name="_Toc2033057435"/>
      <w:bookmarkStart w:id="42" w:name="_Toc1381099317"/>
      <w:r>
        <w:rPr>
          <w:rStyle w:val="31"/>
          <w:rFonts w:hint="eastAsia" w:ascii="Times New Roman" w:hAnsi="Times New Roman" w:eastAsia="黑体" w:cs="Times New Roman"/>
          <w:color w:val="auto"/>
          <w:sz w:val="28"/>
          <w:szCs w:val="28"/>
          <w:highlight w:val="none"/>
          <w:lang w:val="en-US" w:eastAsia="zh-CN"/>
        </w:rPr>
        <w:t>系统架构</w:t>
      </w:r>
      <w:bookmarkEnd w:id="40"/>
      <w:bookmarkEnd w:id="41"/>
      <w:bookmarkEnd w:id="42"/>
    </w:p>
    <w:p w14:paraId="408D6D1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本系统采用模块化设计思想，将整个测量系统分为</w:t>
      </w:r>
      <w:r>
        <w:rPr>
          <w:rFonts w:hint="eastAsia" w:cs="Times New Roman"/>
          <w:color w:val="auto"/>
          <w:sz w:val="24"/>
          <w:highlight w:val="none"/>
          <w:lang w:val="en-US" w:eastAsia="zh-CN"/>
        </w:rPr>
        <w:t>四</w:t>
      </w:r>
      <w:r>
        <w:rPr>
          <w:rFonts w:hint="eastAsia" w:ascii="Times New Roman" w:hAnsi="Times New Roman" w:eastAsia="宋体" w:cs="Times New Roman"/>
          <w:color w:val="auto"/>
          <w:sz w:val="24"/>
          <w:highlight w:val="none"/>
          <w:lang w:val="en-US" w:eastAsia="zh-CN"/>
        </w:rPr>
        <w:t>个主要功能模块</w:t>
      </w:r>
      <w:r>
        <w:rPr>
          <w:rStyle w:val="32"/>
          <w:rFonts w:hint="eastAsia" w:ascii="Times New Roman" w:hAnsi="Times New Roman" w:eastAsia="宋体" w:cs="Times New Roman"/>
          <w:color w:val="auto"/>
          <w:sz w:val="24"/>
          <w:highlight w:val="none"/>
          <w:lang w:val="en-US" w:eastAsia="zh-CN"/>
        </w:rPr>
        <w:footnoteReference w:id="0"/>
      </w:r>
      <w:r>
        <w:rPr>
          <w:rFonts w:hint="eastAsia" w:ascii="Times New Roman" w:hAnsi="Times New Roman" w:eastAsia="宋体" w:cs="Times New Roman"/>
          <w:color w:val="auto"/>
          <w:sz w:val="24"/>
          <w:highlight w:val="none"/>
          <w:lang w:val="en-US" w:eastAsia="zh-CN"/>
        </w:rPr>
        <w:t>：数据采集模块、数据放大模块、数据处理模块和显示输出模块。</w:t>
      </w:r>
    </w:p>
    <w:p w14:paraId="057BAC8A">
      <w:pPr>
        <w:numPr>
          <w:ilvl w:val="0"/>
          <w:numId w:val="0"/>
        </w:numPr>
        <w:spacing w:line="360" w:lineRule="auto"/>
        <w:ind w:leftChars="0" w:firstLine="480" w:firstLineChars="200"/>
        <w:jc w:val="left"/>
        <w:outlineLvl w:val="2"/>
        <w:rPr>
          <w:rFonts w:hint="default"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数据采集模块是由悬丝架、永磁体和平面镜构成的力学结构。该部分能将微小电流产生的安培力转化为物理角度的偏转，并利用激光光杠杆原理将该角位移投射为远端</w:t>
      </w:r>
      <w:r>
        <w:rPr>
          <w:rFonts w:hint="eastAsia" w:cs="Times New Roman"/>
          <w:color w:val="auto"/>
          <w:sz w:val="24"/>
          <w:highlight w:val="none"/>
          <w:lang w:val="en-US" w:eastAsia="zh-CN"/>
        </w:rPr>
        <w:t>一维位置敏感探测器（后文简称</w:t>
      </w:r>
      <w:r>
        <w:rPr>
          <w:rFonts w:hint="eastAsia" w:ascii="Times New Roman" w:hAnsi="Times New Roman" w:eastAsia="宋体" w:cs="Times New Roman"/>
          <w:color w:val="auto"/>
          <w:sz w:val="24"/>
          <w:highlight w:val="none"/>
          <w:lang w:val="en-US" w:eastAsia="zh-CN"/>
        </w:rPr>
        <w:t>PSD</w:t>
      </w:r>
      <w:r>
        <w:rPr>
          <w:rFonts w:hint="eastAsia" w:cs="Times New Roman"/>
          <w:color w:val="auto"/>
          <w:sz w:val="24"/>
          <w:highlight w:val="none"/>
          <w:lang w:val="en-US" w:eastAsia="zh-CN"/>
        </w:rPr>
        <w:t>）</w:t>
      </w:r>
      <w:r>
        <w:rPr>
          <w:rFonts w:hint="eastAsia" w:ascii="Times New Roman" w:hAnsi="Times New Roman" w:eastAsia="宋体" w:cs="Times New Roman"/>
          <w:color w:val="auto"/>
          <w:sz w:val="24"/>
          <w:highlight w:val="none"/>
          <w:lang w:val="en-US" w:eastAsia="zh-CN"/>
        </w:rPr>
        <w:t>上的线性位移，从而在物理层面实现了初步的信号放大。随后，信号探测模块利用PSD的横向光电效应，将携带位移信息的光斑转换为两路具有比例关系的微弱光电流信号，为后续的电学处理提供了原始数据。</w:t>
      </w:r>
    </w:p>
    <w:p w14:paraId="3D4E2A3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数据放大模块采用基于AD8628运算放大器的跨阻放大器电路，该电路将输入电流信号转换为电压信号，转换比例由反馈电阻决定。为抑制噪声干扰，该模块被封装在金属屏蔽盒内，形成法拉第笼结构。</w:t>
      </w:r>
    </w:p>
    <w:p w14:paraId="6A696BF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数据处理模块以Arduino UNO</w:t>
      </w:r>
      <w:r>
        <w:rPr>
          <w:rFonts w:hint="eastAsia" w:cs="Times New Roman"/>
          <w:color w:val="auto"/>
          <w:sz w:val="24"/>
          <w:highlight w:val="none"/>
          <w:lang w:val="en-US" w:eastAsia="zh-CN"/>
        </w:rPr>
        <w:t>（后文简称UNO）</w:t>
      </w:r>
      <w:r>
        <w:rPr>
          <w:rFonts w:hint="eastAsia" w:ascii="Times New Roman" w:hAnsi="Times New Roman" w:eastAsia="宋体" w:cs="Times New Roman"/>
          <w:color w:val="auto"/>
          <w:sz w:val="24"/>
          <w:highlight w:val="none"/>
          <w:lang w:val="en-US" w:eastAsia="zh-CN"/>
        </w:rPr>
        <w:t>为主控制器，通过I2C总线与ADS1115模数转换器通信。ADS1115提供16位分辨率，能够精确测量采集模块输出的电压信号，</w:t>
      </w:r>
      <w:r>
        <w:rPr>
          <w:rFonts w:hint="eastAsia" w:cs="Times New Roman"/>
          <w:color w:val="auto"/>
          <w:sz w:val="24"/>
          <w:highlight w:val="none"/>
          <w:lang w:val="en-US" w:eastAsia="zh-CN"/>
        </w:rPr>
        <w:t>UNO</w:t>
      </w:r>
      <w:r>
        <w:rPr>
          <w:rFonts w:hint="eastAsia" w:ascii="Times New Roman" w:hAnsi="Times New Roman" w:eastAsia="宋体" w:cs="Times New Roman"/>
          <w:color w:val="auto"/>
          <w:sz w:val="24"/>
          <w:highlight w:val="none"/>
          <w:lang w:val="en-US" w:eastAsia="zh-CN"/>
        </w:rPr>
        <w:t>负责数据采集、数字滤波处理和结果显示控制。</w:t>
      </w:r>
    </w:p>
    <w:p w14:paraId="6794720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显示输出模块采用0.96寸OLED屏幕，实时显示测量结果，屏幕通过I2C总线与</w:t>
      </w:r>
      <w:r>
        <w:rPr>
          <w:rFonts w:hint="eastAsia" w:cs="Times New Roman"/>
          <w:color w:val="auto"/>
          <w:sz w:val="24"/>
          <w:highlight w:val="none"/>
          <w:lang w:val="en-US" w:eastAsia="zh-CN"/>
        </w:rPr>
        <w:t>UNO</w:t>
      </w:r>
      <w:r>
        <w:rPr>
          <w:rFonts w:hint="eastAsia" w:ascii="Times New Roman" w:hAnsi="Times New Roman" w:eastAsia="宋体" w:cs="Times New Roman"/>
          <w:color w:val="auto"/>
          <w:sz w:val="24"/>
          <w:highlight w:val="none"/>
          <w:lang w:val="en-US" w:eastAsia="zh-CN"/>
        </w:rPr>
        <w:t>连接，显示内容包括当前电流值、测量曲线和系统状态信息。</w:t>
      </w:r>
    </w:p>
    <w:p w14:paraId="6B2E003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E5F92A7">
      <w:pPr>
        <w:numPr>
          <w:ilvl w:val="1"/>
          <w:numId w:val="1"/>
        </w:numPr>
        <w:spacing w:line="360" w:lineRule="auto"/>
        <w:ind w:left="567" w:leftChars="0" w:hanging="567" w:firstLineChars="0"/>
        <w:jc w:val="left"/>
        <w:outlineLvl w:val="1"/>
        <w:rPr>
          <w:rStyle w:val="31"/>
          <w:rFonts w:hint="default" w:ascii="Times New Roman" w:hAnsi="Times New Roman" w:eastAsia="黑体" w:cs="Times New Roman"/>
          <w:color w:val="auto"/>
          <w:sz w:val="28"/>
          <w:szCs w:val="28"/>
          <w:highlight w:val="none"/>
          <w:lang w:val="en-US" w:eastAsia="zh-CN"/>
        </w:rPr>
      </w:pPr>
      <w:bookmarkStart w:id="43" w:name="_Toc2132964043"/>
      <w:bookmarkStart w:id="44" w:name="_Toc984002628"/>
      <w:bookmarkStart w:id="45" w:name="_Toc1007353763"/>
      <w:r>
        <w:rPr>
          <w:rStyle w:val="31"/>
          <w:rFonts w:hint="eastAsia" w:ascii="Times New Roman" w:hAnsi="Times New Roman" w:eastAsia="黑体" w:cs="Times New Roman"/>
          <w:color w:val="auto"/>
          <w:sz w:val="28"/>
          <w:szCs w:val="28"/>
          <w:highlight w:val="none"/>
          <w:lang w:val="en-US" w:eastAsia="zh-CN"/>
        </w:rPr>
        <w:t>电路设计</w:t>
      </w:r>
      <w:bookmarkEnd w:id="43"/>
      <w:bookmarkEnd w:id="44"/>
      <w:bookmarkEnd w:id="45"/>
    </w:p>
    <w:p w14:paraId="1CA9AB8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电路设计旨在解决微弱电信号的放大与高精度量化问题，具体接线示意图与原理图如下。供电方面，采用9V电池为放大模块供电，同时UNO通过5V引脚为信号处理模块与OLED显示屏供电。在数据采集与放大环节，光电检测器将信号送入跨阻放大器芯片进行放大，随后放大后的信号进入模数转换模块进行数据处理。最后，模数转换模块与OLED屏幕通过I2C总线接入UNO的模拟接口，完成数据通信与显示。</w:t>
      </w:r>
    </w:p>
    <w:p w14:paraId="18AC135A">
      <w:pPr>
        <w:spacing w:line="360" w:lineRule="auto"/>
        <w:ind w:firstLine="480" w:firstLineChars="200"/>
        <w:rPr>
          <w:rFonts w:hint="default" w:eastAsia="宋体" w:cs="Times New Roman"/>
          <w:color w:val="auto"/>
          <w:sz w:val="24"/>
          <w:highlight w:val="none"/>
          <w:lang w:val="en-US" w:eastAsia="zh-CN"/>
        </w:rPr>
      </w:pP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53EF2F10">
        <w:trPr>
          <w:trHeight w:val="3944" w:hRule="atLeast"/>
          <w:jc w:val="center"/>
        </w:trPr>
        <w:tc>
          <w:tcPr>
            <w:tcW w:w="4700" w:type="dxa"/>
            <w:tcBorders>
              <w:tl2br w:val="nil"/>
              <w:tr2bl w:val="nil"/>
            </w:tcBorders>
            <w:vAlign w:val="top"/>
          </w:tcPr>
          <w:p w14:paraId="6927050D">
            <w:pPr>
              <w:spacing w:line="360" w:lineRule="auto"/>
              <w:jc w:val="center"/>
              <w:rPr>
                <w:rStyle w:val="31"/>
                <w:rFonts w:hint="eastAsia" w:ascii="Times New Roman" w:hAnsi="Times New Roman" w:eastAsia="宋体" w:cs="Times New Roman"/>
                <w:color w:val="auto"/>
                <w:sz w:val="32"/>
                <w:szCs w:val="32"/>
                <w:highlight w:val="none"/>
                <w:lang w:val="en-US" w:eastAsia="zh-CN"/>
              </w:rPr>
            </w:pPr>
            <w:r>
              <w:rPr>
                <w:rStyle w:val="31"/>
                <w:rFonts w:hint="eastAsia" w:ascii="Times New Roman" w:hAnsi="Times New Roman" w:eastAsia="黑体" w:cs="Times New Roman"/>
                <w:color w:val="auto"/>
                <w:sz w:val="32"/>
                <w:szCs w:val="32"/>
                <w:highlight w:val="none"/>
                <w:lang w:val="en-US" w:eastAsia="zh-CN"/>
              </w:rPr>
              <w:drawing>
                <wp:inline distT="0" distB="0" distL="114300" distR="114300">
                  <wp:extent cx="2846705" cy="2311400"/>
                  <wp:effectExtent l="0" t="0" r="23495" b="0"/>
                  <wp:docPr id="7" name="图片 7" descr="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ircuit"/>
                          <pic:cNvPicPr>
                            <a:picLocks noChangeAspect="1"/>
                          </pic:cNvPicPr>
                        </pic:nvPicPr>
                        <pic:blipFill>
                          <a:blip r:embed="rId13"/>
                          <a:stretch>
                            <a:fillRect/>
                          </a:stretch>
                        </pic:blipFill>
                        <pic:spPr>
                          <a:xfrm>
                            <a:off x="0" y="0"/>
                            <a:ext cx="2846705" cy="2311400"/>
                          </a:xfrm>
                          <a:prstGeom prst="rect">
                            <a:avLst/>
                          </a:prstGeom>
                        </pic:spPr>
                      </pic:pic>
                    </a:graphicData>
                  </a:graphic>
                </wp:inline>
              </w:drawing>
            </w:r>
          </w:p>
        </w:tc>
        <w:tc>
          <w:tcPr>
            <w:tcW w:w="4899" w:type="dxa"/>
            <w:tcBorders>
              <w:tl2br w:val="nil"/>
              <w:tr2bl w:val="nil"/>
            </w:tcBorders>
            <w:vAlign w:val="top"/>
          </w:tcPr>
          <w:p w14:paraId="6EBB9FBE">
            <w:pPr>
              <w:spacing w:line="360" w:lineRule="auto"/>
              <w:jc w:val="center"/>
              <w:rPr>
                <w:rStyle w:val="31"/>
                <w:rFonts w:hint="eastAsia" w:ascii="Times New Roman" w:hAnsi="Times New Roman" w:eastAsia="宋体" w:cs="Times New Roman"/>
                <w:color w:val="auto"/>
                <w:sz w:val="32"/>
                <w:szCs w:val="32"/>
                <w:highlight w:val="none"/>
                <w:lang w:val="en-US" w:eastAsia="zh-CN"/>
              </w:rPr>
            </w:pPr>
            <w:r>
              <w:rPr>
                <w:rStyle w:val="31"/>
                <w:rFonts w:hint="eastAsia" w:ascii="Times New Roman" w:hAnsi="Times New Roman" w:eastAsia="黑体" w:cs="Times New Roman"/>
                <w:color w:val="auto"/>
                <w:sz w:val="32"/>
                <w:szCs w:val="32"/>
                <w:highlight w:val="none"/>
                <w:lang w:val="en-US" w:eastAsia="zh-CN"/>
              </w:rPr>
              <w:drawing>
                <wp:inline distT="0" distB="0" distL="114300" distR="114300">
                  <wp:extent cx="2974975" cy="2315845"/>
                  <wp:effectExtent l="0" t="0" r="22225" b="20955"/>
                  <wp:docPr id="9" name="图片 9" descr="Circuit_sc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ircuit_schem"/>
                          <pic:cNvPicPr>
                            <a:picLocks noChangeAspect="1"/>
                          </pic:cNvPicPr>
                        </pic:nvPicPr>
                        <pic:blipFill>
                          <a:blip r:embed="rId14"/>
                          <a:stretch>
                            <a:fillRect/>
                          </a:stretch>
                        </pic:blipFill>
                        <pic:spPr>
                          <a:xfrm>
                            <a:off x="0" y="0"/>
                            <a:ext cx="2974975" cy="2315845"/>
                          </a:xfrm>
                          <a:prstGeom prst="rect">
                            <a:avLst/>
                          </a:prstGeom>
                        </pic:spPr>
                      </pic:pic>
                    </a:graphicData>
                  </a:graphic>
                </wp:inline>
              </w:drawing>
            </w:r>
          </w:p>
        </w:tc>
      </w:tr>
      <w:tr w14:paraId="65D31DA9">
        <w:trPr>
          <w:jc w:val="center"/>
        </w:trPr>
        <w:tc>
          <w:tcPr>
            <w:tcW w:w="4700" w:type="dxa"/>
            <w:tcBorders>
              <w:tl2br w:val="nil"/>
              <w:tr2bl w:val="nil"/>
            </w:tcBorders>
            <w:vAlign w:val="top"/>
          </w:tcPr>
          <w:p w14:paraId="2BE73704">
            <w:pPr>
              <w:pStyle w:val="5"/>
              <w:spacing w:line="360" w:lineRule="auto"/>
              <w:jc w:val="center"/>
              <w:rPr>
                <w:rFonts w:hint="eastAsia" w:ascii="黑体" w:hAnsi="黑体" w:eastAsia="黑体" w:cs="黑体"/>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eastAsia="zh-CN"/>
              </w:rPr>
              <w:t xml:space="preserve"> Arduino接线示意图</w:t>
            </w:r>
          </w:p>
        </w:tc>
        <w:tc>
          <w:tcPr>
            <w:tcW w:w="4899" w:type="dxa"/>
            <w:tcBorders>
              <w:tl2br w:val="nil"/>
              <w:tr2bl w:val="nil"/>
            </w:tcBorders>
            <w:vAlign w:val="top"/>
          </w:tcPr>
          <w:p w14:paraId="282E6605">
            <w:pPr>
              <w:pStyle w:val="5"/>
              <w:spacing w:line="360" w:lineRule="auto"/>
              <w:jc w:val="center"/>
              <w:rPr>
                <w:rFonts w:hint="eastAsia" w:ascii="黑体" w:hAnsi="黑体" w:eastAsia="黑体" w:cs="黑体"/>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lang w:eastAsia="zh-CN"/>
              </w:rPr>
              <w:t xml:space="preserve"> 实验电路原理图</w:t>
            </w:r>
          </w:p>
        </w:tc>
      </w:tr>
    </w:tbl>
    <w:p w14:paraId="0BBBD85B">
      <w:pPr>
        <w:spacing w:line="360" w:lineRule="auto"/>
        <w:rPr>
          <w:rFonts w:hint="default" w:eastAsia="宋体" w:cs="Times New Roman"/>
          <w:color w:val="auto"/>
          <w:sz w:val="24"/>
          <w:highlight w:val="none"/>
          <w:lang w:val="en-US" w:eastAsia="zh-CN"/>
        </w:rPr>
      </w:pPr>
    </w:p>
    <w:p w14:paraId="2F1B4B15">
      <w:pPr>
        <w:spacing w:line="360" w:lineRule="auto"/>
        <w:jc w:val="both"/>
        <w:outlineLvl w:val="9"/>
        <w:rPr>
          <w:rStyle w:val="31"/>
          <w:rFonts w:hint="eastAsia" w:ascii="Times New Roman" w:hAnsi="Times New Roman" w:eastAsia="黑体" w:cs="Times New Roman"/>
          <w:color w:val="auto"/>
          <w:sz w:val="32"/>
          <w:szCs w:val="32"/>
          <w:highlight w:val="none"/>
          <w:lang w:val="en-US" w:eastAsia="zh-CN"/>
        </w:rPr>
      </w:pPr>
    </w:p>
    <w:p w14:paraId="0D2CE592">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46" w:name="_Toc782151330"/>
      <w:bookmarkStart w:id="47" w:name="_Toc1694079726"/>
      <w:bookmarkStart w:id="48" w:name="_Toc360603249"/>
      <w:bookmarkStart w:id="49" w:name="_Toc1981105440"/>
      <w:r>
        <w:rPr>
          <w:rStyle w:val="31"/>
          <w:rFonts w:hint="eastAsia" w:ascii="Times New Roman" w:hAnsi="Times New Roman" w:eastAsia="黑体" w:cs="Times New Roman"/>
          <w:color w:val="auto"/>
          <w:sz w:val="32"/>
          <w:szCs w:val="32"/>
          <w:highlight w:val="none"/>
          <w:lang w:val="en-US" w:eastAsia="zh-CN"/>
        </w:rPr>
        <w:t>硬件设计与实现</w:t>
      </w:r>
      <w:bookmarkEnd w:id="46"/>
      <w:bookmarkEnd w:id="47"/>
      <w:bookmarkEnd w:id="48"/>
      <w:bookmarkEnd w:id="49"/>
    </w:p>
    <w:p w14:paraId="0F6D8BB4">
      <w:pPr>
        <w:numPr>
          <w:ilvl w:val="1"/>
          <w:numId w:val="1"/>
        </w:numPr>
        <w:spacing w:line="360" w:lineRule="auto"/>
        <w:ind w:left="567" w:leftChars="0" w:hanging="567" w:firstLineChars="0"/>
        <w:jc w:val="left"/>
        <w:outlineLvl w:val="1"/>
        <w:rPr>
          <w:rStyle w:val="31"/>
          <w:rFonts w:hint="default" w:ascii="Times New Roman" w:hAnsi="Times New Roman" w:eastAsia="黑体" w:cs="Times New Roman"/>
          <w:color w:val="auto"/>
          <w:sz w:val="28"/>
          <w:szCs w:val="28"/>
          <w:highlight w:val="none"/>
          <w:lang w:val="en-US" w:eastAsia="zh-CN"/>
        </w:rPr>
      </w:pPr>
      <w:bookmarkStart w:id="50" w:name="_Toc870000023"/>
      <w:bookmarkStart w:id="51" w:name="_Toc1852666992"/>
      <w:bookmarkStart w:id="52" w:name="_Toc459954109"/>
      <w:r>
        <w:rPr>
          <w:rStyle w:val="31"/>
          <w:rFonts w:hint="eastAsia" w:ascii="Times New Roman" w:hAnsi="Times New Roman" w:eastAsia="黑体" w:cs="Times New Roman"/>
          <w:color w:val="auto"/>
          <w:sz w:val="28"/>
          <w:szCs w:val="28"/>
          <w:highlight w:val="none"/>
          <w:lang w:val="en-US" w:eastAsia="zh-CN"/>
        </w:rPr>
        <w:t>数据采集模块设计</w:t>
      </w:r>
      <w:bookmarkEnd w:id="50"/>
      <w:bookmarkEnd w:id="51"/>
      <w:bookmarkEnd w:id="52"/>
    </w:p>
    <w:p w14:paraId="779D6FD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数据采集模块作为系统的物理前端，其核心是一个精密悬丝式力学放大装置。该装置主体由一个重型稳固支架支撑，支架顶端悬吊一根具备扭转阻力极小、弹性线性好、无迟滞的金属丝（如微米级的钨丝、铜丝、磷青铜丝等）。金属丝下端悬挂一个轻质矩形金属方框，作为电流感应的运动主体。方框中心垂直安装一面微型高反射率平面镜。在方框的左右两侧，对称安置一对高性能永磁体，用于在方框所处空间构建一个均匀且恒定的磁场。</w:t>
      </w:r>
    </w:p>
    <w:p w14:paraId="70AB5061">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一束准直激光射向平面镜</w:t>
      </w:r>
      <w:r>
        <w:rPr>
          <w:rFonts w:hint="eastAsia" w:cs="Times New Roman"/>
          <w:color w:val="auto"/>
          <w:sz w:val="24"/>
          <w:highlight w:val="none"/>
          <w:lang w:val="en-US" w:eastAsia="zh-CN"/>
        </w:rPr>
        <w:t>，待测交变电磁波穿过悬丝下方的矩形线圈。根据法拉第电磁感应定律，变化的磁通量在线圈中产生感应电动势，从而形成微弱感应电流</w:t>
      </w:r>
      <m:oMath>
        <m:r>
          <m:rPr>
            <m:sty m:val="p"/>
          </m:rPr>
          <w:rPr>
            <w:rFonts w:hint="eastAsia" w:ascii="DejaVu Math TeX Gyre" w:hAnsi="DejaVu Math TeX Gyre" w:cs="Times New Roman"/>
            <w:color w:val="auto"/>
            <w:kern w:val="2"/>
            <w:sz w:val="24"/>
            <w:szCs w:val="24"/>
            <w:highlight w:val="none"/>
            <w:lang w:val="en-US" w:eastAsia="zh-CN" w:bidi="ar-SA"/>
          </w:rPr>
          <m:t>I</m:t>
        </m:r>
      </m:oMath>
      <w:r>
        <w:rPr>
          <w:rFonts w:hint="eastAsia" w:cs="Times New Roman"/>
          <w:color w:val="auto"/>
          <w:sz w:val="24"/>
          <w:highlight w:val="none"/>
          <w:lang w:val="en-US" w:eastAsia="zh-CN"/>
        </w:rPr>
        <w:t>。该电流流经线圈时，与两侧永磁体产生的恒定磁场</w:t>
      </w:r>
      <m:oMath>
        <m:r>
          <m:rPr>
            <m:sty m:val="p"/>
          </m:rPr>
          <w:rPr>
            <w:rFonts w:hint="eastAsia" w:ascii="DejaVu Math TeX Gyre" w:hAnsi="DejaVu Math TeX Gyre" w:cs="Times New Roman"/>
            <w:color w:val="auto"/>
            <w:kern w:val="2"/>
            <w:sz w:val="24"/>
            <w:szCs w:val="24"/>
            <w:highlight w:val="none"/>
            <w:lang w:val="en-US" w:eastAsia="zh-CN" w:bidi="ar-SA"/>
          </w:rPr>
          <m:t>B</m:t>
        </m:r>
      </m:oMath>
      <w:r>
        <w:rPr>
          <w:rFonts w:hint="eastAsia" w:cs="Times New Roman"/>
          <w:color w:val="auto"/>
          <w:sz w:val="24"/>
          <w:highlight w:val="none"/>
          <w:lang w:val="en-US" w:eastAsia="zh-CN"/>
        </w:rPr>
        <w:t>相互作用，产生安培力。安培力使线圈绕悬丝轴线发生微小扭转，带动平面镜转动</w:t>
      </w:r>
      <m:oMath>
        <m:r>
          <m:rPr/>
          <w:rPr>
            <w:rFonts w:hint="default" w:ascii="DejaVu Math TeX Gyre" w:hAnsi="DejaVu Math TeX Gyre"/>
            <w:sz w:val="24"/>
          </w:rPr>
          <m:t>θ</m:t>
        </m:r>
      </m:oMath>
      <w:r>
        <w:rPr>
          <w:rFonts w:hint="eastAsia" w:cs="Times New Roman"/>
          <w:color w:val="auto"/>
          <w:sz w:val="24"/>
          <w:highlight w:val="none"/>
          <w:lang w:val="en-US" w:eastAsia="zh-CN"/>
        </w:rPr>
        <w:t>角度，细丝同时产生弹性恢复力矩。当安培力矩与恢复力矩平衡时，系统达到稳定偏转状态。</w:t>
      </w:r>
      <w:r>
        <w:rPr>
          <w:rFonts w:hint="eastAsia" w:ascii="Times New Roman" w:hAnsi="Times New Roman" w:eastAsia="宋体" w:cs="Times New Roman"/>
          <w:color w:val="auto"/>
          <w:sz w:val="24"/>
          <w:highlight w:val="none"/>
          <w:lang w:val="en-US" w:eastAsia="zh-CN"/>
        </w:rPr>
        <w:t>根据反射定律，反射光束将产生 </w:t>
      </w:r>
      <m:oMath>
        <m:r>
          <m:rPr>
            <m:sty m:val="p"/>
          </m:rPr>
          <w:rPr>
            <w:rFonts w:hint="default" w:ascii="Times New Roman" w:hAnsi="Times New Roman" w:eastAsia="宋体" w:cs="Times New Roman"/>
            <w:color w:val="auto"/>
            <w:sz w:val="24"/>
            <w:highlight w:val="none"/>
            <w:lang w:val="en-US" w:eastAsia="zh-CN"/>
          </w:rPr>
          <m:t>2θ</m:t>
        </m:r>
      </m:oMath>
      <w:r>
        <w:rPr>
          <w:rFonts w:hint="eastAsia" w:ascii="Times New Roman" w:hAnsi="Times New Roman" w:eastAsia="宋体" w:cs="Times New Roman"/>
          <w:color w:val="auto"/>
          <w:sz w:val="24"/>
          <w:highlight w:val="none"/>
          <w:lang w:val="en-US" w:eastAsia="zh-CN"/>
        </w:rPr>
        <w:t> 的角偏转。该光束经过长距离的空间投射，最终照射在远端的</w:t>
      </w:r>
      <w:r>
        <w:rPr>
          <w:rFonts w:hint="default" w:ascii="Times New Roman" w:hAnsi="Times New Roman" w:eastAsia="宋体" w:cs="Times New Roman"/>
          <w:color w:val="auto"/>
          <w:sz w:val="24"/>
          <w:highlight w:val="none"/>
          <w:lang w:val="en-US" w:eastAsia="zh-CN"/>
        </w:rPr>
        <w:t>PSD</w:t>
      </w:r>
      <w:r>
        <w:rPr>
          <w:rFonts w:hint="eastAsia" w:ascii="Times New Roman" w:hAnsi="Times New Roman" w:eastAsia="宋体" w:cs="Times New Roman"/>
          <w:color w:val="auto"/>
          <w:sz w:val="24"/>
          <w:highlight w:val="none"/>
          <w:lang w:val="en-US" w:eastAsia="zh-CN"/>
        </w:rPr>
        <w:t>感光面上。交流电磁波反复产生流向不一样的微小电流推动金属丝扭转。</w:t>
      </w:r>
      <w:r>
        <w:rPr>
          <w:rFonts w:hint="eastAsia" w:cs="Times New Roman"/>
          <w:color w:val="auto"/>
          <w:sz w:val="24"/>
          <w:highlight w:val="none"/>
          <w:lang w:val="en-US" w:eastAsia="zh-CN"/>
        </w:rPr>
        <w:t>由于信号源十分微弱，在小角度</w:t>
      </w:r>
      <w:r>
        <w:rPr>
          <w:rStyle w:val="32"/>
          <w:rFonts w:hint="eastAsia" w:cs="Times New Roman"/>
          <w:color w:val="auto"/>
          <w:sz w:val="24"/>
          <w:highlight w:val="none"/>
          <w:lang w:val="en-US" w:eastAsia="zh-CN"/>
        </w:rPr>
        <w:footnoteReference w:id="1"/>
      </w:r>
      <w:r>
        <w:rPr>
          <w:rFonts w:hint="eastAsia" w:cs="Times New Roman"/>
          <w:color w:val="auto"/>
          <w:sz w:val="24"/>
          <w:highlight w:val="none"/>
          <w:lang w:val="en-US" w:eastAsia="zh-CN"/>
        </w:rPr>
        <w:t>扭转的前提下，有：</w:t>
      </w:r>
    </w:p>
    <w:p w14:paraId="465EB859">
      <w:pPr>
        <w:numPr>
          <w:ilvl w:val="0"/>
          <w:numId w:val="0"/>
        </w:numPr>
        <w:spacing w:line="360" w:lineRule="auto"/>
        <w:ind w:leftChars="0" w:firstLine="480" w:firstLineChars="200"/>
        <w:jc w:val="left"/>
        <w:outlineLvl w:val="2"/>
        <w:rPr>
          <w:rFonts w:hint="default" w:hAnsi="DejaVu Math TeX Gyre" w:cs="Times New Roman"/>
          <w:i w:val="0"/>
          <w:color w:val="auto"/>
          <w:kern w:val="2"/>
          <w:sz w:val="24"/>
          <w:szCs w:val="24"/>
          <w:highlight w:val="none"/>
          <w:lang w:val="en-US" w:eastAsia="zh-CN" w:bidi="ar-SA"/>
        </w:rPr>
      </w:pPr>
      <m:oMathPara>
        <m:oMath>
          <m:func>
            <m:funcPr>
              <m:ctrlPr>
                <w:rPr>
                  <w:rFonts w:hint="default" w:ascii="DejaVu Math TeX Gyre" w:hAnsi="DejaVu Math TeX Gyre"/>
                  <w:sz w:val="24"/>
                </w:rPr>
              </m:ctrlPr>
            </m:funcPr>
            <m:fName>
              <m:r>
                <m:rPr>
                  <m:sty m:val="p"/>
                </m:rPr>
                <w:rPr>
                  <w:rFonts w:hint="default" w:ascii="DejaVu Math TeX Gyre" w:hAnsi="DejaVu Math TeX Gyre"/>
                  <w:sz w:val="24"/>
                </w:rPr>
                <m:t>tan</m:t>
              </m:r>
              <m:ctrlPr>
                <w:rPr>
                  <w:rFonts w:ascii="DejaVu Math TeX Gyre" w:hAnsi="DejaVu Math TeX Gyre"/>
                  <w:sz w:val="24"/>
                </w:rPr>
              </m:ctrlPr>
            </m:fName>
            <m:e>
              <m:r>
                <m:rPr/>
                <w:rPr>
                  <w:rFonts w:hint="default" w:ascii="DejaVu Math TeX Gyre" w:hAnsi="DejaVu Math TeX Gyre"/>
                  <w:sz w:val="24"/>
                </w:rPr>
                <m:t>θ</m:t>
              </m:r>
              <m:ctrlPr>
                <w:rPr>
                  <w:rFonts w:ascii="DejaVu Math TeX Gyre" w:hAnsi="DejaVu Math TeX Gyre"/>
                  <w:sz w:val="24"/>
                </w:rPr>
              </m:ctrlPr>
            </m:e>
          </m:func>
          <m:r>
            <m:rPr/>
            <w:rPr>
              <w:rFonts w:hint="default" w:ascii="DejaVu Math TeX Gyre" w:hAnsi="DejaVu Math TeX Gyre"/>
              <w:sz w:val="24"/>
            </w:rPr>
            <m:t>≈θ</m:t>
          </m:r>
        </m:oMath>
      </m:oMathPara>
    </w:p>
    <w:p w14:paraId="1687FFF0">
      <w:pPr>
        <w:numPr>
          <w:ilvl w:val="0"/>
          <w:numId w:val="0"/>
        </w:numPr>
        <w:spacing w:line="360" w:lineRule="auto"/>
        <w:ind w:leftChars="0" w:firstLine="480" w:firstLineChars="200"/>
        <w:jc w:val="left"/>
        <w:outlineLvl w:val="2"/>
        <w:rPr>
          <w:rFonts w:hint="default" w:hAnsi="DejaVu Math TeX Gyre" w:cs="Times New Roman"/>
          <w:i w:val="0"/>
          <w:color w:val="auto"/>
          <w:kern w:val="2"/>
          <w:sz w:val="24"/>
          <w:szCs w:val="24"/>
          <w:highlight w:val="none"/>
          <w:lang w:val="en-US" w:eastAsia="zh-CN" w:bidi="ar-SA"/>
        </w:rPr>
      </w:pPr>
      <w:r>
        <w:rPr>
          <w:rFonts w:hint="eastAsia" w:ascii="Times New Roman" w:hAnsi="Times New Roman" w:eastAsia="宋体" w:cs="Times New Roman"/>
          <w:color w:val="auto"/>
          <w:sz w:val="24"/>
          <w:highlight w:val="none"/>
          <w:lang w:val="en-US" w:eastAsia="zh-CN"/>
        </w:rPr>
        <w:t>在远端PSD感光面上，光斑的物理位移</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与镜面转角</w:t>
      </w:r>
      <m:oMath>
        <m:r>
          <m:rPr>
            <m:sty m:val="p"/>
          </m:rPr>
          <w:rPr>
            <w:rFonts w:hint="default" w:ascii="Times New Roman" w:hAnsi="Times New Roman" w:eastAsia="宋体" w:cs="Times New Roman"/>
            <w:color w:val="auto"/>
            <w:sz w:val="24"/>
            <w:highlight w:val="none"/>
            <w:lang w:val="en-US" w:eastAsia="zh-CN"/>
          </w:rPr>
          <m:t>θ</m:t>
        </m:r>
      </m:oMath>
      <w:r>
        <w:rPr>
          <w:rFonts w:hint="eastAsia" w:ascii="Times New Roman" w:hAnsi="Times New Roman" w:eastAsia="宋体" w:cs="Times New Roman"/>
          <w:color w:val="auto"/>
          <w:sz w:val="24"/>
          <w:highlight w:val="none"/>
          <w:lang w:val="en-US" w:eastAsia="zh-CN"/>
        </w:rPr>
        <w:t>满足几何关系</w:t>
      </w:r>
      <w:r>
        <w:rPr>
          <w:rFonts w:hint="eastAsia" w:cs="Times New Roman"/>
          <w:color w:val="auto"/>
          <w:sz w:val="24"/>
          <w:highlight w:val="none"/>
          <w:lang w:val="en-US" w:eastAsia="zh-CN"/>
        </w:rPr>
        <w:t>：</w:t>
      </w:r>
    </w:p>
    <w:p w14:paraId="5ECFE74F">
      <w:pPr>
        <w:spacing w:line="360" w:lineRule="auto"/>
        <w:ind w:firstLine="480" w:firstLineChars="200"/>
        <w:rPr>
          <w:rFonts w:hint="eastAsia" w:hAnsi="DejaVu Math TeX Gyre" w:eastAsia="宋体" w:cs="Times New Roman"/>
          <w:i w:val="0"/>
          <w:color w:val="auto"/>
          <w:kern w:val="2"/>
          <w:sz w:val="24"/>
          <w:szCs w:val="24"/>
          <w:highlight w:val="none"/>
          <w:lang w:val="en-US" w:eastAsia="zh-CN" w:bidi="ar-SA"/>
        </w:rPr>
      </w:pPr>
      <m:oMathPara>
        <m:oMath>
          <m:r>
            <m:rPr/>
            <w:rPr>
              <w:rFonts w:hint="default" w:ascii="DejaVu Math TeX Gyre" w:hAnsi="DejaVu Math TeX Gyre" w:eastAsia="宋体"/>
              <w:sz w:val="24"/>
            </w:rPr>
            <m:t>θ=</m:t>
          </m:r>
          <m:f>
            <m:fPr>
              <m:ctrlPr>
                <w:rPr>
                  <w:rFonts w:hint="default" w:ascii="DejaVu Math TeX Gyre" w:hAnsi="DejaVu Math TeX Gyre" w:eastAsia="宋体"/>
                  <w:i/>
                  <w:sz w:val="24"/>
                </w:rPr>
              </m:ctrlPr>
            </m:fPr>
            <m:num>
              <m:r>
                <m:rPr/>
                <w:rPr>
                  <w:rFonts w:hint="default" w:ascii="DejaVu Math TeX Gyre" w:hAnsi="DejaVu Math TeX Gyre" w:eastAsia="宋体"/>
                  <w:sz w:val="24"/>
                </w:rPr>
                <m:t>x</m:t>
              </m:r>
              <m:ctrlPr>
                <w:rPr>
                  <w:rFonts w:ascii="DejaVu Math TeX Gyre" w:hAnsi="DejaVu Math TeX Gyre" w:eastAsia="宋体"/>
                  <w:sz w:val="24"/>
                </w:rPr>
              </m:ctrlPr>
            </m:num>
            <m:den>
              <m:r>
                <m:rPr/>
                <w:rPr>
                  <w:rFonts w:hint="default" w:ascii="DejaVu Math TeX Gyre" w:hAnsi="DejaVu Math TeX Gyre" w:eastAsia="宋体"/>
                  <w:sz w:val="24"/>
                </w:rPr>
                <m:t>2D</m:t>
              </m:r>
              <m:ctrlPr>
                <w:rPr>
                  <w:rFonts w:ascii="DejaVu Math TeX Gyre" w:hAnsi="DejaVu Math TeX Gyre" w:eastAsia="宋体"/>
                  <w:sz w:val="24"/>
                </w:rPr>
              </m:ctrlPr>
            </m:den>
          </m:f>
        </m:oMath>
      </m:oMathPara>
    </w:p>
    <w:p w14:paraId="0EFBF02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其中</w:t>
      </w:r>
      <m:oMath>
        <m:r>
          <m:rPr>
            <m:sty m:val="p"/>
          </m:rPr>
          <w:rPr>
            <w:rFonts w:hint="default" w:ascii="Times New Roman" w:hAnsi="Times New Roman" w:eastAsia="宋体" w:cs="Times New Roman"/>
            <w:color w:val="auto"/>
            <w:sz w:val="24"/>
            <w:highlight w:val="none"/>
            <w:lang w:val="en-US" w:eastAsia="zh-CN"/>
          </w:rPr>
          <m:t>D</m:t>
        </m:r>
      </m:oMath>
      <w:r>
        <w:rPr>
          <w:rFonts w:hint="eastAsia" w:ascii="Times New Roman" w:hAnsi="Times New Roman" w:eastAsia="宋体" w:cs="Times New Roman"/>
          <w:color w:val="auto"/>
          <w:sz w:val="24"/>
          <w:highlight w:val="none"/>
          <w:lang w:val="en-US" w:eastAsia="zh-CN"/>
        </w:rPr>
        <w:t>为镜面到PSD的垂直距离。根据力矩平衡原理，线框受到的磁力矩</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mag</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与悬丝恢复力矩 </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res</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相等，</w:t>
      </w:r>
      <w:r>
        <w:rPr>
          <w:rFonts w:hint="eastAsia" w:cs="Times New Roman"/>
          <w:color w:val="auto"/>
          <w:sz w:val="24"/>
          <w:highlight w:val="none"/>
          <w:lang w:val="en-US" w:eastAsia="zh-CN"/>
        </w:rPr>
        <w:t>设</w:t>
      </w:r>
      <m:oMath>
        <m:r>
          <m:rPr>
            <m:sty m:val="p"/>
          </m:rPr>
          <w:rPr>
            <w:rFonts w:hint="eastAsia" w:ascii="DejaVu Math TeX Gyre" w:hAnsi="DejaVu Math TeX Gyre" w:cs="Times New Roman"/>
            <w:color w:val="auto"/>
            <w:kern w:val="2"/>
            <w:sz w:val="24"/>
            <w:szCs w:val="24"/>
            <w:highlight w:val="none"/>
            <w:lang w:val="en-US" w:eastAsia="zh-CN" w:bidi="ar-SA"/>
          </w:rPr>
          <m:t>k</m:t>
        </m:r>
      </m:oMath>
      <w:r>
        <w:rPr>
          <w:rFonts w:hint="eastAsia" w:cs="Times New Roman"/>
          <w:color w:val="auto"/>
          <w:sz w:val="24"/>
          <w:highlight w:val="none"/>
          <w:lang w:val="en-US" w:eastAsia="zh-CN"/>
        </w:rPr>
        <w:t>为悬丝扭转劲度系数、</w:t>
      </w:r>
      <m:oMath>
        <m:r>
          <m:rPr>
            <m:sty m:val="p"/>
          </m:rPr>
          <w:rPr>
            <w:rFonts w:hint="eastAsia" w:ascii="DejaVu Math TeX Gyre" w:hAnsi="DejaVu Math TeX Gyre" w:cs="Times New Roman"/>
            <w:color w:val="auto"/>
            <w:kern w:val="2"/>
            <w:sz w:val="24"/>
            <w:szCs w:val="24"/>
            <w:highlight w:val="none"/>
            <w:lang w:val="en-US" w:eastAsia="zh-CN" w:bidi="ar-SA"/>
          </w:rPr>
          <m:t>B</m:t>
        </m:r>
      </m:oMath>
      <w:r>
        <w:rPr>
          <w:rFonts w:hint="eastAsia" w:cs="Times New Roman"/>
          <w:color w:val="auto"/>
          <w:sz w:val="24"/>
          <w:highlight w:val="none"/>
          <w:lang w:val="en-US" w:eastAsia="zh-CN"/>
        </w:rPr>
        <w:t>为磁铁在线圈处的磁感应强度、</w:t>
      </w:r>
      <m:oMath>
        <m:r>
          <m:rPr>
            <m:sty m:val="p"/>
          </m:rPr>
          <w:rPr>
            <w:rFonts w:hint="eastAsia" w:ascii="DejaVu Math TeX Gyre" w:hAnsi="DejaVu Math TeX Gyre" w:cs="Times New Roman"/>
            <w:color w:val="auto"/>
            <w:kern w:val="2"/>
            <w:sz w:val="24"/>
            <w:szCs w:val="24"/>
            <w:highlight w:val="none"/>
            <w:lang w:val="en-US" w:eastAsia="zh-CN" w:bidi="ar-SA"/>
          </w:rPr>
          <m:t>N</m:t>
        </m:r>
      </m:oMath>
      <w:r>
        <w:rPr>
          <w:rFonts w:hint="eastAsia" w:cs="Times New Roman"/>
          <w:color w:val="auto"/>
          <w:sz w:val="24"/>
          <w:highlight w:val="none"/>
          <w:lang w:val="en-US" w:eastAsia="zh-CN"/>
        </w:rPr>
        <w:t>为线圈匝数，则有</w:t>
      </w:r>
      <w:r>
        <w:rPr>
          <w:rFonts w:hint="eastAsia" w:ascii="Times New Roman" w:hAnsi="Times New Roman" w:eastAsia="宋体" w:cs="Times New Roman"/>
          <w:color w:val="auto"/>
          <w:sz w:val="24"/>
          <w:highlight w:val="none"/>
          <w:lang w:val="en-US" w:eastAsia="zh-CN"/>
        </w:rPr>
        <w:t>：</w:t>
      </w:r>
    </w:p>
    <w:p w14:paraId="098B260C">
      <w:pPr>
        <w:spacing w:line="360" w:lineRule="auto"/>
        <w:ind w:firstLine="480" w:firstLineChars="200"/>
        <w:rPr>
          <w:rFonts w:hint="eastAsia" w:hAnsi="DejaVu Math TeX Gyre" w:eastAsia="宋体" w:cs="Times New Roman"/>
          <w:i w:val="0"/>
          <w:color w:val="auto"/>
          <w:kern w:val="2"/>
          <w:sz w:val="24"/>
          <w:szCs w:val="24"/>
          <w:highlight w:val="none"/>
          <w:lang w:val="en-US" w:eastAsia="zh-CN" w:bidi="ar-SA"/>
        </w:rPr>
      </w:pPr>
      <m:oMathPara>
        <m:oMath>
          <m:r>
            <m:rPr/>
            <w:rPr>
              <w:rFonts w:hint="default" w:ascii="DejaVu Math TeX Gyre" w:hAnsi="DejaVu Math TeX Gyre" w:eastAsia="宋体"/>
              <w:sz w:val="24"/>
            </w:rPr>
            <m:t>M=NIBS=kθ</m:t>
          </m:r>
        </m:oMath>
      </m:oMathPara>
    </w:p>
    <w:p w14:paraId="1751CDD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将角度公式代入平衡方程，整理得到电流</w:t>
      </w:r>
      <m:oMath>
        <m:r>
          <m:rPr>
            <m:sty m:val="p"/>
          </m:rPr>
          <w:rPr>
            <w:rFonts w:hint="default" w:ascii="Times New Roman" w:hAnsi="Times New Roman" w:eastAsia="宋体" w:cs="Times New Roman"/>
            <w:color w:val="auto"/>
            <w:sz w:val="24"/>
            <w:highlight w:val="none"/>
            <w:lang w:val="en-US" w:eastAsia="zh-CN"/>
          </w:rPr>
          <m:t>I</m:t>
        </m:r>
      </m:oMath>
      <w:r>
        <w:rPr>
          <w:rFonts w:hint="eastAsia" w:ascii="Times New Roman" w:hAnsi="Times New Roman" w:eastAsia="宋体" w:cs="Times New Roman"/>
          <w:color w:val="auto"/>
          <w:sz w:val="24"/>
          <w:highlight w:val="none"/>
          <w:lang w:val="en-US" w:eastAsia="zh-CN"/>
        </w:rPr>
        <w:t>与位移</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的量化关系：</w:t>
      </w:r>
    </w:p>
    <w:p w14:paraId="0257FC1F">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I=</m:t>
          </m:r>
          <m:f>
            <m:fPr>
              <m:ctrlPr>
                <w:rPr>
                  <w:rFonts w:hint="default" w:ascii="DejaVu Math TeX Gyre" w:hAnsi="DejaVu Math TeX Gyre" w:eastAsia="宋体"/>
                  <w:i/>
                  <w:sz w:val="24"/>
                </w:rPr>
              </m:ctrlPr>
            </m:fPr>
            <m:num>
              <m:r>
                <m:rPr/>
                <w:rPr>
                  <w:rFonts w:hint="default" w:ascii="DejaVu Math TeX Gyre" w:hAnsi="DejaVu Math TeX Gyre" w:eastAsia="宋体"/>
                  <w:sz w:val="24"/>
                </w:rPr>
                <m:t>k</m:t>
              </m:r>
              <m:ctrlPr>
                <w:rPr>
                  <w:rFonts w:ascii="DejaVu Math TeX Gyre" w:hAnsi="DejaVu Math TeX Gyre" w:eastAsia="宋体"/>
                  <w:sz w:val="24"/>
                </w:rPr>
              </m:ctrlPr>
            </m:num>
            <m:den>
              <m:r>
                <m:rPr/>
                <w:rPr>
                  <w:rFonts w:hint="default" w:ascii="DejaVu Math TeX Gyre" w:hAnsi="DejaVu Math TeX Gyre" w:eastAsia="宋体"/>
                  <w:sz w:val="24"/>
                </w:rPr>
                <m:t>2DNBS</m:t>
              </m:r>
              <m:ctrlPr>
                <w:rPr>
                  <w:rFonts w:ascii="DejaVu Math TeX Gyre" w:hAnsi="DejaVu Math TeX Gyre" w:eastAsia="宋体"/>
                  <w:sz w:val="24"/>
                </w:rPr>
              </m:ctrlPr>
            </m:den>
          </m:f>
          <m:r>
            <m:rPr/>
            <w:rPr>
              <w:rFonts w:hint="default" w:ascii="DejaVu Math TeX Gyre" w:hAnsi="DejaVu Math TeX Gyre" w:eastAsia="宋体"/>
              <w:sz w:val="24"/>
            </w:rPr>
            <m:t>⋅x</m:t>
          </m:r>
        </m:oMath>
      </m:oMathPara>
    </w:p>
    <w:p w14:paraId="2FDACE9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这一关系仅适用于平面电磁波在远场条件下。如果待测信号来自近场源（如线圈耦合、工频电场），该公式不成立。建议明确说明“仅当待测信号可近似为远场平面波时使用”，否则可能误导。</w:t>
      </w:r>
    </w:p>
    <w:p w14:paraId="6A49E54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待测电磁信号的等效电压</w:t>
      </w:r>
      <m:oMath>
        <m:r>
          <m:rPr/>
          <w:rPr>
            <w:rFonts w:hint="default" w:ascii="DejaVu Math TeX Gyre" w:hAnsi="DejaVu Math TeX Gyre"/>
            <w:sz w:val="24"/>
          </w:rPr>
          <m:t>U</m:t>
        </m:r>
      </m:oMath>
      <w:r>
        <w:rPr>
          <w:rFonts w:hint="eastAsia" w:hAnsi="DejaVu Math TeX Gyre" w:eastAsia="宋体"/>
          <w:i w:val="0"/>
          <w:sz w:val="24"/>
          <w:lang w:val="en-US" w:eastAsia="zh-CN"/>
        </w:rPr>
        <w:t>则通过系统波阻抗</w:t>
      </w:r>
      <m:oMath>
        <m:r>
          <m:rPr/>
          <w:rPr>
            <w:rFonts w:hint="default" w:ascii="DejaVu Math TeX Gyre" w:hAnsi="DejaVu Math TeX Gyre"/>
            <w:sz w:val="24"/>
          </w:rPr>
          <m:t>Z</m:t>
        </m:r>
      </m:oMath>
      <w:r>
        <w:rPr>
          <w:rFonts w:hint="eastAsia" w:hAnsi="DejaVu Math TeX Gyre" w:eastAsia="宋体"/>
          <w:i w:val="0"/>
          <w:sz w:val="24"/>
          <w:lang w:val="en-US" w:eastAsia="zh-CN"/>
        </w:rPr>
        <w:t>确定：</w:t>
      </w:r>
    </w:p>
    <w:p w14:paraId="74723E29">
      <w:pPr>
        <w:spacing w:line="360" w:lineRule="auto"/>
        <w:ind w:firstLine="480" w:firstLineChars="200"/>
        <w:rPr>
          <w:rFonts w:hint="eastAsia" w:hAnsi="DejaVu Math TeX Gyre" w:eastAsia="宋体" w:cs="Times New Roman"/>
          <w:i w:val="0"/>
          <w:color w:val="auto"/>
          <w:kern w:val="2"/>
          <w:sz w:val="24"/>
          <w:szCs w:val="24"/>
          <w:highlight w:val="none"/>
          <w:lang w:val="en-US" w:eastAsia="zh-CN" w:bidi="ar-SA"/>
        </w:rPr>
      </w:pPr>
      <m:oMathPara>
        <m:oMath>
          <m:r>
            <m:rPr/>
            <w:rPr>
              <w:rFonts w:hint="default" w:ascii="DejaVu Math TeX Gyre" w:hAnsi="DejaVu Math TeX Gyre" w:eastAsia="宋体"/>
              <w:sz w:val="24"/>
            </w:rPr>
            <m:t>U=I⋅Z</m:t>
          </m:r>
        </m:oMath>
      </m:oMathPara>
    </w:p>
    <w:p w14:paraId="223E84F1">
      <w:pPr>
        <w:spacing w:line="360" w:lineRule="auto"/>
        <w:ind w:firstLine="480" w:firstLineChars="200"/>
        <w:rPr>
          <w:rFonts w:hint="default"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这种“光杠杆”结构将原本难以观测的角位移线性转化为PSD表面光斑的毫米级位移</w:t>
      </w:r>
      <m:oMath>
        <m:r>
          <m:rPr/>
          <w:rPr>
            <w:rFonts w:hint="default" w:ascii="DejaVu Math TeX Gyre" w:hAnsi="DejaVu Math TeX Gyre"/>
            <w:sz w:val="24"/>
          </w:rPr>
          <m:t>x</m:t>
        </m:r>
      </m:oMath>
      <w:r>
        <w:rPr>
          <w:rFonts w:hint="eastAsia" w:ascii="Times New Roman" w:hAnsi="Times New Roman" w:eastAsia="宋体" w:cs="Times New Roman"/>
          <w:color w:val="auto"/>
          <w:sz w:val="24"/>
          <w:highlight w:val="none"/>
          <w:lang w:val="en-US" w:eastAsia="zh-CN"/>
        </w:rPr>
        <w:t>。</w:t>
      </w:r>
      <w:r>
        <w:rPr>
          <w:rFonts w:hint="eastAsia" w:cs="Times New Roman"/>
          <w:color w:val="auto"/>
          <w:sz w:val="24"/>
          <w:highlight w:val="none"/>
          <w:lang w:val="en-US" w:eastAsia="zh-CN"/>
        </w:rPr>
        <w:t>同时根据位移随时间变化的频率可以得到所测的微小电信号波的频率。</w:t>
      </w:r>
    </w:p>
    <w:p w14:paraId="1351A8DC">
      <w:pPr>
        <w:keepNext w:val="0"/>
        <w:keepLines w:val="0"/>
        <w:widowControl/>
        <w:suppressLineNumbers w:val="0"/>
        <w:ind w:firstLine="420" w:firstLineChars="0"/>
        <w:jc w:val="left"/>
        <w:rPr>
          <w:rFonts w:hint="default"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传感器终端由一个</w:t>
      </w:r>
      <w:r>
        <w:rPr>
          <w:rFonts w:hint="eastAsia" w:cs="Times New Roman"/>
          <w:color w:val="auto"/>
          <w:sz w:val="24"/>
          <w:highlight w:val="none"/>
          <w:lang w:val="en-US" w:eastAsia="zh-CN"/>
        </w:rPr>
        <w:t>一维</w:t>
      </w:r>
      <w:r>
        <w:rPr>
          <w:rFonts w:hint="eastAsia" w:ascii="Times New Roman" w:hAnsi="Times New Roman" w:eastAsia="宋体" w:cs="Times New Roman"/>
          <w:color w:val="auto"/>
          <w:sz w:val="24"/>
          <w:highlight w:val="none"/>
          <w:lang w:val="en-US" w:eastAsia="zh-CN"/>
        </w:rPr>
        <w:t>PSD构成，其被牢固安装在与激光轴线垂直的精密滑轨上。PSD 利用半导体的横向光电效应，将落入感光面的光斑中心位置实时转化为两路反向相关的微弱电流信号。为确保测量原点的准确性，实验初始状态下需调整架子高度与镜面角度，使激光光斑精确落在PSD中心，即输出归一化算子</w:t>
      </w:r>
      <m:oMath>
        <m:r>
          <m:rPr/>
          <w:rPr>
            <w:rFonts w:hint="default" w:ascii="DejaVu Math TeX Gyre" w:hAnsi="DejaVu Math TeX Gyre" w:eastAsia="宋体"/>
            <w:sz w:val="24"/>
          </w:rPr>
          <m:t>P≈0</m:t>
        </m:r>
      </m:oMath>
      <w:r>
        <w:rPr>
          <w:rFonts w:hint="eastAsia" w:ascii="Times New Roman" w:hAnsi="Times New Roman" w:eastAsia="宋体" w:cs="Times New Roman"/>
          <w:color w:val="auto"/>
          <w:sz w:val="24"/>
          <w:highlight w:val="none"/>
          <w:lang w:val="en-US" w:eastAsia="zh-CN"/>
        </w:rPr>
        <w:t>的位置。整个机械架子与光学路径均处于完全静止、无风、无信号干扰下（如置于亚克力板搭建的简易空间内），同时在金属丝下端加挂配重，使用厚重金属支架等以减少其他因素引起的悬丝晃动。在装置周围填充吸音棉，以抑制气流扰动</w:t>
      </w:r>
      <w:r>
        <w:rPr>
          <w:rFonts w:hint="eastAsia" w:eastAsia="宋体" w:cs="Times New Roman"/>
          <w:color w:val="auto"/>
          <w:sz w:val="24"/>
          <w:highlight w:val="none"/>
          <w:lang w:val="en-US" w:eastAsia="zh-CN"/>
        </w:rPr>
        <w:t>。具体装置图如下。</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0E533FFB">
        <w:trPr>
          <w:trHeight w:val="3944" w:hRule="atLeast"/>
          <w:jc w:val="center"/>
        </w:trPr>
        <w:tc>
          <w:tcPr>
            <w:tcW w:w="4700" w:type="dxa"/>
            <w:tcBorders>
              <w:tl2br w:val="nil"/>
              <w:tr2bl w:val="nil"/>
            </w:tcBorders>
            <w:vAlign w:val="top"/>
          </w:tcPr>
          <w:p w14:paraId="3CF87C59">
            <w:pPr>
              <w:spacing w:line="360" w:lineRule="auto"/>
              <w:jc w:val="both"/>
              <w:rPr>
                <w:rStyle w:val="31"/>
                <w:rFonts w:hint="eastAsia" w:ascii="Times New Roman" w:hAnsi="Times New Roman" w:eastAsia="宋体" w:cs="Times New Roman"/>
                <w:color w:val="auto"/>
                <w:sz w:val="32"/>
                <w:szCs w:val="32"/>
                <w:highlight w:val="none"/>
                <w:lang w:val="en-US" w:eastAsia="zh-CN"/>
              </w:rPr>
            </w:pPr>
            <w:r>
              <w:rPr>
                <w:rStyle w:val="31"/>
                <w:rFonts w:hint="eastAsia" w:ascii="Times New Roman" w:hAnsi="Times New Roman" w:eastAsia="宋体" w:cs="Times New Roman"/>
                <w:color w:val="auto"/>
                <w:sz w:val="32"/>
                <w:szCs w:val="32"/>
                <w:highlight w:val="none"/>
                <w:lang w:val="en-US" w:eastAsia="zh-CN"/>
              </w:rPr>
              <w:drawing>
                <wp:inline distT="0" distB="0" distL="114300" distR="114300">
                  <wp:extent cx="2847340" cy="2258695"/>
                  <wp:effectExtent l="0" t="0" r="22860" b="1905"/>
                  <wp:docPr id="6" name="图片 6" descr="2装置立体示意图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装置立体示意图导出"/>
                          <pic:cNvPicPr>
                            <a:picLocks noChangeAspect="1"/>
                          </pic:cNvPicPr>
                        </pic:nvPicPr>
                        <pic:blipFill>
                          <a:blip r:embed="rId15"/>
                          <a:srcRect l="3248" r="5690"/>
                          <a:stretch>
                            <a:fillRect/>
                          </a:stretch>
                        </pic:blipFill>
                        <pic:spPr>
                          <a:xfrm>
                            <a:off x="0" y="0"/>
                            <a:ext cx="2847340" cy="2258695"/>
                          </a:xfrm>
                          <a:prstGeom prst="rect">
                            <a:avLst/>
                          </a:prstGeom>
                        </pic:spPr>
                      </pic:pic>
                    </a:graphicData>
                  </a:graphic>
                </wp:inline>
              </w:drawing>
            </w:r>
          </w:p>
        </w:tc>
        <w:tc>
          <w:tcPr>
            <w:tcW w:w="4899" w:type="dxa"/>
            <w:tcBorders>
              <w:tl2br w:val="nil"/>
              <w:tr2bl w:val="nil"/>
            </w:tcBorders>
            <w:vAlign w:val="top"/>
          </w:tcPr>
          <w:p w14:paraId="2846BB82">
            <w:pPr>
              <w:spacing w:line="360" w:lineRule="auto"/>
              <w:jc w:val="both"/>
              <w:rPr>
                <w:rStyle w:val="31"/>
                <w:rFonts w:hint="eastAsia" w:ascii="Times New Roman" w:hAnsi="Times New Roman" w:eastAsia="宋体" w:cs="Times New Roman"/>
                <w:color w:val="auto"/>
                <w:sz w:val="32"/>
                <w:szCs w:val="32"/>
                <w:highlight w:val="none"/>
                <w:lang w:val="en-US" w:eastAsia="zh-CN"/>
              </w:rPr>
            </w:pPr>
            <w:r>
              <w:drawing>
                <wp:inline distT="0" distB="0" distL="114300" distR="114300">
                  <wp:extent cx="2773045" cy="2309495"/>
                  <wp:effectExtent l="0" t="0" r="2095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6"/>
                          <a:stretch>
                            <a:fillRect/>
                          </a:stretch>
                        </pic:blipFill>
                        <pic:spPr>
                          <a:xfrm>
                            <a:off x="0" y="0"/>
                            <a:ext cx="2773045" cy="2309495"/>
                          </a:xfrm>
                          <a:prstGeom prst="rect">
                            <a:avLst/>
                          </a:prstGeom>
                          <a:noFill/>
                          <a:ln>
                            <a:noFill/>
                          </a:ln>
                        </pic:spPr>
                      </pic:pic>
                    </a:graphicData>
                  </a:graphic>
                </wp:inline>
              </w:drawing>
            </w:r>
          </w:p>
        </w:tc>
      </w:tr>
      <w:tr w14:paraId="75126A6E">
        <w:trPr>
          <w:jc w:val="center"/>
        </w:trPr>
        <w:tc>
          <w:tcPr>
            <w:tcW w:w="4700" w:type="dxa"/>
            <w:tcBorders>
              <w:tl2br w:val="nil"/>
              <w:tr2bl w:val="nil"/>
            </w:tcBorders>
            <w:vAlign w:val="top"/>
          </w:tcPr>
          <w:p w14:paraId="78DD43B4">
            <w:pPr>
              <w:pStyle w:val="5"/>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3</w:t>
            </w:r>
            <w:r>
              <w:rPr>
                <w:rFonts w:hint="eastAsia" w:ascii="黑体" w:hAnsi="黑体" w:eastAsia="黑体" w:cs="黑体"/>
                <w:lang w:eastAsia="zh-CN"/>
              </w:rPr>
              <w:t xml:space="preserve"> </w:t>
            </w:r>
            <w:r>
              <w:rPr>
                <w:rFonts w:hint="eastAsia" w:ascii="黑体" w:hAnsi="黑体" w:cs="黑体"/>
                <w:lang w:val="en-US" w:eastAsia="zh-CN"/>
              </w:rPr>
              <w:t>数据采集模块立体示意图</w:t>
            </w:r>
          </w:p>
        </w:tc>
        <w:tc>
          <w:tcPr>
            <w:tcW w:w="4899" w:type="dxa"/>
            <w:tcBorders>
              <w:tl2br w:val="nil"/>
              <w:tr2bl w:val="nil"/>
            </w:tcBorders>
            <w:vAlign w:val="top"/>
          </w:tcPr>
          <w:p w14:paraId="23DB29F5">
            <w:pPr>
              <w:pStyle w:val="5"/>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4</w:t>
            </w:r>
            <w:r>
              <w:rPr>
                <w:rFonts w:hint="eastAsia" w:ascii="黑体" w:hAnsi="黑体" w:eastAsia="黑体" w:cs="黑体"/>
                <w:lang w:eastAsia="zh-CN"/>
              </w:rPr>
              <w:t xml:space="preserve"> </w:t>
            </w:r>
            <w:r>
              <w:rPr>
                <w:rFonts w:hint="eastAsia" w:ascii="黑体" w:hAnsi="黑体" w:cs="黑体"/>
                <w:lang w:val="en-US" w:eastAsia="zh-CN"/>
              </w:rPr>
              <w:t>数据采集模块平面示意图</w:t>
            </w:r>
          </w:p>
        </w:tc>
      </w:tr>
    </w:tbl>
    <w:p w14:paraId="64DD7A06">
      <w:pPr>
        <w:spacing w:line="360" w:lineRule="auto"/>
        <w:ind w:firstLine="480" w:firstLineChars="200"/>
        <w:rPr>
          <w:rFonts w:hint="default" w:cs="Times New Roman"/>
          <w:color w:val="auto"/>
          <w:sz w:val="24"/>
          <w:highlight w:val="none"/>
          <w:lang w:val="en-US" w:eastAsia="zh-CN"/>
        </w:rPr>
      </w:pPr>
    </w:p>
    <w:p w14:paraId="1E15C61B">
      <w:pPr>
        <w:numPr>
          <w:ilvl w:val="1"/>
          <w:numId w:val="1"/>
        </w:numPr>
        <w:spacing w:line="360" w:lineRule="auto"/>
        <w:ind w:left="567" w:leftChars="0" w:hanging="567" w:firstLineChars="0"/>
        <w:jc w:val="left"/>
        <w:outlineLvl w:val="1"/>
        <w:rPr>
          <w:rStyle w:val="31"/>
          <w:rFonts w:hint="default" w:ascii="Times New Roman" w:hAnsi="Times New Roman" w:eastAsia="黑体" w:cs="Times New Roman"/>
          <w:color w:val="auto"/>
          <w:sz w:val="28"/>
          <w:szCs w:val="28"/>
          <w:highlight w:val="none"/>
          <w:lang w:val="en-US" w:eastAsia="zh-CN"/>
        </w:rPr>
      </w:pPr>
      <w:bookmarkStart w:id="53" w:name="_Toc1408736691"/>
      <w:bookmarkStart w:id="54" w:name="_Toc1655064410"/>
      <w:bookmarkStart w:id="55" w:name="_Toc2021717785"/>
      <w:r>
        <w:rPr>
          <w:rStyle w:val="31"/>
          <w:rFonts w:hint="eastAsia" w:ascii="Times New Roman" w:hAnsi="Times New Roman" w:eastAsia="黑体" w:cs="Times New Roman"/>
          <w:color w:val="auto"/>
          <w:sz w:val="28"/>
          <w:szCs w:val="28"/>
          <w:highlight w:val="none"/>
          <w:lang w:val="en-US" w:eastAsia="zh-CN"/>
        </w:rPr>
        <w:t>数据放大模块设计</w:t>
      </w:r>
      <w:bookmarkEnd w:id="53"/>
      <w:bookmarkEnd w:id="54"/>
      <w:bookmarkEnd w:id="55"/>
    </w:p>
    <w:p w14:paraId="59AE4766">
      <w:pPr>
        <w:spacing w:line="360" w:lineRule="auto"/>
        <w:ind w:firstLine="480" w:firstLineChars="200"/>
        <w:rPr>
          <w:rFonts w:hint="eastAsia" w:ascii="Times New Roman" w:hAnsi="Times New Roman" w:eastAsia="宋体" w:cs="Times New Roman"/>
          <w:color w:val="auto"/>
          <w:sz w:val="24"/>
          <w:highlight w:val="none"/>
        </w:rPr>
      </w:pPr>
      <w:r>
        <w:rPr>
          <w:rFonts w:hint="eastAsia" w:ascii="Times New Roman" w:hAnsi="Times New Roman" w:eastAsia="宋体" w:cs="Times New Roman"/>
          <w:color w:val="auto"/>
          <w:sz w:val="24"/>
          <w:highlight w:val="none"/>
        </w:rPr>
        <w:t>跨阻放大器是实现微弱电流测量的核心电路，其设计质量直接决定了系统的测量性能。为避免信号在转换过程中被运放自身的噪声和偏置所淹没，本设计选用AD8628作为核心芯片。该芯片具有极低的输入偏置电流，可有效避免运放输入端“分流”极其微弱的光电流信号，从而减小测量误差；同时其零漂移特性能够自动补偿输入失调电压及其温度漂移，确保长时间测量过程中直流基准的稳定可靠。</w:t>
      </w:r>
    </w:p>
    <w:p w14:paraId="78D6F4F2">
      <w:pPr>
        <w:spacing w:line="360" w:lineRule="auto"/>
        <w:ind w:firstLine="480" w:firstLineChars="200"/>
        <w:rPr>
          <w:rFonts w:hint="eastAsia" w:ascii="Times New Roman" w:hAnsi="Times New Roman" w:eastAsia="宋体" w:cs="Times New Roman"/>
          <w:color w:val="auto"/>
          <w:sz w:val="24"/>
          <w:highlight w:val="none"/>
        </w:rPr>
      </w:pPr>
    </w:p>
    <w:p w14:paraId="34E8067F">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56" w:name="_Toc630357462"/>
      <w:bookmarkStart w:id="57" w:name="_Toc1524549661"/>
      <w:bookmarkStart w:id="58" w:name="_Toc311859279"/>
      <w:r>
        <w:rPr>
          <w:rStyle w:val="31"/>
          <w:rFonts w:hint="eastAsia" w:ascii="Times New Roman" w:hAnsi="Times New Roman" w:eastAsia="黑体" w:cs="Times New Roman"/>
          <w:color w:val="auto"/>
          <w:sz w:val="28"/>
          <w:szCs w:val="28"/>
          <w:highlight w:val="none"/>
          <w:lang w:val="en-US" w:eastAsia="zh-CN"/>
        </w:rPr>
        <w:t>数据处理模块设计</w:t>
      </w:r>
      <w:bookmarkEnd w:id="56"/>
      <w:bookmarkEnd w:id="57"/>
      <w:bookmarkEnd w:id="58"/>
    </w:p>
    <w:p w14:paraId="5AA6794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由外部16位ADC模块ADS1115与UNO构成。由于UNO内置的ADC仅为10位分辨率，远不能满足微弱信号的测量需求，因此选用ADS1115作为数据处理模块的核心。在算法实现层面，本系统不直接提取绝对电压，而是通过读取PSD两路输出电压</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V</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1</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与</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V</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2</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计算归一化位置算子</w:t>
      </w:r>
      <m:oMath>
        <m:r>
          <m:rPr>
            <m:sty m:val="p"/>
          </m:rPr>
          <w:rPr>
            <w:rFonts w:hint="default" w:ascii="DejaVu Math TeX Gyre" w:hAnsi="DejaVu Math TeX Gyre" w:eastAsia="宋体"/>
            <w:sz w:val="24"/>
            <w:lang w:val="en-US" w:eastAsia="zh-CN"/>
          </w:rPr>
          <m:t>P</m:t>
        </m:r>
      </m:oMath>
      <w:r>
        <w:rPr>
          <w:rFonts w:hint="eastAsia" w:hAnsi="DejaVu Math TeX Gyre" w:eastAsia="宋体"/>
          <w:i w:val="0"/>
          <w:sz w:val="24"/>
          <w:lang w:val="en-US" w:eastAsia="zh-CN"/>
        </w:rPr>
        <w:t>：</w:t>
      </w:r>
    </w:p>
    <w:p w14:paraId="11D74583">
      <w:pPr>
        <w:spacing w:line="360" w:lineRule="auto"/>
        <w:ind w:firstLine="480" w:firstLineChars="200"/>
        <w:rPr>
          <w:rFonts w:hint="eastAsia" w:hAnsi="DejaVu Math TeX Gyre" w:eastAsia="宋体" w:cs="Times New Roman"/>
          <w:i w:val="0"/>
          <w:kern w:val="2"/>
          <w:sz w:val="24"/>
          <w:szCs w:val="24"/>
          <w:lang w:val="en-US" w:eastAsia="zh-CN" w:bidi="ar-SA"/>
        </w:rPr>
      </w:pPr>
      <m:oMathPara>
        <m:oMath>
          <m:r>
            <m:rPr/>
            <w:rPr>
              <w:rFonts w:hint="default" w:ascii="DejaVu Math TeX Gyre" w:hAnsi="DejaVu Math TeX Gyre" w:eastAsia="宋体"/>
              <w:sz w:val="24"/>
            </w:rPr>
            <m:t>P=</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5255388C">
      <w:pPr>
        <w:spacing w:line="360" w:lineRule="auto"/>
        <w:ind w:firstLine="480" w:firstLineChars="200"/>
        <w:rPr>
          <w:rFonts w:hint="eastAsia" w:hAnsi="DejaVu Math TeX Gyre"/>
          <w:i w:val="0"/>
          <w:sz w:val="24"/>
          <w:lang w:val="en-US" w:eastAsia="zh-CN"/>
        </w:rPr>
      </w:pPr>
      <w:r>
        <w:rPr>
          <w:rFonts w:hint="eastAsia" w:hAnsi="DejaVu Math TeX Gyre"/>
          <w:i w:val="0"/>
          <w:sz w:val="24"/>
          <w:lang w:val="en-US" w:eastAsia="zh-CN"/>
        </w:rPr>
        <w:t>该算子具有抵消光源波动干扰的特性。结合 PSD 探测器的有效感光长度</w:t>
      </w:r>
      <m:oMath>
        <m:r>
          <m:rPr/>
          <w:rPr>
            <w:rFonts w:hint="default" w:ascii="DejaVu Math TeX Gyre" w:hAnsi="DejaVu Math TeX Gyre"/>
            <w:sz w:val="24"/>
          </w:rPr>
          <m:t>L</m:t>
        </m:r>
      </m:oMath>
      <w:r>
        <w:rPr>
          <w:rFonts w:hint="eastAsia" w:hAnsi="DejaVu Math TeX Gyre"/>
          <w:i w:val="0"/>
          <w:sz w:val="24"/>
          <w:lang w:val="en-US" w:eastAsia="zh-CN"/>
        </w:rPr>
        <w:t>，可解调出光斑的实际位移</w:t>
      </w:r>
      <m:oMath>
        <m:r>
          <m:rPr/>
          <w:rPr>
            <w:rFonts w:hint="default" w:ascii="DejaVu Math TeX Gyre" w:hAnsi="DejaVu Math TeX Gyre"/>
            <w:sz w:val="24"/>
          </w:rPr>
          <m:t>x</m:t>
        </m:r>
      </m:oMath>
      <w:r>
        <w:rPr>
          <w:rFonts w:hint="eastAsia" w:hAnsi="DejaVu Math TeX Gyre"/>
          <w:i w:val="0"/>
          <w:sz w:val="24"/>
          <w:lang w:val="en-US" w:eastAsia="zh-CN"/>
        </w:rPr>
        <w:t>：</w:t>
      </w:r>
    </w:p>
    <w:p w14:paraId="400FBE5B">
      <w:pPr>
        <w:spacing w:line="360" w:lineRule="auto"/>
        <w:ind w:firstLine="480" w:firstLineChars="200"/>
        <w:rPr>
          <w:rFonts w:hint="eastAsia" w:hAnsi="DejaVu Math TeX Gyre" w:eastAsia="宋体" w:cs="Times New Roman"/>
          <w:i w:val="0"/>
          <w:kern w:val="2"/>
          <w:sz w:val="24"/>
          <w:szCs w:val="24"/>
          <w:lang w:val="en-US" w:eastAsia="zh-CN" w:bidi="ar-SA"/>
        </w:rPr>
      </w:pPr>
      <m:oMathPara>
        <m:oMath>
          <m:r>
            <m:rPr/>
            <w:rPr>
              <w:rFonts w:hint="default" w:ascii="DejaVu Math TeX Gyre" w:hAnsi="DejaVu Math TeX Gyre" w:eastAsia="宋体"/>
              <w:sz w:val="24"/>
            </w:rPr>
            <m:t>x=</m:t>
          </m:r>
          <m:f>
            <m:fPr>
              <m:ctrlPr>
                <w:rPr>
                  <w:rFonts w:hint="default" w:ascii="DejaVu Math TeX Gyre" w:hAnsi="DejaVu Math TeX Gyre" w:eastAsia="宋体"/>
                  <w:i/>
                  <w:sz w:val="24"/>
                </w:rPr>
              </m:ctrlPr>
            </m:fPr>
            <m:num>
              <m:r>
                <m:rPr/>
                <w:rPr>
                  <w:rFonts w:hint="default" w:ascii="DejaVu Math TeX Gyre" w:hAnsi="DejaVu Math TeX Gyre" w:eastAsia="宋体"/>
                  <w:sz w:val="24"/>
                </w:rPr>
                <m:t>L</m:t>
              </m:r>
              <m:ctrlPr>
                <w:rPr>
                  <w:rFonts w:ascii="DejaVu Math TeX Gyre" w:hAnsi="DejaVu Math TeX Gyre" w:eastAsia="宋体"/>
                  <w:sz w:val="24"/>
                </w:rPr>
              </m:ctrlPr>
            </m:num>
            <m:den>
              <m:r>
                <m:rPr/>
                <w:rPr>
                  <w:rFonts w:hint="default" w:ascii="DejaVu Math TeX Gyre" w:hAnsi="DejaVu Math TeX Gyre" w:eastAsia="宋体"/>
                  <w:sz w:val="24"/>
                </w:rPr>
                <m:t>2</m:t>
              </m:r>
              <m:ctrlPr>
                <w:rPr>
                  <w:rFonts w:ascii="DejaVu Math TeX Gyre" w:hAnsi="DejaVu Math TeX Gyre" w:eastAsia="宋体"/>
                  <w:sz w:val="24"/>
                </w:rPr>
              </m:ctrlPr>
            </m:den>
          </m:f>
          <m:r>
            <m:rPr/>
            <w:rPr>
              <w:rFonts w:hint="default" w:ascii="DejaVu Math TeX Gyre" w:hAnsi="DejaVu Math TeX Gyre" w:eastAsia="宋体"/>
              <w:sz w:val="24"/>
            </w:rPr>
            <m:t>⋅P</m:t>
          </m:r>
        </m:oMath>
      </m:oMathPara>
    </w:p>
    <w:p w14:paraId="51D97B5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为进一步降低噪声，可对数据处理模块</w:t>
      </w:r>
      <w:r>
        <w:rPr>
          <w:rFonts w:hint="eastAsia" w:hAnsi="DejaVu Math TeX Gyre"/>
          <w:i w:val="0"/>
          <w:sz w:val="24"/>
          <w:lang w:val="en-US" w:eastAsia="zh-CN"/>
        </w:rPr>
        <w:t>做如下</w:t>
      </w:r>
      <w:r>
        <w:rPr>
          <w:rFonts w:hint="eastAsia" w:hAnsi="DejaVu Math TeX Gyre" w:eastAsia="宋体"/>
          <w:i w:val="0"/>
          <w:sz w:val="24"/>
          <w:lang w:val="en-US" w:eastAsia="zh-CN"/>
        </w:rPr>
        <w:t>调整。一是降低数据速率，因为采样速率越慢，内部积分时间越长，对高频噪声的抑制效果越好。二是根据放大器输出的电压范围选择合适的ADS1115增益量程，使信号尽可能占满ADC的量程，从而提升信噪比。</w:t>
      </w:r>
    </w:p>
    <w:p w14:paraId="38E69BE3">
      <w:pPr>
        <w:spacing w:line="360" w:lineRule="auto"/>
        <w:ind w:firstLine="480" w:firstLineChars="200"/>
        <w:rPr>
          <w:rFonts w:hint="eastAsia" w:hAnsi="DejaVu Math TeX Gyre" w:eastAsia="宋体"/>
          <w:i w:val="0"/>
          <w:sz w:val="24"/>
          <w:lang w:val="en-US" w:eastAsia="zh-CN"/>
        </w:rPr>
      </w:pPr>
    </w:p>
    <w:p w14:paraId="2724A1A2">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59" w:name="_Toc881033183"/>
      <w:bookmarkStart w:id="60" w:name="_Toc1558803473"/>
      <w:bookmarkStart w:id="61" w:name="_Toc1478760070"/>
      <w:r>
        <w:rPr>
          <w:rStyle w:val="31"/>
          <w:rFonts w:hint="eastAsia" w:ascii="Times New Roman" w:hAnsi="Times New Roman" w:eastAsia="黑体" w:cs="Times New Roman"/>
          <w:color w:val="auto"/>
          <w:sz w:val="28"/>
          <w:szCs w:val="28"/>
          <w:highlight w:val="none"/>
          <w:lang w:val="en-US" w:eastAsia="zh-CN"/>
        </w:rPr>
        <w:t>电磁屏蔽</w:t>
      </w:r>
      <w:r>
        <w:rPr>
          <w:rStyle w:val="31"/>
          <w:rFonts w:hint="eastAsia" w:eastAsia="黑体" w:cs="Times New Roman"/>
          <w:color w:val="auto"/>
          <w:sz w:val="28"/>
          <w:szCs w:val="28"/>
          <w:highlight w:val="none"/>
          <w:lang w:val="en-US" w:eastAsia="zh-CN"/>
        </w:rPr>
        <w:t>与抗干扰</w:t>
      </w:r>
      <w:r>
        <w:rPr>
          <w:rStyle w:val="31"/>
          <w:rFonts w:hint="eastAsia" w:ascii="Times New Roman" w:hAnsi="Times New Roman" w:eastAsia="黑体" w:cs="Times New Roman"/>
          <w:color w:val="auto"/>
          <w:sz w:val="28"/>
          <w:szCs w:val="28"/>
          <w:highlight w:val="none"/>
          <w:lang w:val="en-US" w:eastAsia="zh-CN"/>
        </w:rPr>
        <w:t>设计</w:t>
      </w:r>
      <w:bookmarkEnd w:id="59"/>
      <w:bookmarkEnd w:id="60"/>
      <w:bookmarkEnd w:id="61"/>
    </w:p>
    <w:p w14:paraId="04E495B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微弱信号测量中，电磁干扰是主要噪声来源。为减少噪声干扰的问题，系统采用三层屏蔽策略，确保信号完整性。</w:t>
      </w:r>
    </w:p>
    <w:p w14:paraId="4E0B9B2A">
      <w:pPr>
        <w:spacing w:line="360" w:lineRule="auto"/>
        <w:ind w:firstLine="480" w:firstLineChars="200"/>
        <w:rPr>
          <w:rFonts w:hint="default" w:hAnsi="DejaVu Math TeX Gyre" w:eastAsia="宋体"/>
          <w:i w:val="0"/>
          <w:sz w:val="24"/>
          <w:lang w:val="en-US" w:eastAsia="zh-CN"/>
        </w:rPr>
      </w:pPr>
      <w:r>
        <w:rPr>
          <w:rFonts w:hint="eastAsia" w:hAnsi="DejaVu Math TeX Gyre" w:eastAsia="宋体"/>
          <w:i w:val="0"/>
          <w:sz w:val="24"/>
          <w:lang w:val="en-US" w:eastAsia="zh-CN"/>
        </w:rPr>
        <w:t>对于数据采集模块，对应微小电信号的发射源的固有频率，通过合理选择悬丝的粗细、长度以及下端反射镜与线圈的转动惯量，使悬丝扭转系统具备固定的机械谐振频率，当待测交变电信号的频率与该谐振频率一致时，悬丝会发生共振并产生显著的扭转偏转，偏离该频率的信号则无法驱动悬丝形成大幅振动，以此让装置只对这一特定频率的信号产生响应，实现对单一频率波形的选择性测量。同时可以在装置外搭建防气流罩时同时搭设大型法拉第笼以用于屏蔽其他外界的各类电信号。</w:t>
      </w:r>
    </w:p>
    <w:p w14:paraId="0C67D720">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对于数据放大模块，使用带BNC接口的铝合金屏蔽盒覆盖在ADS1115与AD8628之上。相比于塑料盒或薄铁皮盒，压铸铝盒具有更佳的壁厚和连续性，铝的高导电性使其能够产生感应电流抵消外部交变电场，从而形成近乎完美的法拉第笼。盒盖与盒身通常通过螺钉紧固，接触面平整，当BNC母座安装在铝盒上时，电缆的屏蔽层、BNC外壳与铝盒壳体连为一体，确保信号从传感器到放大器的整个路径都处于金属包围之中。</w:t>
      </w:r>
    </w:p>
    <w:p w14:paraId="56905F9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对于数据处理模块，采用软硬协同的多方面降噪策略。硬件方面，将</w:t>
      </w:r>
      <w:r>
        <w:rPr>
          <w:rFonts w:hint="eastAsia" w:hAnsi="DejaVu Math TeX Gyre"/>
          <w:i w:val="0"/>
          <w:sz w:val="24"/>
          <w:lang w:val="en-US" w:eastAsia="zh-CN"/>
        </w:rPr>
        <w:t>UNO</w:t>
      </w:r>
      <w:r>
        <w:rPr>
          <w:rFonts w:hint="eastAsia" w:hAnsi="DejaVu Math TeX Gyre" w:eastAsia="宋体"/>
          <w:i w:val="0"/>
          <w:sz w:val="24"/>
          <w:lang w:val="en-US" w:eastAsia="zh-CN"/>
        </w:rPr>
        <w:t>、OLED屏幕与前端电路保持物理距离，并将所有模块的地线汇聚于一点，以避免形成地环路。软件方面使用取平均值与去除特殊数据的方法降低噪声带来的影响，详见后文软件系统设计中的数字降噪算法。</w:t>
      </w:r>
    </w:p>
    <w:p w14:paraId="1751E0E3">
      <w:pPr>
        <w:spacing w:line="360" w:lineRule="auto"/>
        <w:ind w:firstLine="480" w:firstLineChars="200"/>
        <w:rPr>
          <w:rFonts w:hint="default" w:hAnsi="DejaVu Math TeX Gyre" w:eastAsia="宋体"/>
          <w:i w:val="0"/>
          <w:sz w:val="24"/>
          <w:lang w:val="en-US" w:eastAsia="zh-CN"/>
        </w:rPr>
      </w:pPr>
    </w:p>
    <w:p w14:paraId="010F8F6B">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62" w:name="_Toc692249759"/>
      <w:bookmarkStart w:id="63" w:name="_Toc624960616"/>
      <w:bookmarkStart w:id="64" w:name="_Toc1656960958"/>
      <w:r>
        <w:rPr>
          <w:rStyle w:val="31"/>
          <w:rFonts w:hint="eastAsia" w:ascii="Times New Roman" w:hAnsi="Times New Roman" w:eastAsia="黑体" w:cs="Times New Roman"/>
          <w:color w:val="auto"/>
          <w:sz w:val="28"/>
          <w:szCs w:val="28"/>
          <w:highlight w:val="none"/>
          <w:lang w:val="en-US" w:eastAsia="zh-CN"/>
        </w:rPr>
        <w:t>电源选择</w:t>
      </w:r>
      <w:bookmarkEnd w:id="62"/>
      <w:bookmarkEnd w:id="63"/>
      <w:bookmarkEnd w:id="64"/>
    </w:p>
    <w:p w14:paraId="003C887B">
      <w:pPr>
        <w:spacing w:line="360" w:lineRule="auto"/>
        <w:ind w:firstLine="480" w:firstLineChars="200"/>
        <w:rPr>
          <w:rFonts w:hint="default" w:hAnsi="DejaVu Math TeX Gyre" w:eastAsia="宋体"/>
          <w:i w:val="0"/>
          <w:sz w:val="24"/>
          <w:lang w:val="en-US" w:eastAsia="zh-CN"/>
        </w:rPr>
      </w:pPr>
      <w:r>
        <w:rPr>
          <w:rFonts w:hint="default" w:hAnsi="DejaVu Math TeX Gyre" w:eastAsia="宋体"/>
          <w:i w:val="0"/>
          <w:sz w:val="24"/>
          <w:lang w:val="en-US" w:eastAsia="zh-CN"/>
        </w:rPr>
        <w:t>电源噪声会直接影响测量精度，若使用常见的USB接口等开关电源，可能产生高频开关噪声并耦合到电路中，从而完全覆盖微弱的电信号。因此本系统采用线性9V叠层电池，电池通过化学反应产生电流，具有较低纹波特性，可显著降低高频噪声干扰，是微弱信号测量中最理想的能源。</w:t>
      </w:r>
    </w:p>
    <w:p w14:paraId="77C8406D">
      <w:pPr>
        <w:spacing w:line="360" w:lineRule="auto"/>
        <w:rPr>
          <w:rFonts w:hint="eastAsia" w:ascii="Times New Roman" w:hAnsi="Times New Roman" w:eastAsia="宋体" w:cs="Times New Roman"/>
          <w:color w:val="auto"/>
          <w:sz w:val="24"/>
          <w:highlight w:val="none"/>
        </w:rPr>
      </w:pPr>
    </w:p>
    <w:p w14:paraId="1E3EDD8A">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65" w:name="_Toc1722783714"/>
      <w:bookmarkStart w:id="66" w:name="_Toc370555635"/>
      <w:bookmarkStart w:id="67" w:name="_Toc2122370457"/>
      <w:bookmarkStart w:id="68" w:name="_Toc1059762956"/>
      <w:r>
        <w:rPr>
          <w:rStyle w:val="31"/>
          <w:rFonts w:hint="eastAsia" w:eastAsia="黑体" w:cs="Times New Roman"/>
          <w:color w:val="auto"/>
          <w:sz w:val="32"/>
          <w:szCs w:val="32"/>
          <w:highlight w:val="none"/>
          <w:lang w:val="en-US" w:eastAsia="zh-CN"/>
        </w:rPr>
        <w:t>系统标定与量化模型</w:t>
      </w:r>
      <w:bookmarkEnd w:id="65"/>
      <w:bookmarkEnd w:id="66"/>
    </w:p>
    <w:p w14:paraId="00F17520">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69" w:name="_Toc303868697"/>
      <w:bookmarkStart w:id="70" w:name="_Toc225981145"/>
      <w:r>
        <w:rPr>
          <w:rStyle w:val="31"/>
          <w:rFonts w:hint="eastAsia" w:ascii="Times New Roman" w:hAnsi="Times New Roman" w:eastAsia="黑体" w:cs="Times New Roman"/>
          <w:color w:val="auto"/>
          <w:sz w:val="28"/>
          <w:szCs w:val="28"/>
          <w:highlight w:val="none"/>
          <w:lang w:val="en-US" w:eastAsia="zh-CN"/>
        </w:rPr>
        <w:t>悬丝扭转劲度系数</w:t>
      </w:r>
      <m:oMath>
        <m:r>
          <m:rPr>
            <m:sty m:val="p"/>
          </m:rPr>
          <w:rPr>
            <w:rStyle w:val="31"/>
            <w:rFonts w:hint="default" w:ascii="Times New Roman" w:hAnsi="Times New Roman" w:eastAsia="黑体" w:cs="Times New Roman"/>
            <w:color w:val="auto"/>
            <w:sz w:val="28"/>
            <w:szCs w:val="28"/>
            <w:highlight w:val="none"/>
            <w:lang w:val="en-US" w:eastAsia="zh-CN"/>
          </w:rPr>
          <m:t>k</m:t>
        </m:r>
      </m:oMath>
      <w:r>
        <w:rPr>
          <w:rStyle w:val="31"/>
          <w:rFonts w:hint="eastAsia" w:ascii="Times New Roman" w:hAnsi="Times New Roman" w:eastAsia="黑体" w:cs="Times New Roman"/>
          <w:color w:val="auto"/>
          <w:sz w:val="28"/>
          <w:szCs w:val="28"/>
          <w:highlight w:val="none"/>
          <w:lang w:val="en-US" w:eastAsia="zh-CN"/>
        </w:rPr>
        <w:t>的静态标定</w:t>
      </w:r>
      <w:bookmarkEnd w:id="69"/>
      <w:bookmarkEnd w:id="70"/>
    </w:p>
    <w:p w14:paraId="155F7DB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在系统投入测量前，必须对核心力学参数——悬丝扭转劲度系数</w:t>
      </w:r>
      <m:oMath>
        <m:r>
          <m:rPr>
            <m:sty m:val="p"/>
          </m:rPr>
          <w:rPr>
            <w:rFonts w:hint="default" w:ascii="DejaVu Math TeX Gyre" w:hAnsi="DejaVu Math TeX Gyre" w:eastAsia="宋体"/>
            <w:sz w:val="24"/>
            <w:lang w:val="en-US" w:eastAsia="zh-CN"/>
          </w:rPr>
          <m:t>k</m:t>
        </m:r>
      </m:oMath>
      <w:r>
        <w:rPr>
          <w:rFonts w:hint="eastAsia" w:hAnsi="DejaVu Math TeX Gyre" w:eastAsia="宋体"/>
          <w:i w:val="0"/>
          <w:sz w:val="24"/>
          <w:lang w:val="en-US" w:eastAsia="zh-CN"/>
        </w:rPr>
        <w:t>进行精确标定。本实验采用静态力矩平衡法，通过在线圈边缘（即力臂长度</w:t>
      </w:r>
      <m:oMath>
        <m:r>
          <m:rPr>
            <m:sty m:val="p"/>
          </m:rPr>
          <w:rPr>
            <w:rFonts w:hint="default" w:ascii="DejaVu Math TeX Gyre" w:hAnsi="DejaVu Math TeX Gyre" w:eastAsia="宋体"/>
            <w:sz w:val="24"/>
            <w:lang w:val="en-US" w:eastAsia="zh-CN"/>
          </w:rPr>
          <m:t>L</m:t>
        </m:r>
      </m:oMath>
      <w:r>
        <w:rPr>
          <w:rFonts w:hint="eastAsia" w:hAnsi="DejaVu Math TeX Gyre" w:eastAsia="宋体"/>
          <w:i w:val="0"/>
          <w:sz w:val="24"/>
          <w:lang w:val="en-US" w:eastAsia="zh-CN"/>
        </w:rPr>
        <w:t>处）挂载质量为</w:t>
      </w:r>
      <m:oMath>
        <m:r>
          <m:rPr>
            <m:sty m:val="p"/>
          </m:rPr>
          <w:rPr>
            <w:rFonts w:hint="default" w:ascii="DejaVu Math TeX Gyre" w:hAnsi="DejaVu Math TeX Gyre" w:eastAsia="宋体"/>
            <w:sz w:val="24"/>
            <w:lang w:val="en-US" w:eastAsia="zh-CN"/>
          </w:rPr>
          <m:t>m</m:t>
        </m:r>
      </m:oMath>
      <w:r>
        <w:rPr>
          <w:rFonts w:hint="eastAsia" w:hAnsi="DejaVu Math TeX Gyre" w:eastAsia="宋体"/>
          <w:i w:val="0"/>
          <w:sz w:val="24"/>
          <w:lang w:val="en-US" w:eastAsia="zh-CN"/>
        </w:rPr>
        <w:t>的标准微型砝码，人为施加一个已知物理力矩</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M</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0</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w:t>
      </w:r>
    </w:p>
    <w:p w14:paraId="24FA367B">
      <w:pPr>
        <w:spacing w:line="360" w:lineRule="auto"/>
        <w:ind w:firstLine="480" w:firstLineChars="200"/>
        <w:rPr>
          <w:rFonts w:hint="eastAsia" w:hAnsi="DejaVu Math TeX Gyre" w:eastAsia="宋体" w:cs="Times New Roman"/>
          <w:i w:val="0"/>
          <w:color w:val="auto"/>
          <w:kern w:val="2"/>
          <w:sz w:val="24"/>
          <w:szCs w:val="24"/>
          <w:highlight w:val="none"/>
          <w:lang w:val="en-US" w:eastAsia="zh-CN" w:bidi="ar-SA"/>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hint="default" w:ascii="DejaVu Math TeX Gyre" w:hAnsi="DejaVu Math TeX Gyre" w:eastAsia="宋体"/>
              <w:sz w:val="24"/>
            </w:rPr>
            <m:t>=m⋅g⋅L</m:t>
          </m:r>
        </m:oMath>
      </m:oMathPara>
    </w:p>
    <w:p w14:paraId="08A3C76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此时，利用激光光杠杆测得标定状态下的光斑初始位移</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x</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0</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，并计算出相应的偏转角</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θ</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0</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。根据角向胡克定律</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M</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0</m:t>
            </m:r>
            <m:ctrlPr>
              <w:rPr>
                <w:rFonts w:hint="eastAsia" w:ascii="DejaVu Math TeX Gyre" w:hAnsi="DejaVu Math TeX Gyre" w:eastAsia="宋体"/>
                <w:i w:val="0"/>
                <w:sz w:val="24"/>
                <w:lang w:val="en-US" w:eastAsia="zh-CN"/>
              </w:rPr>
            </m:ctrlPr>
          </m:sub>
        </m:sSub>
        <m:r>
          <m:rPr>
            <m:sty m:val="p"/>
          </m:rPr>
          <w:rPr>
            <w:rFonts w:hint="default" w:ascii="DejaVu Math TeX Gyre" w:hAnsi="DejaVu Math TeX Gyre" w:eastAsia="宋体"/>
            <w:sz w:val="24"/>
            <w:lang w:val="en-US" w:eastAsia="zh-CN"/>
          </w:rPr>
          <m:t>=k</m:t>
        </m:r>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θ</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0</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，推导出劲度系数</w:t>
      </w:r>
      <m:oMath>
        <m:r>
          <m:rPr>
            <m:sty m:val="p"/>
          </m:rPr>
          <w:rPr>
            <w:rFonts w:hint="default" w:ascii="DejaVu Math TeX Gyre" w:hAnsi="DejaVu Math TeX Gyre" w:eastAsia="宋体"/>
            <w:sz w:val="24"/>
            <w:lang w:val="en-US" w:eastAsia="zh-CN"/>
          </w:rPr>
          <m:t>k</m:t>
        </m:r>
      </m:oMath>
      <w:r>
        <w:rPr>
          <w:rFonts w:hint="eastAsia" w:hAnsi="DejaVu Math TeX Gyre" w:eastAsia="宋体"/>
          <w:i w:val="0"/>
          <w:sz w:val="24"/>
          <w:lang w:val="en-US" w:eastAsia="zh-CN"/>
        </w:rPr>
        <w:t>的标定公式：</w:t>
      </w:r>
    </w:p>
    <w:p w14:paraId="682A86A8">
      <w:pPr>
        <w:spacing w:line="360" w:lineRule="auto"/>
        <w:ind w:firstLine="480" w:firstLineChars="200"/>
        <w:jc w:val="center"/>
        <w:rPr>
          <w:rFonts w:hint="eastAsia" w:hAnsi="DejaVu Math TeX Gyre" w:eastAsia="宋体" w:cs="Times New Roman"/>
          <w:i w:val="0"/>
          <w:color w:val="auto"/>
          <w:kern w:val="2"/>
          <w:sz w:val="24"/>
          <w:szCs w:val="24"/>
          <w:highlight w:val="none"/>
          <w:lang w:val="en-US" w:eastAsia="zh-CN" w:bidi="ar-SA"/>
        </w:rPr>
      </w:pPr>
      <m:oMathPara>
        <m:oMath>
          <m:r>
            <m:rPr/>
            <w:rPr>
              <w:rFonts w:hint="default" w:ascii="DejaVu Math TeX Gyre" w:hAnsi="DejaVu Math TeX Gyre" w:eastAsia="宋体"/>
              <w:sz w:val="24"/>
            </w:rPr>
            <m:t>k=</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M</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θ</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den>
          </m:f>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2DmgL</m:t>
              </m:r>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2B84F96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通过该步骤，系统能够补偿由悬丝材料疲劳或安装张力变化带来的系统误差。</w:t>
      </w:r>
    </w:p>
    <w:p w14:paraId="1245A8F2">
      <w:pPr>
        <w:spacing w:line="360" w:lineRule="auto"/>
        <w:ind w:firstLine="480" w:firstLineChars="200"/>
        <w:rPr>
          <w:rFonts w:hint="eastAsia" w:hAnsi="DejaVu Math TeX Gyre" w:eastAsia="宋体"/>
          <w:i w:val="0"/>
          <w:sz w:val="24"/>
          <w:lang w:val="en-US" w:eastAsia="zh-CN"/>
        </w:rPr>
      </w:pPr>
    </w:p>
    <w:p w14:paraId="29710CF3">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71" w:name="_Toc405077913"/>
      <w:bookmarkStart w:id="72" w:name="_Toc1314016119"/>
      <w:r>
        <w:rPr>
          <w:rStyle w:val="31"/>
          <w:rFonts w:hint="eastAsia" w:ascii="Times New Roman" w:hAnsi="Times New Roman" w:eastAsia="黑体" w:cs="Times New Roman"/>
          <w:color w:val="auto"/>
          <w:sz w:val="28"/>
          <w:szCs w:val="28"/>
          <w:highlight w:val="none"/>
          <w:lang w:val="en-US" w:eastAsia="zh-CN"/>
        </w:rPr>
        <w:t>信号量化模型与反推算法</w:t>
      </w:r>
      <w:bookmarkEnd w:id="71"/>
      <w:bookmarkEnd w:id="72"/>
    </w:p>
    <w:p w14:paraId="736662F9">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在获取标定系数</w:t>
      </w:r>
      <m:oMath>
        <m:r>
          <m:rPr>
            <m:sty m:val="p"/>
          </m:rPr>
          <w:rPr>
            <w:rFonts w:hint="default" w:ascii="DejaVu Math TeX Gyre" w:hAnsi="DejaVu Math TeX Gyre" w:eastAsia="宋体"/>
            <w:sz w:val="24"/>
            <w:lang w:val="en-US" w:eastAsia="zh-CN"/>
          </w:rPr>
          <m:t>k</m:t>
        </m:r>
      </m:oMath>
      <w:r>
        <w:rPr>
          <w:rFonts w:hint="eastAsia" w:hAnsi="DejaVu Math TeX Gyre" w:eastAsia="宋体"/>
          <w:i w:val="0"/>
          <w:sz w:val="24"/>
          <w:lang w:val="en-US" w:eastAsia="zh-CN"/>
        </w:rPr>
        <w:t>后，系统即可建立从位移</w:t>
      </w:r>
      <m:oMath>
        <m:r>
          <m:rPr>
            <m:sty m:val="p"/>
          </m:rPr>
          <w:rPr>
            <w:rFonts w:hint="default" w:ascii="DejaVu Math TeX Gyre" w:hAnsi="DejaVu Math TeX Gyre" w:eastAsia="宋体"/>
            <w:sz w:val="24"/>
            <w:lang w:val="en-US" w:eastAsia="zh-CN"/>
          </w:rPr>
          <m:t>x</m:t>
        </m:r>
      </m:oMath>
      <w:r>
        <w:rPr>
          <w:rFonts w:hint="eastAsia" w:hAnsi="DejaVu Math TeX Gyre" w:eastAsia="宋体"/>
          <w:i w:val="0"/>
          <w:sz w:val="24"/>
          <w:lang w:val="en-US" w:eastAsia="zh-CN"/>
        </w:rPr>
        <w:t>到待测微弱电流</w:t>
      </w:r>
      <m:oMath>
        <m:r>
          <m:rPr>
            <m:sty m:val="p"/>
          </m:rPr>
          <w:rPr>
            <w:rFonts w:hint="default" w:ascii="DejaVu Math TeX Gyre" w:hAnsi="DejaVu Math TeX Gyre" w:eastAsia="宋体"/>
            <w:sz w:val="24"/>
            <w:lang w:val="en-US" w:eastAsia="zh-CN"/>
          </w:rPr>
          <m:t>I</m:t>
        </m:r>
      </m:oMath>
      <w:r>
        <w:rPr>
          <w:rFonts w:hint="eastAsia" w:hAnsi="DejaVu Math TeX Gyre" w:eastAsia="宋体"/>
          <w:i w:val="0"/>
          <w:sz w:val="24"/>
          <w:lang w:val="en-US" w:eastAsia="zh-CN"/>
        </w:rPr>
        <w:t>的量化映射</w:t>
      </w:r>
      <w:r>
        <w:rPr>
          <w:rFonts w:hint="eastAsia" w:hAnsi="DejaVu Math TeX Gyre"/>
          <w:i w:val="0"/>
          <w:sz w:val="24"/>
          <w:lang w:val="en-US" w:eastAsia="zh-CN"/>
        </w:rPr>
        <w:t>。结</w:t>
      </w:r>
      <w:r>
        <w:rPr>
          <w:rFonts w:hint="eastAsia" w:hAnsi="DejaVu Math TeX Gyre" w:eastAsia="宋体"/>
          <w:i w:val="0"/>
          <w:sz w:val="24"/>
          <w:lang w:val="en-US" w:eastAsia="zh-CN"/>
        </w:rPr>
        <w:t>合波阻抗</w:t>
      </w:r>
      <m:oMath>
        <m:r>
          <m:rPr>
            <m:sty m:val="p"/>
          </m:rPr>
          <w:rPr>
            <w:rFonts w:hint="default" w:ascii="DejaVu Math TeX Gyre" w:hAnsi="DejaVu Math TeX Gyre" w:eastAsia="宋体"/>
            <w:sz w:val="24"/>
            <w:lang w:val="en-US" w:eastAsia="zh-CN"/>
          </w:rPr>
          <m:t>Z</m:t>
        </m:r>
      </m:oMath>
      <w:r>
        <w:rPr>
          <w:rFonts w:hint="eastAsia" w:hAnsi="DejaVu Math TeX Gyre" w:eastAsia="宋体"/>
          <w:i w:val="0"/>
          <w:sz w:val="24"/>
          <w:lang w:val="en-US" w:eastAsia="zh-CN"/>
        </w:rPr>
        <w:t>（自由空间波阻抗取</w:t>
      </w:r>
      <m:oMath>
        <m:r>
          <m:rPr>
            <m:sty m:val="p"/>
          </m:rPr>
          <w:rPr>
            <w:rFonts w:hint="default" w:ascii="DejaVu Math TeX Gyre" w:hAnsi="DejaVu Math TeX Gyre" w:eastAsia="宋体"/>
            <w:sz w:val="24"/>
            <w:lang w:val="en-US" w:eastAsia="zh-CN"/>
          </w:rPr>
          <m:t>Z=377Ω</m:t>
        </m:r>
      </m:oMath>
      <w:r>
        <w:rPr>
          <w:rStyle w:val="32"/>
          <w:rFonts w:hint="default" w:ascii="DejaVu Math TeX Gyre" w:hAnsi="DejaVu Math TeX Gyre" w:eastAsia="宋体"/>
          <w:b w:val="0"/>
          <w:i w:val="0"/>
          <w:sz w:val="24"/>
          <w:lang w:val="en-US" w:eastAsia="zh-CN"/>
        </w:rPr>
        <w:footnoteReference w:id="2"/>
      </w:r>
      <w:r>
        <w:rPr>
          <w:rFonts w:hint="eastAsia" w:hAnsi="DejaVu Math TeX Gyre" w:eastAsia="宋体"/>
          <w:i w:val="0"/>
          <w:sz w:val="24"/>
          <w:lang w:val="en-US" w:eastAsia="zh-CN"/>
        </w:rPr>
        <w:t>），可进一步反推感应电压</w:t>
      </w:r>
      <m:oMath>
        <m:r>
          <m:rPr>
            <m:sty m:val="p"/>
          </m:rPr>
          <w:rPr>
            <w:rFonts w:hint="default" w:ascii="DejaVu Math TeX Gyre" w:hAnsi="DejaVu Math TeX Gyre" w:eastAsia="宋体"/>
            <w:sz w:val="24"/>
            <w:lang w:val="en-US" w:eastAsia="zh-CN"/>
          </w:rPr>
          <m:t>U</m:t>
        </m:r>
      </m:oMath>
      <w:r>
        <w:rPr>
          <w:rFonts w:hint="eastAsia" w:hAnsi="DejaVu Math TeX Gyre" w:eastAsia="宋体"/>
          <w:i w:val="0"/>
          <w:sz w:val="24"/>
          <w:lang w:val="en-US" w:eastAsia="zh-CN"/>
        </w:rPr>
        <w:t>。</w:t>
      </w:r>
    </w:p>
    <w:p w14:paraId="171EB607">
      <w:pPr>
        <w:spacing w:line="360" w:lineRule="auto"/>
        <w:ind w:firstLine="480" w:firstLineChars="200"/>
        <w:rPr>
          <w:rFonts w:hint="eastAsia" w:hAnsi="DejaVu Math TeX Gyre" w:eastAsia="宋体"/>
          <w:i w:val="0"/>
          <w:sz w:val="24"/>
          <w:lang w:val="en-US" w:eastAsia="zh-CN"/>
        </w:rPr>
      </w:pPr>
      <w:r>
        <w:rPr>
          <w:rFonts w:hint="eastAsia" w:hAnsi="DejaVu Math TeX Gyre"/>
          <w:i w:val="0"/>
          <w:sz w:val="24"/>
          <w:lang w:val="en-US" w:eastAsia="zh-CN"/>
        </w:rPr>
        <w:t>使用前文3.1</w:t>
      </w:r>
      <w:r>
        <w:rPr>
          <w:rFonts w:hint="eastAsia" w:hAnsi="DejaVu Math TeX Gyre" w:eastAsia="宋体"/>
          <w:i w:val="0"/>
          <w:sz w:val="24"/>
          <w:lang w:val="en-US" w:eastAsia="zh-CN"/>
        </w:rPr>
        <w:t>所述的力矩平衡方程与光杠杆放大原理，整理得到最终的电流计算模型：</w:t>
      </w:r>
    </w:p>
    <w:p w14:paraId="6DA0E348">
      <w:pPr>
        <w:spacing w:line="360" w:lineRule="auto"/>
        <w:ind w:firstLine="480" w:firstLineChars="200"/>
        <w:jc w:val="center"/>
        <w:rPr>
          <w:rFonts w:hint="default" w:hAnsi="DejaVu Math TeX Gyre" w:eastAsia="宋体"/>
          <w:i w:val="0"/>
          <w:sz w:val="24"/>
          <w:lang w:val="en-US" w:eastAsia="zh-CN"/>
        </w:rPr>
      </w:pPr>
      <m:oMathPara>
        <m:oMath>
          <m:r>
            <m:rPr/>
            <w:rPr>
              <w:rFonts w:hint="default" w:ascii="DejaVu Math TeX Gyre" w:hAnsi="DejaVu Math TeX Gyre"/>
              <w:sz w:val="24"/>
            </w:rPr>
            <m:t>U=I⋅Z=</m:t>
          </m:r>
          <m:d>
            <m:dPr>
              <m:ctrlPr>
                <w:rPr>
                  <w:rFonts w:hint="default" w:ascii="DejaVu Math TeX Gyre" w:hAnsi="DejaVu Math TeX Gyre"/>
                  <w:sz w:val="24"/>
                </w:rPr>
              </m:ctrlPr>
            </m:dPr>
            <m:e>
              <m:f>
                <m:fPr>
                  <m:ctrlPr>
                    <w:rPr>
                      <w:rFonts w:hint="default" w:ascii="DejaVu Math TeX Gyre" w:hAnsi="DejaVu Math TeX Gyre"/>
                      <w:i/>
                      <w:sz w:val="24"/>
                    </w:rPr>
                  </m:ctrlPr>
                </m:fPr>
                <m:num>
                  <m:r>
                    <m:rPr/>
                    <w:rPr>
                      <w:rFonts w:hint="default" w:ascii="DejaVu Math TeX Gyre" w:hAnsi="DejaVu Math TeX Gyre"/>
                      <w:sz w:val="24"/>
                    </w:rPr>
                    <m:t>k</m:t>
                  </m:r>
                  <m:ctrlPr>
                    <w:rPr>
                      <w:rFonts w:ascii="DejaVu Math TeX Gyre" w:hAnsi="DejaVu Math TeX Gyre"/>
                      <w:sz w:val="24"/>
                    </w:rPr>
                  </m:ctrlPr>
                </m:num>
                <m:den>
                  <m:r>
                    <m:rPr/>
                    <w:rPr>
                      <w:rFonts w:hint="default" w:ascii="DejaVu Math TeX Gyre" w:hAnsi="DejaVu Math TeX Gyre"/>
                      <w:sz w:val="24"/>
                    </w:rPr>
                    <m:t>2DNBS</m:t>
                  </m:r>
                  <m:ctrlPr>
                    <w:rPr>
                      <w:rFonts w:ascii="DejaVu Math TeX Gyre" w:hAnsi="DejaVu Math TeX Gyre"/>
                      <w:sz w:val="24"/>
                    </w:rPr>
                  </m:ctrlPr>
                </m:den>
              </m:f>
              <m:ctrlPr>
                <w:rPr>
                  <w:rFonts w:hint="default" w:ascii="DejaVu Math TeX Gyre" w:hAnsi="DejaVu Math TeX Gyre"/>
                  <w:i/>
                  <w:sz w:val="24"/>
                </w:rPr>
              </m:ctrlPr>
            </m:e>
          </m:d>
          <m:r>
            <m:rPr/>
            <w:rPr>
              <w:rFonts w:hint="default" w:ascii="DejaVu Math TeX Gyre" w:hAnsi="DejaVu Math TeX Gyre"/>
              <w:sz w:val="24"/>
            </w:rPr>
            <m:t>⋅Z⋅x</m:t>
          </m:r>
        </m:oMath>
      </m:oMathPara>
    </w:p>
    <w:p w14:paraId="54911908">
      <w:pPr>
        <w:numPr>
          <w:ilvl w:val="0"/>
          <w:numId w:val="0"/>
        </w:numPr>
        <w:spacing w:line="360" w:lineRule="auto"/>
        <w:ind w:leftChars="0"/>
        <w:jc w:val="left"/>
        <w:outlineLvl w:val="1"/>
        <w:rPr>
          <w:rStyle w:val="31"/>
          <w:rFonts w:hint="eastAsia" w:ascii="Times New Roman" w:hAnsi="Times New Roman" w:eastAsia="黑体" w:cs="Times New Roman"/>
          <w:color w:val="auto"/>
          <w:sz w:val="28"/>
          <w:szCs w:val="28"/>
          <w:highlight w:val="none"/>
          <w:lang w:val="en-US" w:eastAsia="zh-CN"/>
        </w:rPr>
      </w:pPr>
      <w:bookmarkStart w:id="73" w:name="_Toc621322801"/>
      <w:bookmarkStart w:id="74" w:name="_Toc2094569932"/>
    </w:p>
    <w:p w14:paraId="048E2F3E">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r>
        <w:rPr>
          <w:rStyle w:val="31"/>
          <w:rFonts w:hint="eastAsia" w:ascii="Times New Roman" w:hAnsi="Times New Roman" w:eastAsia="黑体" w:cs="Times New Roman"/>
          <w:color w:val="auto"/>
          <w:sz w:val="28"/>
          <w:szCs w:val="28"/>
          <w:highlight w:val="none"/>
          <w:lang w:val="en-US" w:eastAsia="zh-CN"/>
        </w:rPr>
        <w:t>机械谐振选频特性分析</w:t>
      </w:r>
      <w:bookmarkEnd w:id="73"/>
      <w:bookmarkEnd w:id="74"/>
    </w:p>
    <w:p w14:paraId="17C83EF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针对交变微小电信号的频率特性，本系统利用机械谐振原理实现物理层面的窄带滤波。通过调整线圈组的转动惯量</w:t>
      </w:r>
      <m:oMath>
        <m:r>
          <m:rPr>
            <m:sty m:val="p"/>
          </m:rPr>
          <w:rPr>
            <w:rFonts w:hint="default" w:ascii="DejaVu Math TeX Gyre" w:hAnsi="DejaVu Math TeX Gyre" w:eastAsia="宋体"/>
            <w:sz w:val="24"/>
            <w:lang w:val="en-US" w:eastAsia="zh-CN"/>
          </w:rPr>
          <m:t>J</m:t>
        </m:r>
      </m:oMath>
      <w:r>
        <w:rPr>
          <w:rFonts w:hint="eastAsia" w:hAnsi="DejaVu Math TeX Gyre" w:eastAsia="宋体"/>
          <w:i w:val="0"/>
          <w:sz w:val="24"/>
          <w:lang w:val="en-US" w:eastAsia="zh-CN"/>
        </w:rPr>
        <w:t>与悬丝参数，使系统具备特定的固有频率</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f</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n</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w:t>
      </w:r>
    </w:p>
    <w:p w14:paraId="4703902D">
      <w:pPr>
        <w:spacing w:line="360" w:lineRule="auto"/>
        <w:ind w:firstLine="480" w:firstLineChars="200"/>
        <w:jc w:val="center"/>
        <w:rPr>
          <w:rFonts w:hint="eastAsia" w:hAnsi="DejaVu Math TeX Gyre" w:eastAsia="宋体" w:cs="Times New Roman"/>
          <w:i w:val="0"/>
          <w:color w:val="auto"/>
          <w:kern w:val="2"/>
          <w:sz w:val="24"/>
          <w:szCs w:val="24"/>
          <w:highlight w:val="none"/>
          <w:lang w:val="en-US" w:eastAsia="zh-CN" w:bidi="ar-SA"/>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2π</m:t>
              </m:r>
              <m:ctrlPr>
                <w:rPr>
                  <w:rFonts w:ascii="DejaVu Math TeX Gyre" w:hAnsi="DejaVu Math TeX Gyre" w:eastAsia="宋体"/>
                  <w:sz w:val="24"/>
                </w:rPr>
              </m:ctrlPr>
            </m:den>
          </m:f>
          <m:rad>
            <m:radPr>
              <m:degHide m:val="1"/>
              <m:ctrlPr>
                <w:rPr>
                  <w:rFonts w:hint="default" w:ascii="DejaVu Math TeX Gyre" w:hAnsi="DejaVu Math TeX Gyre" w:eastAsia="宋体"/>
                  <w:i/>
                  <w:sz w:val="24"/>
                </w:rPr>
              </m:ctrlPr>
            </m:radPr>
            <m:deg>
              <m:ctrlPr>
                <w:rPr>
                  <w:rFonts w:ascii="DejaVu Math TeX Gyre" w:hAnsi="DejaVu Math TeX Gyre" w:eastAsia="宋体"/>
                  <w:sz w:val="24"/>
                </w:rPr>
              </m:ctrlPr>
            </m:deg>
            <m:e>
              <m:f>
                <m:fPr>
                  <m:ctrlPr>
                    <w:rPr>
                      <w:rFonts w:hint="default" w:ascii="DejaVu Math TeX Gyre" w:hAnsi="DejaVu Math TeX Gyre" w:eastAsia="宋体"/>
                      <w:i/>
                      <w:sz w:val="24"/>
                    </w:rPr>
                  </m:ctrlPr>
                </m:fPr>
                <m:num>
                  <m:r>
                    <m:rPr/>
                    <w:rPr>
                      <w:rFonts w:hint="default" w:ascii="DejaVu Math TeX Gyre" w:hAnsi="DejaVu Math TeX Gyre" w:eastAsia="宋体"/>
                      <w:sz w:val="24"/>
                    </w:rPr>
                    <m:t>k</m:t>
                  </m:r>
                  <m:ctrlPr>
                    <w:rPr>
                      <w:rFonts w:ascii="DejaVu Math TeX Gyre" w:hAnsi="DejaVu Math TeX Gyre" w:eastAsia="宋体"/>
                      <w:sz w:val="24"/>
                    </w:rPr>
                  </m:ctrlPr>
                </m:num>
                <m:den>
                  <m:r>
                    <m:rPr/>
                    <w:rPr>
                      <w:rFonts w:hint="default" w:ascii="DejaVu Math TeX Gyre" w:hAnsi="DejaVu Math TeX Gyre" w:eastAsia="宋体"/>
                      <w:sz w:val="24"/>
                    </w:rPr>
                    <m:t>J</m:t>
                  </m:r>
                  <m:ctrlPr>
                    <w:rPr>
                      <w:rFonts w:ascii="DejaVu Math TeX Gyre" w:hAnsi="DejaVu Math TeX Gyre" w:eastAsia="宋体"/>
                      <w:sz w:val="24"/>
                    </w:rPr>
                  </m:ctrlPr>
                </m:den>
              </m:f>
              <m:ctrlPr>
                <w:rPr>
                  <w:rFonts w:hint="default" w:ascii="DejaVu Math TeX Gyre" w:hAnsi="DejaVu Math TeX Gyre" w:eastAsia="宋体"/>
                  <w:i/>
                  <w:sz w:val="24"/>
                </w:rPr>
              </m:ctrlPr>
            </m:e>
          </m:rad>
        </m:oMath>
      </m:oMathPara>
    </w:p>
    <w:p w14:paraId="7FC68A7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当待测信号频率与</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f</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n</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匹配时，位移响应</w:t>
      </w:r>
      <m:oMath>
        <m:r>
          <m:rPr>
            <m:sty m:val="p"/>
          </m:rPr>
          <w:rPr>
            <w:rFonts w:hint="default" w:ascii="DejaVu Math TeX Gyre" w:hAnsi="DejaVu Math TeX Gyre" w:eastAsia="宋体"/>
            <w:sz w:val="24"/>
            <w:lang w:val="en-US" w:eastAsia="zh-CN"/>
          </w:rPr>
          <m:t>x</m:t>
        </m:r>
      </m:oMath>
      <w:r>
        <w:rPr>
          <w:rFonts w:hint="eastAsia" w:hAnsi="DejaVu Math TeX Gyre" w:eastAsia="宋体"/>
          <w:i w:val="0"/>
          <w:sz w:val="24"/>
          <w:lang w:val="en-US" w:eastAsia="zh-CN"/>
        </w:rPr>
        <w:t>达到最大值。这一特性有效抑制了偏离谐振频段的环境噪声，提升了系统对特定信号的选择性捕获能力。</w:t>
      </w:r>
    </w:p>
    <w:p w14:paraId="363E12DE">
      <w:pPr>
        <w:numPr>
          <w:ilvl w:val="0"/>
          <w:numId w:val="0"/>
        </w:numPr>
        <w:spacing w:line="360" w:lineRule="auto"/>
        <w:ind w:leftChars="0"/>
        <w:jc w:val="left"/>
        <w:outlineLvl w:val="0"/>
        <w:rPr>
          <w:rStyle w:val="31"/>
          <w:rFonts w:hint="eastAsia" w:ascii="Times New Roman" w:hAnsi="Times New Roman" w:eastAsia="黑体" w:cs="Times New Roman"/>
          <w:color w:val="auto"/>
          <w:sz w:val="32"/>
          <w:szCs w:val="32"/>
          <w:highlight w:val="none"/>
          <w:lang w:val="en-US" w:eastAsia="zh-CN"/>
        </w:rPr>
      </w:pPr>
      <w:bookmarkStart w:id="75" w:name="_Toc1884905500"/>
      <w:bookmarkStart w:id="76" w:name="_Toc1506824693"/>
    </w:p>
    <w:p w14:paraId="6E219222">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r>
        <w:rPr>
          <w:rStyle w:val="31"/>
          <w:rFonts w:hint="eastAsia" w:ascii="Times New Roman" w:hAnsi="Times New Roman" w:eastAsia="黑体" w:cs="Times New Roman"/>
          <w:color w:val="auto"/>
          <w:sz w:val="32"/>
          <w:szCs w:val="32"/>
          <w:highlight w:val="none"/>
          <w:lang w:val="en-US" w:eastAsia="zh-CN"/>
        </w:rPr>
        <w:t>软件系统设计</w:t>
      </w:r>
      <w:bookmarkEnd w:id="67"/>
      <w:bookmarkEnd w:id="68"/>
      <w:bookmarkEnd w:id="75"/>
      <w:bookmarkEnd w:id="76"/>
    </w:p>
    <w:p w14:paraId="326E4D8A">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77" w:name="_Toc2075461603"/>
      <w:bookmarkStart w:id="78" w:name="_Toc2075449827"/>
      <w:bookmarkStart w:id="79" w:name="_Toc976894129"/>
      <w:r>
        <w:rPr>
          <w:rFonts w:hint="eastAsia" w:hAnsi="DejaVu Math TeX Gyre" w:eastAsia="宋体"/>
          <w:i w:val="0"/>
          <w:sz w:val="24"/>
          <w:lang w:val="en-US" w:eastAsia="zh-CN"/>
        </w:rPr>
        <w:drawing>
          <wp:anchor distT="0" distB="0" distL="114300" distR="114300" simplePos="0" relativeHeight="251661312" behindDoc="0" locked="0" layoutInCell="1" allowOverlap="1">
            <wp:simplePos x="0" y="0"/>
            <wp:positionH relativeFrom="column">
              <wp:posOffset>2390140</wp:posOffset>
            </wp:positionH>
            <wp:positionV relativeFrom="paragraph">
              <wp:posOffset>164465</wp:posOffset>
            </wp:positionV>
            <wp:extent cx="3741420" cy="2858135"/>
            <wp:effectExtent l="19050" t="19050" r="24130" b="43815"/>
            <wp:wrapSquare wrapText="bothSides"/>
            <wp:docPr id="17" name="图片 17" descr="/Users/raychen/Downloads/iShot_2026-04-19_20.41.38.pngiShot_2026-04-19_20.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Users/raychen/Downloads/iShot_2026-04-19_20.41.38.pngiShot_2026-04-19_20.41.38"/>
                    <pic:cNvPicPr>
                      <a:picLocks noChangeAspect="1"/>
                    </pic:cNvPicPr>
                  </pic:nvPicPr>
                  <pic:blipFill>
                    <a:blip r:embed="rId17"/>
                    <a:srcRect t="441" b="441"/>
                    <a:stretch>
                      <a:fillRect/>
                    </a:stretch>
                  </pic:blipFill>
                  <pic:spPr>
                    <a:xfrm>
                      <a:off x="0" y="0"/>
                      <a:ext cx="3741420" cy="2858135"/>
                    </a:xfrm>
                    <a:prstGeom prst="rect">
                      <a:avLst/>
                    </a:prstGeom>
                    <a:ln w="19050" cmpd="sng">
                      <a:solidFill>
                        <a:schemeClr val="tx1"/>
                      </a:solidFill>
                      <a:prstDash val="solid"/>
                    </a:ln>
                  </pic:spPr>
                </pic:pic>
              </a:graphicData>
            </a:graphic>
          </wp:anchor>
        </w:drawing>
      </w:r>
      <w:r>
        <w:rPr>
          <w:rStyle w:val="31"/>
          <w:rFonts w:hint="eastAsia" w:ascii="Times New Roman" w:hAnsi="Times New Roman" w:eastAsia="黑体" w:cs="Times New Roman"/>
          <w:color w:val="auto"/>
          <w:sz w:val="28"/>
          <w:szCs w:val="28"/>
          <w:highlight w:val="none"/>
          <w:lang w:val="en-US" w:eastAsia="zh-CN"/>
        </w:rPr>
        <w:t>数据</w:t>
      </w:r>
      <w:r>
        <w:rPr>
          <w:rStyle w:val="31"/>
          <w:rFonts w:hint="eastAsia" w:eastAsia="黑体" w:cs="Times New Roman"/>
          <w:color w:val="auto"/>
          <w:sz w:val="28"/>
          <w:szCs w:val="28"/>
          <w:highlight w:val="none"/>
          <w:lang w:val="en-US" w:eastAsia="zh-CN"/>
        </w:rPr>
        <w:t>换算</w:t>
      </w:r>
      <w:r>
        <w:rPr>
          <w:rStyle w:val="31"/>
          <w:rFonts w:hint="eastAsia" w:ascii="Times New Roman" w:hAnsi="Times New Roman" w:eastAsia="黑体" w:cs="Times New Roman"/>
          <w:color w:val="auto"/>
          <w:sz w:val="28"/>
          <w:szCs w:val="28"/>
          <w:highlight w:val="none"/>
          <w:lang w:val="en-US" w:eastAsia="zh-CN"/>
        </w:rPr>
        <w:t>算法</w:t>
      </w:r>
      <w:bookmarkEnd w:id="77"/>
      <w:bookmarkEnd w:id="78"/>
      <w:bookmarkEnd w:id="79"/>
    </w:p>
    <w:p w14:paraId="71786468">
      <w:pPr>
        <w:spacing w:line="360" w:lineRule="auto"/>
        <w:ind w:firstLine="480" w:firstLineChars="200"/>
        <w:rPr>
          <w:rFonts w:hint="eastAsia" w:hAnsi="DejaVu Math TeX Gyre"/>
          <w:i w:val="0"/>
          <w:sz w:val="24"/>
          <w:lang w:val="en-US" w:eastAsia="zh-CN"/>
        </w:rPr>
      </w:pPr>
      <w:r>
        <w:rPr>
          <w:rFonts w:hint="eastAsia" w:hAnsi="DejaVu Math TeX Gyre"/>
          <w:i w:val="0"/>
          <w:sz w:val="24"/>
          <w:lang w:val="en-US" w:eastAsia="zh-CN"/>
        </w:rPr>
        <w:t>数据转换算法的代码基于前文讨论过的算式进行计算。其代码</w:t>
      </w:r>
      <w:r>
        <w:rPr>
          <w:rFonts w:hint="eastAsia" w:hAnsi="DejaVu Math TeX Gyre" w:eastAsia="宋体"/>
          <w:i w:val="0"/>
          <w:sz w:val="24"/>
          <w:lang w:val="en-US" w:eastAsia="zh-CN"/>
        </w:rPr>
        <w:t>代码</w:t>
      </w:r>
      <w:r>
        <w:rPr>
          <w:rFonts w:hint="eastAsia" w:hAnsi="DejaVu Math TeX Gyre"/>
          <w:i w:val="0"/>
          <w:sz w:val="24"/>
          <w:lang w:val="en-US" w:eastAsia="zh-CN"/>
        </w:rPr>
        <w:t>如右图所示。</w:t>
      </w:r>
    </w:p>
    <w:p w14:paraId="633F13F9">
      <w:pPr>
        <w:spacing w:line="360" w:lineRule="auto"/>
        <w:ind w:firstLine="480" w:firstLineChars="200"/>
        <w:rPr>
          <w:rFonts w:hint="eastAsia"/>
          <w:lang w:val="en-US" w:eastAsia="zh-CN"/>
        </w:rPr>
      </w:pPr>
      <w:r>
        <w:rPr>
          <w:rFonts w:hint="eastAsia" w:hAnsi="DejaVu Math TeX Gyre"/>
          <w:i w:val="0"/>
          <w:sz w:val="24"/>
          <w:lang w:val="en-US" w:eastAsia="zh-CN"/>
        </w:rPr>
        <w:t>首先读取PSD传感器两端的电压，计算归一化位置算子P，再映射为物理位移x，进而求出光电流I和输出电压U，最后使用串口指令在OLED上显示结果。</w:t>
      </w:r>
    </w:p>
    <w:p w14:paraId="57FFF7C2">
      <w:pPr>
        <w:rPr>
          <w:rFonts w:hint="eastAsia"/>
          <w:lang w:val="en-US" w:eastAsia="zh-CN"/>
        </w:rPr>
      </w:pPr>
    </w:p>
    <w:p w14:paraId="5E927D41">
      <w:pPr>
        <w:pStyle w:val="5"/>
        <w:numPr>
          <w:ilvl w:val="0"/>
          <w:numId w:val="0"/>
        </w:numPr>
        <w:wordWrap w:val="0"/>
        <w:spacing w:line="360" w:lineRule="auto"/>
        <w:ind w:leftChars="0"/>
        <w:jc w:val="right"/>
        <w:outlineLvl w:val="0"/>
        <w:rPr>
          <w:rFonts w:hint="eastAsia"/>
          <w:lang w:val="en-US" w:eastAsia="zh-CN"/>
        </w:rPr>
      </w:pPr>
      <w:r>
        <w:t xml:space="preserve">图 </w:t>
      </w:r>
      <w:r>
        <w:rPr>
          <w:rFonts w:hint="eastAsia"/>
          <w:lang w:val="en-US" w:eastAsia="zh-CN"/>
        </w:rPr>
        <w:t>5</w:t>
      </w:r>
      <w:r>
        <w:rPr>
          <w:rFonts w:hint="eastAsia"/>
          <w:lang w:eastAsia="zh-CN"/>
        </w:rPr>
        <w:t xml:space="preserve"> 数据换算算法代码</w:t>
      </w:r>
      <w:r>
        <w:rPr>
          <w:rFonts w:hint="eastAsia"/>
          <w:lang w:val="en-US" w:eastAsia="zh-CN"/>
        </w:rPr>
        <w:t xml:space="preserve">                 </w:t>
      </w:r>
    </w:p>
    <w:p w14:paraId="73D7ED7A">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80" w:name="_Toc1147144788"/>
      <w:bookmarkStart w:id="81" w:name="_Toc706283400"/>
      <w:bookmarkStart w:id="82" w:name="_Toc508364168"/>
      <w:r>
        <w:rPr>
          <w:rFonts w:hint="eastAsia" w:hAnsi="DejaVu Math TeX Gyre" w:eastAsia="宋体"/>
          <w:i w:val="0"/>
          <w:sz w:val="24"/>
          <w:lang w:val="en-US" w:eastAsia="zh-CN"/>
        </w:rPr>
        <w:drawing>
          <wp:anchor distT="0" distB="0" distL="114300" distR="114300" simplePos="0" relativeHeight="251660288" behindDoc="0" locked="0" layoutInCell="1" allowOverlap="1">
            <wp:simplePos x="0" y="0"/>
            <wp:positionH relativeFrom="column">
              <wp:posOffset>2731135</wp:posOffset>
            </wp:positionH>
            <wp:positionV relativeFrom="paragraph">
              <wp:posOffset>121920</wp:posOffset>
            </wp:positionV>
            <wp:extent cx="3147060" cy="5156835"/>
            <wp:effectExtent l="19050" t="19050" r="34290" b="31115"/>
            <wp:wrapSquare wrapText="bothSides"/>
            <wp:docPr id="16" name="图片 16" descr="/Users/raychen/Downloads/iShot_2026-04-19_20.43.28.pngiShot_2026-04-19_20.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raychen/Downloads/iShot_2026-04-19_20.43.28.pngiShot_2026-04-19_20.43.28"/>
                    <pic:cNvPicPr>
                      <a:picLocks noChangeAspect="1"/>
                    </pic:cNvPicPr>
                  </pic:nvPicPr>
                  <pic:blipFill>
                    <a:blip r:embed="rId18"/>
                    <a:srcRect t="226" b="226"/>
                    <a:stretch>
                      <a:fillRect/>
                    </a:stretch>
                  </pic:blipFill>
                  <pic:spPr>
                    <a:xfrm>
                      <a:off x="0" y="0"/>
                      <a:ext cx="3147060" cy="5156835"/>
                    </a:xfrm>
                    <a:prstGeom prst="rect">
                      <a:avLst/>
                    </a:prstGeom>
                    <a:ln w="19050">
                      <a:solidFill>
                        <a:schemeClr val="tx1"/>
                      </a:solidFill>
                    </a:ln>
                  </pic:spPr>
                </pic:pic>
              </a:graphicData>
            </a:graphic>
          </wp:anchor>
        </w:drawing>
      </w:r>
      <w:r>
        <w:rPr>
          <w:rStyle w:val="31"/>
          <w:rFonts w:hint="eastAsia" w:ascii="Times New Roman" w:hAnsi="Times New Roman" w:eastAsia="黑体" w:cs="Times New Roman"/>
          <w:color w:val="auto"/>
          <w:sz w:val="28"/>
          <w:szCs w:val="28"/>
          <w:highlight w:val="none"/>
          <w:lang w:val="en-US" w:eastAsia="zh-CN"/>
        </w:rPr>
        <w:t>数字降噪算法</w:t>
      </w:r>
      <w:bookmarkEnd w:id="80"/>
      <w:bookmarkEnd w:id="81"/>
      <w:bookmarkEnd w:id="82"/>
    </w:p>
    <w:p w14:paraId="22EC18BF">
      <w:pPr>
        <w:spacing w:line="360" w:lineRule="auto"/>
        <w:ind w:firstLine="480" w:firstLineChars="200"/>
        <w:rPr>
          <w:rFonts w:hint="default" w:hAnsi="DejaVu Math TeX Gyre" w:eastAsia="宋体"/>
          <w:i w:val="0"/>
          <w:sz w:val="24"/>
          <w:lang w:val="en-US" w:eastAsia="zh-CN"/>
        </w:rPr>
      </w:pPr>
      <w:r>
        <w:rPr>
          <w:rFonts w:hint="eastAsia" w:hAnsi="DejaVu Math TeX Gyre" w:eastAsia="宋体"/>
          <w:i w:val="0"/>
          <w:sz w:val="24"/>
          <w:lang w:val="en-US" w:eastAsia="zh-CN"/>
        </w:rPr>
        <w:t>原始ADC数据包含大量噪声，软件层面的算法作为最后一道降噪能显著</w:t>
      </w:r>
      <w:r>
        <w:rPr>
          <w:rFonts w:hint="eastAsia" w:hAnsi="DejaVu Math TeX Gyre"/>
          <w:i w:val="0"/>
          <w:sz w:val="24"/>
          <w:lang w:val="en-US" w:eastAsia="zh-CN"/>
        </w:rPr>
        <w:t>地</w:t>
      </w:r>
      <w:r>
        <w:rPr>
          <w:rFonts w:hint="eastAsia" w:hAnsi="DejaVu Math TeX Gyre" w:eastAsia="宋体"/>
          <w:i w:val="0"/>
          <w:sz w:val="24"/>
          <w:lang w:val="en-US" w:eastAsia="zh-CN"/>
        </w:rPr>
        <w:t>降低噪声影响。</w:t>
      </w:r>
      <w:r>
        <w:rPr>
          <w:rFonts w:hint="eastAsia" w:hAnsi="DejaVu Math TeX Gyre"/>
          <w:i w:val="0"/>
          <w:sz w:val="24"/>
          <w:lang w:val="en-US" w:eastAsia="zh-CN"/>
        </w:rPr>
        <w:t>其代码实现如右图所示。</w:t>
      </w:r>
    </w:p>
    <w:p w14:paraId="375A61B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首先，</w:t>
      </w:r>
      <w:r>
        <w:rPr>
          <w:rFonts w:hint="eastAsia" w:hAnsi="DejaVu Math TeX Gyre"/>
          <w:i w:val="0"/>
          <w:sz w:val="24"/>
          <w:lang w:val="en-US" w:eastAsia="zh-CN"/>
        </w:rPr>
        <w:t>程序将所有采集的数据排序并</w:t>
      </w:r>
      <w:r>
        <w:rPr>
          <w:rFonts w:hint="eastAsia" w:hAnsi="DejaVu Math TeX Gyre" w:eastAsia="宋体"/>
          <w:i w:val="0"/>
          <w:sz w:val="24"/>
          <w:lang w:val="en-US" w:eastAsia="zh-CN"/>
        </w:rPr>
        <w:t>从排序后的样本中取出中值，并基于去掉两端极值后的数据计算均值和标准差。接着，利用“3倍标准差”准则进行异常检测</w:t>
      </w:r>
      <w:r>
        <w:rPr>
          <w:rFonts w:hint="eastAsia" w:hAnsi="DejaVu Math TeX Gyre"/>
          <w:i w:val="0"/>
          <w:sz w:val="24"/>
          <w:lang w:val="en-US" w:eastAsia="zh-CN"/>
        </w:rPr>
        <w:t>并替换</w:t>
      </w:r>
      <w:r>
        <w:rPr>
          <w:rFonts w:hint="eastAsia" w:hAnsi="DejaVu Math TeX Gyre" w:eastAsia="宋体"/>
          <w:i w:val="0"/>
          <w:sz w:val="24"/>
          <w:lang w:val="en-US" w:eastAsia="zh-CN"/>
        </w:rPr>
        <w:t>异常值为中值</w:t>
      </w:r>
      <w:r>
        <w:rPr>
          <w:rFonts w:hint="eastAsia" w:hAnsi="DejaVu Math TeX Gyre"/>
          <w:i w:val="0"/>
          <w:sz w:val="24"/>
          <w:lang w:val="en-US" w:eastAsia="zh-CN"/>
        </w:rPr>
        <w:t>。</w:t>
      </w:r>
      <w:r>
        <w:rPr>
          <w:rFonts w:hint="eastAsia" w:hAnsi="DejaVu Math TeX Gyre" w:eastAsia="宋体"/>
          <w:i w:val="0"/>
          <w:sz w:val="24"/>
          <w:lang w:val="en-US" w:eastAsia="zh-CN"/>
        </w:rPr>
        <w:t>最后，对修正后的样本序列再次执行截尾平均，计算剩余样本的算术平均值作为最终输出。</w:t>
      </w:r>
    </w:p>
    <w:p w14:paraId="07D1237F">
      <w:pPr>
        <w:spacing w:line="360" w:lineRule="auto"/>
        <w:ind w:firstLine="480" w:firstLineChars="200"/>
        <w:rPr>
          <w:rFonts w:hint="eastAsia"/>
          <w:lang w:val="en-US" w:eastAsia="zh-CN"/>
        </w:rPr>
      </w:pPr>
      <w:r>
        <w:rPr>
          <w:rFonts w:hint="eastAsia" w:hAnsi="DejaVu Math TeX Gyre" w:eastAsia="宋体"/>
          <w:i w:val="0"/>
          <w:sz w:val="24"/>
          <w:lang w:val="en-US" w:eastAsia="zh-CN"/>
        </w:rPr>
        <w:t>这种算法利用噪声的正负随机性相互抵消，并能减少环境中突发的电磁脉冲对装置检测的干扰，从而有效提取真实的直流信号。</w:t>
      </w:r>
    </w:p>
    <w:p w14:paraId="5DBCBD28">
      <w:pPr>
        <w:pStyle w:val="5"/>
        <w:numPr>
          <w:ilvl w:val="0"/>
          <w:numId w:val="0"/>
        </w:numPr>
        <w:wordWrap w:val="0"/>
        <w:spacing w:line="360" w:lineRule="auto"/>
        <w:ind w:leftChars="0"/>
        <w:jc w:val="right"/>
        <w:outlineLvl w:val="1"/>
        <w:rPr>
          <w:rFonts w:hint="eastAsia"/>
          <w:lang w:val="en-US" w:eastAsia="zh-CN"/>
        </w:rPr>
      </w:pPr>
      <w:r>
        <w:t xml:space="preserve">图 </w:t>
      </w:r>
      <w:r>
        <w:rPr>
          <w:rFonts w:hint="eastAsia"/>
          <w:lang w:val="en-US" w:eastAsia="zh-CN"/>
        </w:rPr>
        <w:t>6</w:t>
      </w:r>
      <w:r>
        <w:rPr>
          <w:rFonts w:hint="eastAsia"/>
          <w:lang w:eastAsia="zh-CN"/>
        </w:rPr>
        <w:t xml:space="preserve"> 数字降噪算法代码</w:t>
      </w:r>
      <w:r>
        <w:rPr>
          <w:rFonts w:hint="eastAsia"/>
          <w:lang w:val="en-US" w:eastAsia="zh-CN"/>
        </w:rPr>
        <w:t xml:space="preserve">               </w:t>
      </w:r>
    </w:p>
    <w:p w14:paraId="76347786">
      <w:pPr>
        <w:pStyle w:val="5"/>
        <w:numPr>
          <w:ilvl w:val="0"/>
          <w:numId w:val="0"/>
        </w:numPr>
        <w:wordWrap w:val="0"/>
        <w:spacing w:line="360" w:lineRule="auto"/>
        <w:ind w:leftChars="0"/>
        <w:jc w:val="right"/>
        <w:outlineLvl w:val="1"/>
        <w:rPr>
          <w:rFonts w:hint="default"/>
          <w:lang w:val="en-US"/>
        </w:rPr>
      </w:pPr>
      <w:r>
        <w:rPr>
          <w:rFonts w:hint="eastAsia"/>
          <w:lang w:val="en-US" w:eastAsia="zh-CN"/>
        </w:rPr>
        <w:t xml:space="preserve">         </w:t>
      </w:r>
    </w:p>
    <w:p w14:paraId="037FAC7D">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83" w:name="_Toc2101752797"/>
      <w:bookmarkStart w:id="84" w:name="_Toc1362986831"/>
      <w:bookmarkStart w:id="85" w:name="_Toc1386623810"/>
      <w:r>
        <w:rPr>
          <w:rStyle w:val="31"/>
          <w:rFonts w:hint="eastAsia" w:ascii="Times New Roman" w:hAnsi="Times New Roman" w:eastAsia="黑体" w:cs="Times New Roman"/>
          <w:color w:val="auto"/>
          <w:sz w:val="28"/>
          <w:szCs w:val="28"/>
          <w:highlight w:val="none"/>
          <w:lang w:val="en-US" w:eastAsia="zh-CN"/>
        </w:rPr>
        <w:t>显示界面设计</w:t>
      </w:r>
      <w:bookmarkEnd w:id="83"/>
      <w:bookmarkEnd w:id="84"/>
      <w:bookmarkEnd w:id="85"/>
    </w:p>
    <w:p w14:paraId="19A2B949">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OLED显示界面设计简洁直观，能够实时显示放大后的电压和反推的微弱电流值。</w:t>
      </w:r>
    </w:p>
    <w:p w14:paraId="740D06C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代码使用</w:t>
      </w:r>
      <m:oMath>
        <m:r>
          <m:rPr>
            <m:sty m:val="p"/>
          </m:rPr>
          <w:rPr>
            <w:rFonts w:hint="default" w:ascii="DejaVu Math TeX Gyre" w:hAnsi="DejaVu Math TeX Gyre" w:eastAsia="宋体"/>
            <w:sz w:val="24"/>
            <w:lang w:val="en-US" w:eastAsia="zh-CN"/>
          </w:rPr>
          <m:t>&lt;</m:t>
        </m:r>
        <m:r>
          <m:rPr>
            <m:sty m:val="p"/>
          </m:rPr>
          <w:rPr>
            <w:rFonts w:hint="eastAsia" w:ascii="DejaVu Math TeX Gyre" w:hAnsi="DejaVu Math TeX Gyre" w:eastAsia="宋体"/>
            <w:sz w:val="24"/>
            <w:lang w:val="en-US" w:eastAsia="zh-CN"/>
          </w:rPr>
          <m:t>Adafruit_SSD1306.h</m:t>
        </m:r>
        <m:r>
          <m:rPr>
            <m:sty m:val="p"/>
          </m:rPr>
          <w:rPr>
            <w:rFonts w:hint="default" w:ascii="DejaVu Math TeX Gyre" w:hAnsi="DejaVu Math TeX Gyre" w:eastAsia="宋体"/>
            <w:sz w:val="24"/>
            <w:lang w:val="en-US" w:eastAsia="zh-CN"/>
          </w:rPr>
          <m:t>&gt;</m:t>
        </m:r>
      </m:oMath>
      <w:r>
        <w:rPr>
          <w:rFonts w:hint="eastAsia" w:hAnsi="DejaVu Math TeX Gyre" w:eastAsia="宋体"/>
          <w:i w:val="0"/>
          <w:sz w:val="24"/>
          <w:lang w:val="en-US" w:eastAsia="zh-CN"/>
        </w:rPr>
        <w:t>，</w:t>
      </w:r>
      <m:oMath>
        <m:r>
          <m:rPr>
            <m:sty m:val="p"/>
          </m:rPr>
          <w:rPr>
            <w:rFonts w:hint="default" w:ascii="DejaVu Math TeX Gyre" w:hAnsi="DejaVu Math TeX Gyre" w:eastAsia="宋体"/>
            <w:sz w:val="24"/>
            <w:lang w:val="en-US" w:eastAsia="zh-CN"/>
          </w:rPr>
          <m:t>&lt;</m:t>
        </m:r>
        <m:r>
          <m:rPr>
            <m:sty m:val="p"/>
          </m:rPr>
          <w:rPr>
            <w:rFonts w:hint="eastAsia" w:ascii="DejaVu Math TeX Gyre" w:hAnsi="DejaVu Math TeX Gyre" w:eastAsia="宋体"/>
            <w:sz w:val="24"/>
            <w:lang w:val="en-US" w:eastAsia="zh-CN"/>
          </w:rPr>
          <m:t>Adafruit_GFX.h</m:t>
        </m:r>
        <m:r>
          <m:rPr>
            <m:sty m:val="p"/>
          </m:rPr>
          <w:rPr>
            <w:rFonts w:hint="default" w:ascii="DejaVu Math TeX Gyre" w:hAnsi="DejaVu Math TeX Gyre" w:eastAsia="宋体"/>
            <w:sz w:val="24"/>
            <w:lang w:val="en-US" w:eastAsia="zh-CN"/>
          </w:rPr>
          <m:t>&gt;</m:t>
        </m:r>
      </m:oMath>
      <w:r>
        <w:rPr>
          <w:rFonts w:hint="eastAsia" w:hAnsi="DejaVu Math TeX Gyre" w:eastAsia="宋体"/>
          <w:i w:val="0"/>
          <w:sz w:val="24"/>
          <w:lang w:val="en-US" w:eastAsia="zh-CN"/>
        </w:rPr>
        <w:t>与</w:t>
      </w:r>
      <m:oMath>
        <m:r>
          <m:rPr>
            <m:sty m:val="p"/>
          </m:rPr>
          <w:rPr>
            <w:rFonts w:hint="default" w:ascii="DejaVu Math TeX Gyre" w:hAnsi="DejaVu Math TeX Gyre" w:eastAsia="宋体"/>
            <w:sz w:val="24"/>
            <w:lang w:val="en-US" w:eastAsia="zh-CN"/>
          </w:rPr>
          <m:t>&lt;</m:t>
        </m:r>
        <m:r>
          <m:rPr>
            <m:sty m:val="p"/>
          </m:rPr>
          <w:rPr>
            <w:rFonts w:hint="eastAsia" w:ascii="DejaVu Math TeX Gyre" w:hAnsi="DejaVu Math TeX Gyre" w:eastAsia="宋体"/>
            <w:sz w:val="24"/>
            <w:lang w:val="en-US" w:eastAsia="zh-CN"/>
          </w:rPr>
          <m:t>Wire</m:t>
        </m:r>
        <m:r>
          <m:rPr>
            <m:sty m:val="p"/>
          </m:rPr>
          <w:rPr>
            <w:rFonts w:hint="default" w:ascii="DejaVu Math TeX Gyre" w:hAnsi="DejaVu Math TeX Gyre" w:eastAsia="宋体"/>
            <w:sz w:val="24"/>
            <w:lang w:val="en-US" w:eastAsia="zh-CN"/>
          </w:rPr>
          <m:t>.h&gt;</m:t>
        </m:r>
      </m:oMath>
      <w:r>
        <w:rPr>
          <w:rFonts w:hint="eastAsia" w:hAnsi="DejaVu Math TeX Gyre" w:eastAsia="宋体"/>
          <w:i w:val="0"/>
          <w:sz w:val="24"/>
          <w:lang w:val="en-US" w:eastAsia="zh-CN"/>
        </w:rPr>
        <w:t>三个头文件实现驱动、绘制与12C通信。初始化显示屏后使用</w:t>
      </w:r>
      <m:oMath>
        <m:r>
          <m:rPr>
            <m:sty m:val="p"/>
          </m:rPr>
          <w:rPr>
            <w:rFonts w:hint="eastAsia" w:ascii="DejaVu Math TeX Gyre" w:hAnsi="DejaVu Math TeX Gyre" w:eastAsia="宋体"/>
            <w:sz w:val="24"/>
            <w:lang w:val="en-US" w:eastAsia="zh-CN"/>
          </w:rPr>
          <m:t>display</m:t>
        </m:r>
        <m:r>
          <m:rPr>
            <m:sty m:val="p"/>
          </m:rPr>
          <w:rPr>
            <w:rFonts w:hint="default" w:ascii="DejaVu Math TeX Gyre" w:hAnsi="DejaVu Math TeX Gyre" w:eastAsia="宋体"/>
            <w:sz w:val="24"/>
            <w:lang w:val="en-US" w:eastAsia="zh-CN"/>
          </w:rPr>
          <m:t>.setCursor</m:t>
        </m:r>
        <m:r>
          <m:rPr>
            <m:sty m:val="p"/>
          </m:rPr>
          <w:rPr>
            <w:rFonts w:hint="default" w:ascii="DejaVu Math TeX Gyre" w:hAnsi="DejaVu Math TeX Gyre"/>
            <w:sz w:val="24"/>
            <w:lang w:val="en-US" w:eastAsia="zh-CN"/>
          </w:rPr>
          <m:t>()</m:t>
        </m:r>
      </m:oMath>
      <w:r>
        <w:rPr>
          <w:rFonts w:hint="eastAsia" w:hAnsi="DejaVu Math TeX Gyre" w:eastAsia="宋体"/>
          <w:i w:val="0"/>
          <w:sz w:val="24"/>
          <w:lang w:val="en-US" w:eastAsia="zh-CN"/>
        </w:rPr>
        <w:t>与</w:t>
      </w:r>
      <m:oMath>
        <m:r>
          <m:rPr>
            <m:sty m:val="p"/>
          </m:rPr>
          <w:rPr>
            <w:rFonts w:hint="default" w:ascii="DejaVu Math TeX Gyre" w:hAnsi="DejaVu Math TeX Gyre" w:eastAsia="宋体"/>
            <w:sz w:val="24"/>
            <w:lang w:val="en-US" w:eastAsia="zh-CN"/>
          </w:rPr>
          <m:t>dispaly.println(</m:t>
        </m:r>
        <m:r>
          <m:rPr>
            <m:sty m:val="p"/>
          </m:rPr>
          <w:rPr>
            <w:rFonts w:hint="default" w:ascii="DejaVu Math TeX Gyre" w:hAnsi="DejaVu Math TeX Gyre"/>
            <w:sz w:val="24"/>
            <w:lang w:val="en-US" w:eastAsia="zh-CN"/>
          </w:rPr>
          <m:t>)</m:t>
        </m:r>
      </m:oMath>
      <w:r>
        <w:rPr>
          <w:rFonts w:hint="eastAsia" w:hAnsi="DejaVu Math TeX Gyre" w:eastAsia="宋体"/>
          <w:i w:val="0"/>
          <w:sz w:val="24"/>
          <w:lang w:val="en-US" w:eastAsia="zh-CN"/>
        </w:rPr>
        <w:t>函数以实现双行分级格式实时呈现电压余量与测量结果，增强了实验数据的直观性。</w:t>
      </w:r>
    </w:p>
    <w:p w14:paraId="154BEBDC">
      <w:pPr>
        <w:rPr>
          <w:rStyle w:val="31"/>
          <w:rFonts w:hint="eastAsia" w:ascii="Times New Roman" w:hAnsi="Times New Roman" w:eastAsia="黑体" w:cs="Times New Roman"/>
          <w:color w:val="auto"/>
          <w:sz w:val="32"/>
          <w:szCs w:val="32"/>
          <w:highlight w:val="yellow"/>
          <w:lang w:val="en-US" w:eastAsia="zh-CN"/>
        </w:rPr>
      </w:pPr>
      <w:r>
        <w:rPr>
          <w:rFonts w:hint="eastAsia" w:hAnsi="DejaVu Math TeX Gyre" w:eastAsia="宋体"/>
          <w:i w:val="0"/>
          <w:sz w:val="24"/>
          <w:lang w:val="en-US" w:eastAsia="zh-CN"/>
        </w:rPr>
        <w:br w:type="page"/>
      </w:r>
      <w:bookmarkStart w:id="86" w:name="_Toc200749676"/>
      <w:bookmarkStart w:id="87" w:name="_Toc206633274"/>
    </w:p>
    <w:p w14:paraId="03E92D9E">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88" w:name="_Toc511606068"/>
      <w:bookmarkStart w:id="89" w:name="_Toc493837426"/>
      <w:r>
        <w:rPr>
          <w:rStyle w:val="31"/>
          <w:rFonts w:hint="eastAsia" w:eastAsia="黑体" w:cs="Times New Roman"/>
          <w:color w:val="auto"/>
          <w:sz w:val="32"/>
          <w:szCs w:val="32"/>
          <w:highlight w:val="none"/>
          <w:lang w:val="en-US" w:eastAsia="zh-CN"/>
        </w:rPr>
        <w:t>实验预算分析</w:t>
      </w:r>
      <w:bookmarkEnd w:id="88"/>
    </w:p>
    <w:p w14:paraId="2C832058">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90" w:name="_Toc38662288"/>
      <w:r>
        <w:rPr>
          <w:rStyle w:val="31"/>
          <w:rFonts w:hint="eastAsia" w:eastAsia="黑体" w:cs="Times New Roman"/>
          <w:color w:val="auto"/>
          <w:sz w:val="28"/>
          <w:szCs w:val="28"/>
          <w:highlight w:val="none"/>
          <w:lang w:val="en-US" w:eastAsia="zh-CN"/>
        </w:rPr>
        <w:t>实验成本展示与分析</w:t>
      </w:r>
      <w:bookmarkEnd w:id="90"/>
    </w:p>
    <w:p w14:paraId="587443A0">
      <w:pPr>
        <w:pStyle w:val="5"/>
        <w:rPr>
          <w:rFonts w:hint="eastAsia"/>
          <w:lang w:eastAsia="zh-CN"/>
        </w:rPr>
      </w:pPr>
      <w:r>
        <w:t xml:space="preserve">表 </w:t>
      </w:r>
      <w:r>
        <w:fldChar w:fldCharType="begin"/>
      </w:r>
      <w:r>
        <w:instrText xml:space="preserve"> SEQ 图表 \* ARABIC </w:instrText>
      </w:r>
      <w:r>
        <w:fldChar w:fldCharType="separate"/>
      </w:r>
      <w:r>
        <w:t>1</w:t>
      </w:r>
      <w:r>
        <w:fldChar w:fldCharType="end"/>
      </w:r>
      <w:r>
        <w:rPr>
          <w:rFonts w:hint="eastAsia"/>
          <w:lang w:eastAsia="zh-CN"/>
        </w:rPr>
        <w:t xml:space="preserve"> 实验器件与成本总览</w:t>
      </w:r>
    </w:p>
    <w:tbl>
      <w:tblPr>
        <w:tblStyle w:val="24"/>
        <w:tblW w:w="9229"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17"/>
        <w:gridCol w:w="2420"/>
        <w:gridCol w:w="1041"/>
        <w:gridCol w:w="3251"/>
      </w:tblGrid>
      <w:tr w14:paraId="5BD60091">
        <w:trPr>
          <w:trHeight w:val="420" w:hRule="atLeast"/>
        </w:trPr>
        <w:tc>
          <w:tcPr>
            <w:tcW w:w="9229" w:type="dxa"/>
            <w:gridSpan w:val="4"/>
            <w:tcBorders>
              <w:top w:val="single" w:color="000000" w:sz="12" w:space="0"/>
              <w:left w:val="nil"/>
              <w:bottom w:val="single" w:color="000000" w:sz="4" w:space="0"/>
              <w:right w:val="nil"/>
              <w:tl2br w:val="nil"/>
            </w:tcBorders>
            <w:shd w:val="clear" w:color="auto" w:fill="FFFFFF"/>
            <w:vAlign w:val="center"/>
          </w:tcPr>
          <w:p w14:paraId="4BE3103E">
            <w:pPr>
              <w:keepNext w:val="0"/>
              <w:keepLines w:val="0"/>
              <w:widowControl/>
              <w:suppressLineNumbers w:val="0"/>
              <w:jc w:val="center"/>
              <w:textAlignment w:val="center"/>
              <w:rPr>
                <w:rFonts w:hint="eastAsia" w:ascii="宋体" w:hAnsi="宋体" w:eastAsia="宋体" w:cs="宋体"/>
                <w:b/>
                <w:bCs w:val="0"/>
                <w:i w:val="0"/>
                <w:iCs w:val="0"/>
                <w:color w:val="000000"/>
                <w:sz w:val="24"/>
                <w:szCs w:val="24"/>
                <w:u w:val="none"/>
              </w:rPr>
            </w:pPr>
            <w:r>
              <w:rPr>
                <w:rFonts w:hint="eastAsia" w:ascii="宋体" w:hAnsi="宋体" w:eastAsia="宋体" w:cs="宋体"/>
                <w:b/>
                <w:bCs w:val="0"/>
                <w:i w:val="0"/>
                <w:iCs w:val="0"/>
                <w:color w:val="000000"/>
                <w:kern w:val="0"/>
                <w:sz w:val="24"/>
                <w:szCs w:val="24"/>
                <w:u w:val="none"/>
                <w:lang w:val="en-US" w:eastAsia="zh-CN" w:bidi="ar"/>
              </w:rPr>
              <w:t>机械与光学结构</w:t>
            </w:r>
          </w:p>
        </w:tc>
      </w:tr>
      <w:tr w14:paraId="214A74AF">
        <w:trPr>
          <w:trHeight w:val="420" w:hRule="atLeast"/>
        </w:trPr>
        <w:tc>
          <w:tcPr>
            <w:tcW w:w="2517" w:type="dxa"/>
            <w:tcBorders>
              <w:top w:val="single" w:color="000000" w:sz="4" w:space="0"/>
              <w:left w:val="nil"/>
              <w:bottom w:val="nil"/>
              <w:right w:val="nil"/>
            </w:tcBorders>
            <w:shd w:val="clear" w:color="auto" w:fill="FFFFFF"/>
            <w:vAlign w:val="center"/>
          </w:tcPr>
          <w:p w14:paraId="03D057EF">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器件名称</w:t>
            </w:r>
          </w:p>
        </w:tc>
        <w:tc>
          <w:tcPr>
            <w:tcW w:w="2420" w:type="dxa"/>
            <w:tcBorders>
              <w:top w:val="single" w:color="000000" w:sz="4" w:space="0"/>
              <w:left w:val="nil"/>
              <w:bottom w:val="nil"/>
              <w:right w:val="nil"/>
            </w:tcBorders>
            <w:shd w:val="clear" w:color="auto" w:fill="FFFFFF"/>
            <w:vAlign w:val="center"/>
          </w:tcPr>
          <w:p w14:paraId="49D58A11">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规格型号</w:t>
            </w:r>
          </w:p>
        </w:tc>
        <w:tc>
          <w:tcPr>
            <w:tcW w:w="1041" w:type="dxa"/>
            <w:tcBorders>
              <w:top w:val="single" w:color="000000" w:sz="4" w:space="0"/>
              <w:left w:val="nil"/>
              <w:bottom w:val="nil"/>
              <w:right w:val="nil"/>
            </w:tcBorders>
            <w:shd w:val="clear" w:color="auto" w:fill="FFFFFF"/>
            <w:vAlign w:val="center"/>
          </w:tcPr>
          <w:p w14:paraId="6CB9072B">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金额</w:t>
            </w:r>
          </w:p>
        </w:tc>
        <w:tc>
          <w:tcPr>
            <w:tcW w:w="3251" w:type="dxa"/>
            <w:tcBorders>
              <w:top w:val="single" w:color="000000" w:sz="4" w:space="0"/>
              <w:left w:val="nil"/>
              <w:bottom w:val="nil"/>
              <w:right w:val="nil"/>
            </w:tcBorders>
            <w:shd w:val="clear" w:color="auto" w:fill="FFFFFF"/>
            <w:vAlign w:val="center"/>
          </w:tcPr>
          <w:p w14:paraId="542C4282">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用途与备注</w:t>
            </w:r>
          </w:p>
        </w:tc>
      </w:tr>
      <w:tr w14:paraId="5B7DC674">
        <w:trPr>
          <w:trHeight w:val="420" w:hRule="atLeast"/>
        </w:trPr>
        <w:tc>
          <w:tcPr>
            <w:tcW w:w="2517" w:type="dxa"/>
            <w:tcBorders>
              <w:top w:val="nil"/>
              <w:left w:val="nil"/>
              <w:bottom w:val="nil"/>
              <w:right w:val="nil"/>
            </w:tcBorders>
            <w:shd w:val="clear" w:color="auto" w:fill="FFFFFF"/>
            <w:vAlign w:val="center"/>
          </w:tcPr>
          <w:p w14:paraId="368D702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磷青铜悬丝 / 钨丝</w:t>
            </w:r>
          </w:p>
        </w:tc>
        <w:tc>
          <w:tcPr>
            <w:tcW w:w="2420" w:type="dxa"/>
            <w:tcBorders>
              <w:top w:val="nil"/>
              <w:left w:val="nil"/>
              <w:bottom w:val="nil"/>
              <w:right w:val="nil"/>
            </w:tcBorders>
            <w:shd w:val="clear" w:color="auto" w:fill="FFFFFF"/>
            <w:vAlign w:val="center"/>
          </w:tcPr>
          <w:p w14:paraId="66335B0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Φ0.03mm</w:t>
            </w:r>
            <w:r>
              <w:rPr>
                <w:rFonts w:hint="default" w:ascii="宋体" w:hAnsi="宋体" w:cs="宋体"/>
                <w:b w:val="0"/>
                <w:i w:val="0"/>
                <w:iCs w:val="0"/>
                <w:color w:val="000000"/>
                <w:kern w:val="0"/>
                <w:sz w:val="22"/>
                <w:szCs w:val="22"/>
                <w:u w:val="none"/>
                <w:lang w:val="en-US" w:eastAsia="zh-CN" w:bidi="ar"/>
              </w:rPr>
              <w:t>（</w:t>
            </w:r>
            <w:r>
              <w:rPr>
                <w:rFonts w:hint="eastAsia" w:ascii="宋体" w:hAnsi="宋体" w:eastAsia="宋体" w:cs="宋体"/>
                <w:b w:val="0"/>
                <w:i w:val="0"/>
                <w:iCs w:val="0"/>
                <w:color w:val="000000"/>
                <w:kern w:val="0"/>
                <w:sz w:val="22"/>
                <w:szCs w:val="22"/>
                <w:u w:val="none"/>
                <w:lang w:val="en-US" w:eastAsia="zh-CN" w:bidi="ar"/>
              </w:rPr>
              <w:t>散装</w:t>
            </w:r>
            <w:r>
              <w:rPr>
                <w:rFonts w:hint="default" w:ascii="宋体" w:hAnsi="宋体" w:cs="宋体"/>
                <w:b w:val="0"/>
                <w:i w:val="0"/>
                <w:iCs w:val="0"/>
                <w:color w:val="000000"/>
                <w:kern w:val="0"/>
                <w:sz w:val="22"/>
                <w:szCs w:val="22"/>
                <w:u w:val="none"/>
                <w:lang w:val="en-US" w:eastAsia="zh-CN" w:bidi="ar"/>
              </w:rPr>
              <w:t>）</w:t>
            </w:r>
          </w:p>
        </w:tc>
        <w:tc>
          <w:tcPr>
            <w:tcW w:w="1041" w:type="dxa"/>
            <w:tcBorders>
              <w:top w:val="nil"/>
              <w:left w:val="nil"/>
              <w:bottom w:val="nil"/>
              <w:right w:val="nil"/>
            </w:tcBorders>
            <w:shd w:val="clear" w:color="auto" w:fill="FFFFFF"/>
            <w:vAlign w:val="center"/>
          </w:tcPr>
          <w:p w14:paraId="18192C9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￥12.00</w:t>
            </w:r>
          </w:p>
        </w:tc>
        <w:tc>
          <w:tcPr>
            <w:tcW w:w="3251" w:type="dxa"/>
            <w:tcBorders>
              <w:top w:val="nil"/>
              <w:left w:val="nil"/>
              <w:bottom w:val="nil"/>
              <w:right w:val="nil"/>
            </w:tcBorders>
            <w:shd w:val="clear" w:color="auto" w:fill="FFFFFF"/>
            <w:vAlign w:val="center"/>
          </w:tcPr>
          <w:p w14:paraId="4ADABFA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提供稳定的物理支撑</w:t>
            </w:r>
          </w:p>
        </w:tc>
      </w:tr>
      <w:tr w14:paraId="5A9896AF">
        <w:trPr>
          <w:trHeight w:val="420" w:hRule="atLeast"/>
        </w:trPr>
        <w:tc>
          <w:tcPr>
            <w:tcW w:w="2517" w:type="dxa"/>
            <w:tcBorders>
              <w:top w:val="nil"/>
              <w:left w:val="nil"/>
              <w:bottom w:val="nil"/>
              <w:right w:val="nil"/>
            </w:tcBorders>
            <w:shd w:val="clear" w:color="auto" w:fill="FFFFFF"/>
            <w:vAlign w:val="center"/>
          </w:tcPr>
          <w:p w14:paraId="502DEBC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重型金属支架</w:t>
            </w:r>
          </w:p>
        </w:tc>
        <w:tc>
          <w:tcPr>
            <w:tcW w:w="2420" w:type="dxa"/>
            <w:tcBorders>
              <w:top w:val="nil"/>
              <w:left w:val="nil"/>
              <w:bottom w:val="nil"/>
              <w:right w:val="nil"/>
            </w:tcBorders>
            <w:shd w:val="clear" w:color="auto" w:fill="FFFFFF"/>
            <w:vAlign w:val="center"/>
          </w:tcPr>
          <w:p w14:paraId="493273D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简易铁架</w:t>
            </w:r>
          </w:p>
        </w:tc>
        <w:tc>
          <w:tcPr>
            <w:tcW w:w="1041" w:type="dxa"/>
            <w:tcBorders>
              <w:top w:val="nil"/>
              <w:left w:val="nil"/>
              <w:bottom w:val="nil"/>
              <w:right w:val="nil"/>
            </w:tcBorders>
            <w:shd w:val="clear" w:color="auto" w:fill="FFFFFF"/>
            <w:vAlign w:val="center"/>
          </w:tcPr>
          <w:p w14:paraId="179ED26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￥15.00</w:t>
            </w:r>
          </w:p>
        </w:tc>
        <w:tc>
          <w:tcPr>
            <w:tcW w:w="3251" w:type="dxa"/>
            <w:tcBorders>
              <w:top w:val="nil"/>
              <w:left w:val="nil"/>
              <w:bottom w:val="nil"/>
              <w:right w:val="nil"/>
            </w:tcBorders>
            <w:shd w:val="clear" w:color="auto" w:fill="FFFFFF"/>
            <w:vAlign w:val="center"/>
          </w:tcPr>
          <w:p w14:paraId="0928D6D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减少振动干扰</w:t>
            </w:r>
          </w:p>
        </w:tc>
      </w:tr>
      <w:tr w14:paraId="4E3D2286">
        <w:trPr>
          <w:trHeight w:val="420" w:hRule="atLeast"/>
        </w:trPr>
        <w:tc>
          <w:tcPr>
            <w:tcW w:w="2517" w:type="dxa"/>
            <w:tcBorders>
              <w:top w:val="nil"/>
              <w:left w:val="nil"/>
              <w:bottom w:val="nil"/>
              <w:right w:val="nil"/>
            </w:tcBorders>
            <w:shd w:val="clear" w:color="auto" w:fill="FFFFFF"/>
            <w:vAlign w:val="center"/>
          </w:tcPr>
          <w:p w14:paraId="450E569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微型高反平面镜</w:t>
            </w:r>
          </w:p>
        </w:tc>
        <w:tc>
          <w:tcPr>
            <w:tcW w:w="2420" w:type="dxa"/>
            <w:tcBorders>
              <w:top w:val="nil"/>
              <w:left w:val="nil"/>
              <w:bottom w:val="nil"/>
              <w:right w:val="nil"/>
            </w:tcBorders>
            <w:shd w:val="clear" w:color="auto" w:fill="FFFFFF"/>
            <w:vAlign w:val="center"/>
          </w:tcPr>
          <w:p w14:paraId="748A378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Φ8mm / 高反射率</w:t>
            </w:r>
          </w:p>
        </w:tc>
        <w:tc>
          <w:tcPr>
            <w:tcW w:w="1041" w:type="dxa"/>
            <w:tcBorders>
              <w:top w:val="nil"/>
              <w:left w:val="nil"/>
              <w:bottom w:val="nil"/>
              <w:right w:val="nil"/>
            </w:tcBorders>
            <w:shd w:val="clear" w:color="auto" w:fill="FFFFFF"/>
            <w:vAlign w:val="center"/>
          </w:tcPr>
          <w:p w14:paraId="53D4E0C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￥8.00</w:t>
            </w:r>
          </w:p>
        </w:tc>
        <w:tc>
          <w:tcPr>
            <w:tcW w:w="3251" w:type="dxa"/>
            <w:tcBorders>
              <w:top w:val="nil"/>
              <w:left w:val="nil"/>
              <w:bottom w:val="nil"/>
              <w:right w:val="nil"/>
            </w:tcBorders>
            <w:shd w:val="clear" w:color="auto" w:fill="FFFFFF"/>
            <w:vAlign w:val="center"/>
          </w:tcPr>
          <w:p w14:paraId="11BB1C2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光杠杆反射</w:t>
            </w:r>
          </w:p>
        </w:tc>
      </w:tr>
      <w:tr w14:paraId="37C07358">
        <w:trPr>
          <w:trHeight w:val="420" w:hRule="atLeast"/>
        </w:trPr>
        <w:tc>
          <w:tcPr>
            <w:tcW w:w="2517" w:type="dxa"/>
            <w:tcBorders>
              <w:top w:val="nil"/>
              <w:left w:val="nil"/>
              <w:bottom w:val="nil"/>
              <w:right w:val="nil"/>
            </w:tcBorders>
            <w:shd w:val="clear" w:color="auto" w:fill="FFFFFF"/>
            <w:vAlign w:val="center"/>
          </w:tcPr>
          <w:p w14:paraId="4BE9EF9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轻质矩形线圈</w:t>
            </w:r>
          </w:p>
        </w:tc>
        <w:tc>
          <w:tcPr>
            <w:tcW w:w="2420" w:type="dxa"/>
            <w:tcBorders>
              <w:top w:val="nil"/>
              <w:left w:val="nil"/>
              <w:bottom w:val="nil"/>
              <w:right w:val="nil"/>
            </w:tcBorders>
            <w:shd w:val="clear" w:color="auto" w:fill="FFFFFF"/>
            <w:vAlign w:val="center"/>
          </w:tcPr>
          <w:p w14:paraId="68B09FA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0.1m</w:t>
            </w:r>
            <w:r>
              <w:rPr>
                <w:rFonts w:hint="default" w:ascii="宋体" w:hAnsi="宋体" w:cs="宋体"/>
                <w:b w:val="0"/>
                <w:i w:val="0"/>
                <w:iCs w:val="0"/>
                <w:color w:val="000000"/>
                <w:kern w:val="0"/>
                <w:sz w:val="22"/>
                <w:szCs w:val="22"/>
                <w:u w:val="none"/>
                <w:lang w:val="en-US" w:eastAsia="zh-CN" w:bidi="ar"/>
              </w:rPr>
              <w:t>m</w:t>
            </w:r>
            <w:r>
              <w:rPr>
                <w:rFonts w:hint="eastAsia" w:ascii="宋体" w:hAnsi="宋体" w:cs="宋体"/>
                <w:b w:val="0"/>
                <w:i w:val="0"/>
                <w:iCs w:val="0"/>
                <w:color w:val="000000"/>
                <w:kern w:val="0"/>
                <w:sz w:val="22"/>
                <w:szCs w:val="22"/>
                <w:u w:val="none"/>
                <w:lang w:val="en-US" w:eastAsia="zh-CN" w:bidi="ar"/>
              </w:rPr>
              <w:t>小卷</w:t>
            </w:r>
            <w:r>
              <w:rPr>
                <w:rFonts w:hint="eastAsia" w:ascii="宋体" w:hAnsi="宋体" w:eastAsia="宋体" w:cs="宋体"/>
                <w:b w:val="0"/>
                <w:i w:val="0"/>
                <w:iCs w:val="0"/>
                <w:color w:val="000000"/>
                <w:kern w:val="0"/>
                <w:sz w:val="22"/>
                <w:szCs w:val="22"/>
                <w:u w:val="none"/>
                <w:lang w:val="en-US" w:eastAsia="zh-CN" w:bidi="ar"/>
              </w:rPr>
              <w:t>漆包线</w:t>
            </w:r>
          </w:p>
        </w:tc>
        <w:tc>
          <w:tcPr>
            <w:tcW w:w="1041" w:type="dxa"/>
            <w:tcBorders>
              <w:top w:val="nil"/>
              <w:left w:val="nil"/>
              <w:bottom w:val="nil"/>
              <w:right w:val="nil"/>
            </w:tcBorders>
            <w:shd w:val="clear" w:color="auto" w:fill="FFFFFF"/>
            <w:vAlign w:val="center"/>
          </w:tcPr>
          <w:p w14:paraId="3D40E14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￥15.00</w:t>
            </w:r>
          </w:p>
        </w:tc>
        <w:tc>
          <w:tcPr>
            <w:tcW w:w="3251" w:type="dxa"/>
            <w:tcBorders>
              <w:top w:val="nil"/>
              <w:left w:val="nil"/>
              <w:bottom w:val="nil"/>
              <w:right w:val="nil"/>
            </w:tcBorders>
            <w:shd w:val="clear" w:color="auto" w:fill="FFFFFF"/>
            <w:vAlign w:val="center"/>
          </w:tcPr>
          <w:p w14:paraId="489683B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电磁感应线圈</w:t>
            </w:r>
          </w:p>
        </w:tc>
      </w:tr>
      <w:tr w14:paraId="479B06DF">
        <w:trPr>
          <w:trHeight w:val="420" w:hRule="atLeast"/>
        </w:trPr>
        <w:tc>
          <w:tcPr>
            <w:tcW w:w="2517" w:type="dxa"/>
            <w:tcBorders>
              <w:top w:val="nil"/>
              <w:left w:val="nil"/>
              <w:bottom w:val="nil"/>
              <w:right w:val="nil"/>
            </w:tcBorders>
            <w:shd w:val="clear" w:color="auto" w:fill="FFFFFF"/>
            <w:vAlign w:val="center"/>
          </w:tcPr>
          <w:p w14:paraId="2E0E30F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标准微型砝码</w:t>
            </w:r>
          </w:p>
        </w:tc>
        <w:tc>
          <w:tcPr>
            <w:tcW w:w="2420" w:type="dxa"/>
            <w:tcBorders>
              <w:top w:val="nil"/>
              <w:left w:val="nil"/>
              <w:bottom w:val="nil"/>
              <w:right w:val="nil"/>
            </w:tcBorders>
            <w:shd w:val="clear" w:color="auto" w:fill="FFFFFF"/>
            <w:vAlign w:val="center"/>
          </w:tcPr>
          <w:p w14:paraId="5D86A89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1g</w:t>
            </w:r>
            <w:r>
              <w:rPr>
                <w:rFonts w:hint="eastAsia" w:ascii="宋体" w:hAnsi="宋体" w:cs="宋体"/>
                <w:b w:val="0"/>
                <w:i w:val="0"/>
                <w:iCs w:val="0"/>
                <w:color w:val="000000"/>
                <w:kern w:val="0"/>
                <w:sz w:val="22"/>
                <w:szCs w:val="22"/>
                <w:u w:val="none"/>
                <w:lang w:val="en-US" w:eastAsia="zh-CN" w:bidi="ar"/>
              </w:rPr>
              <w:t xml:space="preserve"> </w:t>
            </w:r>
            <w:r>
              <w:rPr>
                <w:rFonts w:hint="eastAsia" w:ascii="宋体" w:hAnsi="宋体" w:eastAsia="宋体" w:cs="宋体"/>
                <w:b w:val="0"/>
                <w:i w:val="0"/>
                <w:iCs w:val="0"/>
                <w:color w:val="000000"/>
                <w:kern w:val="0"/>
                <w:sz w:val="22"/>
                <w:szCs w:val="22"/>
                <w:u w:val="none"/>
                <w:lang w:val="en-US" w:eastAsia="zh-CN" w:bidi="ar"/>
              </w:rPr>
              <w:t>/</w:t>
            </w:r>
            <w:r>
              <w:rPr>
                <w:rFonts w:hint="eastAsia" w:ascii="宋体" w:hAnsi="宋体" w:cs="宋体"/>
                <w:b w:val="0"/>
                <w:i w:val="0"/>
                <w:iCs w:val="0"/>
                <w:color w:val="000000"/>
                <w:kern w:val="0"/>
                <w:sz w:val="22"/>
                <w:szCs w:val="22"/>
                <w:u w:val="none"/>
                <w:lang w:val="en-US" w:eastAsia="zh-CN" w:bidi="ar"/>
              </w:rPr>
              <w:t xml:space="preserve"> </w:t>
            </w:r>
            <w:r>
              <w:rPr>
                <w:rFonts w:hint="eastAsia" w:ascii="宋体" w:hAnsi="宋体" w:eastAsia="宋体" w:cs="宋体"/>
                <w:b w:val="0"/>
                <w:i w:val="0"/>
                <w:iCs w:val="0"/>
                <w:color w:val="000000"/>
                <w:kern w:val="0"/>
                <w:sz w:val="22"/>
                <w:szCs w:val="22"/>
                <w:u w:val="none"/>
                <w:lang w:val="en-US" w:eastAsia="zh-CN" w:bidi="ar"/>
              </w:rPr>
              <w:t>5g 套装</w:t>
            </w:r>
          </w:p>
        </w:tc>
        <w:tc>
          <w:tcPr>
            <w:tcW w:w="1041" w:type="dxa"/>
            <w:tcBorders>
              <w:top w:val="nil"/>
              <w:left w:val="nil"/>
              <w:bottom w:val="nil"/>
              <w:right w:val="nil"/>
            </w:tcBorders>
            <w:shd w:val="clear" w:color="auto" w:fill="FFFFFF"/>
            <w:vAlign w:val="center"/>
          </w:tcPr>
          <w:p w14:paraId="1E2BD6C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￥18.00</w:t>
            </w:r>
          </w:p>
        </w:tc>
        <w:tc>
          <w:tcPr>
            <w:tcW w:w="3251" w:type="dxa"/>
            <w:tcBorders>
              <w:top w:val="nil"/>
              <w:left w:val="nil"/>
              <w:bottom w:val="nil"/>
              <w:right w:val="nil"/>
            </w:tcBorders>
            <w:shd w:val="clear" w:color="auto" w:fill="FFFFFF"/>
            <w:vAlign w:val="center"/>
          </w:tcPr>
          <w:p w14:paraId="30E3567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悬丝 k 值标定</w:t>
            </w:r>
          </w:p>
        </w:tc>
      </w:tr>
      <w:tr w14:paraId="3816605B">
        <w:trPr>
          <w:trHeight w:val="420" w:hRule="atLeast"/>
        </w:trPr>
        <w:tc>
          <w:tcPr>
            <w:tcW w:w="2517" w:type="dxa"/>
            <w:tcBorders>
              <w:top w:val="nil"/>
              <w:left w:val="nil"/>
              <w:bottom w:val="nil"/>
              <w:right w:val="nil"/>
            </w:tcBorders>
            <w:shd w:val="clear" w:color="auto" w:fill="FFFFFF"/>
            <w:vAlign w:val="center"/>
          </w:tcPr>
          <w:p w14:paraId="3B48590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精密滑轨</w:t>
            </w:r>
          </w:p>
        </w:tc>
        <w:tc>
          <w:tcPr>
            <w:tcW w:w="2420" w:type="dxa"/>
            <w:tcBorders>
              <w:top w:val="nil"/>
              <w:left w:val="nil"/>
              <w:bottom w:val="nil"/>
              <w:right w:val="nil"/>
            </w:tcBorders>
            <w:shd w:val="clear" w:color="auto" w:fill="FFFFFF"/>
            <w:vAlign w:val="center"/>
          </w:tcPr>
          <w:p w14:paraId="3094A3A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100mm手动位移台</w:t>
            </w:r>
          </w:p>
        </w:tc>
        <w:tc>
          <w:tcPr>
            <w:tcW w:w="1041" w:type="dxa"/>
            <w:tcBorders>
              <w:top w:val="nil"/>
              <w:left w:val="nil"/>
              <w:bottom w:val="nil"/>
              <w:right w:val="nil"/>
            </w:tcBorders>
            <w:shd w:val="clear" w:color="auto" w:fill="FFFFFF"/>
            <w:vAlign w:val="center"/>
          </w:tcPr>
          <w:p w14:paraId="5263A44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￥50.00</w:t>
            </w:r>
          </w:p>
        </w:tc>
        <w:tc>
          <w:tcPr>
            <w:tcW w:w="3251" w:type="dxa"/>
            <w:tcBorders>
              <w:top w:val="nil"/>
              <w:left w:val="nil"/>
              <w:bottom w:val="nil"/>
              <w:right w:val="nil"/>
            </w:tcBorders>
            <w:shd w:val="clear" w:color="auto" w:fill="FFFFFF"/>
            <w:vAlign w:val="center"/>
          </w:tcPr>
          <w:p w14:paraId="5D2489A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精确调节PSD与激光的距离</w:t>
            </w:r>
          </w:p>
        </w:tc>
      </w:tr>
      <w:tr w14:paraId="77F870EC">
        <w:trPr>
          <w:trHeight w:val="420" w:hRule="atLeast"/>
        </w:trPr>
        <w:tc>
          <w:tcPr>
            <w:tcW w:w="2517" w:type="dxa"/>
            <w:tcBorders>
              <w:top w:val="nil"/>
              <w:left w:val="nil"/>
              <w:bottom w:val="nil"/>
              <w:right w:val="nil"/>
            </w:tcBorders>
            <w:shd w:val="clear" w:color="auto" w:fill="FFFFFF"/>
            <w:vAlign w:val="center"/>
          </w:tcPr>
          <w:p w14:paraId="2F44241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配重块</w:t>
            </w:r>
          </w:p>
        </w:tc>
        <w:tc>
          <w:tcPr>
            <w:tcW w:w="2420" w:type="dxa"/>
            <w:tcBorders>
              <w:top w:val="nil"/>
              <w:left w:val="nil"/>
              <w:bottom w:val="nil"/>
              <w:right w:val="nil"/>
            </w:tcBorders>
            <w:shd w:val="clear" w:color="auto" w:fill="FFFFFF"/>
            <w:vAlign w:val="center"/>
          </w:tcPr>
          <w:p w14:paraId="29CF47C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防晃动专用</w:t>
            </w:r>
          </w:p>
        </w:tc>
        <w:tc>
          <w:tcPr>
            <w:tcW w:w="1041" w:type="dxa"/>
            <w:tcBorders>
              <w:top w:val="nil"/>
              <w:left w:val="nil"/>
              <w:bottom w:val="nil"/>
              <w:right w:val="nil"/>
            </w:tcBorders>
            <w:shd w:val="clear" w:color="auto" w:fill="FFFFFF"/>
            <w:vAlign w:val="center"/>
          </w:tcPr>
          <w:p w14:paraId="75BB65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￥6.00</w:t>
            </w:r>
          </w:p>
        </w:tc>
        <w:tc>
          <w:tcPr>
            <w:tcW w:w="3251" w:type="dxa"/>
            <w:tcBorders>
              <w:top w:val="nil"/>
              <w:left w:val="nil"/>
              <w:bottom w:val="nil"/>
              <w:right w:val="nil"/>
            </w:tcBorders>
            <w:shd w:val="clear" w:color="auto" w:fill="FFFFFF"/>
            <w:vAlign w:val="center"/>
          </w:tcPr>
          <w:p w14:paraId="6011BD6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稳定悬丝系统</w:t>
            </w:r>
          </w:p>
        </w:tc>
      </w:tr>
      <w:tr w14:paraId="6EBC2AB4">
        <w:trPr>
          <w:trHeight w:val="420" w:hRule="atLeast"/>
        </w:trPr>
        <w:tc>
          <w:tcPr>
            <w:tcW w:w="2517" w:type="dxa"/>
            <w:tcBorders>
              <w:top w:val="nil"/>
              <w:left w:val="nil"/>
              <w:bottom w:val="single" w:color="000000" w:sz="12" w:space="0"/>
              <w:right w:val="nil"/>
            </w:tcBorders>
            <w:shd w:val="clear" w:color="auto" w:fill="FFFFFF"/>
            <w:vAlign w:val="center"/>
          </w:tcPr>
          <w:p w14:paraId="4189AED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准直激光模组</w:t>
            </w:r>
          </w:p>
        </w:tc>
        <w:tc>
          <w:tcPr>
            <w:tcW w:w="2420" w:type="dxa"/>
            <w:tcBorders>
              <w:top w:val="nil"/>
              <w:left w:val="nil"/>
              <w:bottom w:val="single" w:color="000000" w:sz="12" w:space="0"/>
              <w:right w:val="nil"/>
            </w:tcBorders>
            <w:shd w:val="clear" w:color="auto" w:fill="FFFFFF"/>
            <w:vAlign w:val="center"/>
          </w:tcPr>
          <w:p w14:paraId="3F6417A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红色点状激光</w:t>
            </w:r>
          </w:p>
        </w:tc>
        <w:tc>
          <w:tcPr>
            <w:tcW w:w="1041" w:type="dxa"/>
            <w:tcBorders>
              <w:top w:val="nil"/>
              <w:left w:val="nil"/>
              <w:bottom w:val="single" w:color="000000" w:sz="12" w:space="0"/>
              <w:right w:val="nil"/>
            </w:tcBorders>
            <w:shd w:val="clear" w:color="auto" w:fill="FFFFFF"/>
            <w:vAlign w:val="center"/>
          </w:tcPr>
          <w:p w14:paraId="04138AC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￥10.00</w:t>
            </w:r>
          </w:p>
        </w:tc>
        <w:tc>
          <w:tcPr>
            <w:tcW w:w="3251" w:type="dxa"/>
            <w:tcBorders>
              <w:top w:val="nil"/>
              <w:left w:val="nil"/>
              <w:bottom w:val="single" w:color="000000" w:sz="12" w:space="0"/>
              <w:right w:val="nil"/>
            </w:tcBorders>
            <w:shd w:val="clear" w:color="auto" w:fill="FFFFFF"/>
            <w:vAlign w:val="center"/>
          </w:tcPr>
          <w:p w14:paraId="4E6E400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光杠杆光源</w:t>
            </w:r>
          </w:p>
        </w:tc>
      </w:tr>
      <w:tr w14:paraId="4BB08965">
        <w:trPr>
          <w:trHeight w:val="420" w:hRule="atLeast"/>
        </w:trPr>
        <w:tc>
          <w:tcPr>
            <w:tcW w:w="9229" w:type="dxa"/>
            <w:gridSpan w:val="4"/>
            <w:tcBorders>
              <w:top w:val="single" w:color="000000" w:sz="12" w:space="0"/>
              <w:left w:val="nil"/>
              <w:bottom w:val="single" w:color="000000" w:sz="4" w:space="0"/>
              <w:right w:val="nil"/>
              <w:tl2br w:val="nil"/>
            </w:tcBorders>
            <w:shd w:val="clear" w:color="auto" w:fill="FFFFFF"/>
            <w:vAlign w:val="center"/>
          </w:tcPr>
          <w:p w14:paraId="3F710CC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电子元器件</w:t>
            </w:r>
          </w:p>
        </w:tc>
      </w:tr>
      <w:tr w14:paraId="2D258783">
        <w:trPr>
          <w:trHeight w:val="420" w:hRule="atLeast"/>
        </w:trPr>
        <w:tc>
          <w:tcPr>
            <w:tcW w:w="2517" w:type="dxa"/>
            <w:tcBorders>
              <w:top w:val="single" w:color="000000" w:sz="4" w:space="0"/>
              <w:left w:val="nil"/>
              <w:bottom w:val="nil"/>
              <w:right w:val="nil"/>
            </w:tcBorders>
            <w:shd w:val="clear" w:color="auto" w:fill="FFFFFF"/>
            <w:vAlign w:val="center"/>
          </w:tcPr>
          <w:p w14:paraId="5C60D9B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器件名称</w:t>
            </w:r>
          </w:p>
        </w:tc>
        <w:tc>
          <w:tcPr>
            <w:tcW w:w="2420" w:type="dxa"/>
            <w:tcBorders>
              <w:top w:val="single" w:color="000000" w:sz="4" w:space="0"/>
              <w:left w:val="nil"/>
              <w:bottom w:val="nil"/>
              <w:right w:val="nil"/>
            </w:tcBorders>
            <w:shd w:val="clear" w:color="auto" w:fill="FFFFFF"/>
            <w:vAlign w:val="center"/>
          </w:tcPr>
          <w:p w14:paraId="2C74DA2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规格型号</w:t>
            </w:r>
          </w:p>
        </w:tc>
        <w:tc>
          <w:tcPr>
            <w:tcW w:w="1041" w:type="dxa"/>
            <w:tcBorders>
              <w:top w:val="single" w:color="000000" w:sz="4" w:space="0"/>
              <w:left w:val="nil"/>
              <w:bottom w:val="nil"/>
              <w:right w:val="nil"/>
            </w:tcBorders>
            <w:shd w:val="clear" w:color="auto" w:fill="FFFFFF"/>
            <w:vAlign w:val="center"/>
          </w:tcPr>
          <w:p w14:paraId="2D7FA41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金额</w:t>
            </w:r>
          </w:p>
        </w:tc>
        <w:tc>
          <w:tcPr>
            <w:tcW w:w="3251" w:type="dxa"/>
            <w:tcBorders>
              <w:top w:val="single" w:color="000000" w:sz="4" w:space="0"/>
              <w:left w:val="nil"/>
              <w:bottom w:val="nil"/>
              <w:right w:val="nil"/>
            </w:tcBorders>
            <w:shd w:val="clear" w:color="auto" w:fill="FFFFFF"/>
            <w:vAlign w:val="center"/>
          </w:tcPr>
          <w:p w14:paraId="1B6A926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用途与备注</w:t>
            </w:r>
          </w:p>
        </w:tc>
      </w:tr>
      <w:tr w14:paraId="117EE939">
        <w:trPr>
          <w:trHeight w:val="420" w:hRule="atLeast"/>
        </w:trPr>
        <w:tc>
          <w:tcPr>
            <w:tcW w:w="2517" w:type="dxa"/>
            <w:tcBorders>
              <w:top w:val="nil"/>
              <w:left w:val="nil"/>
              <w:bottom w:val="nil"/>
              <w:right w:val="nil"/>
            </w:tcBorders>
            <w:shd w:val="clear" w:color="auto" w:fill="FFFFFF"/>
            <w:vAlign w:val="center"/>
          </w:tcPr>
          <w:p w14:paraId="08B9BB1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9V叠层电池</w:t>
            </w:r>
          </w:p>
        </w:tc>
        <w:tc>
          <w:tcPr>
            <w:tcW w:w="2420" w:type="dxa"/>
            <w:tcBorders>
              <w:top w:val="nil"/>
              <w:left w:val="nil"/>
              <w:bottom w:val="nil"/>
              <w:right w:val="nil"/>
            </w:tcBorders>
            <w:shd w:val="clear" w:color="auto" w:fill="FFFFFF"/>
            <w:vAlign w:val="center"/>
          </w:tcPr>
          <w:p w14:paraId="41B152B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线性直流无纹波</w:t>
            </w:r>
          </w:p>
        </w:tc>
        <w:tc>
          <w:tcPr>
            <w:tcW w:w="1041" w:type="dxa"/>
            <w:tcBorders>
              <w:top w:val="nil"/>
              <w:left w:val="nil"/>
              <w:bottom w:val="nil"/>
              <w:right w:val="nil"/>
            </w:tcBorders>
            <w:shd w:val="clear" w:color="auto" w:fill="FFFFFF"/>
            <w:vAlign w:val="center"/>
          </w:tcPr>
          <w:p w14:paraId="18A249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￥6.00</w:t>
            </w:r>
          </w:p>
        </w:tc>
        <w:tc>
          <w:tcPr>
            <w:tcW w:w="3251" w:type="dxa"/>
            <w:tcBorders>
              <w:top w:val="nil"/>
              <w:left w:val="nil"/>
              <w:bottom w:val="nil"/>
              <w:right w:val="nil"/>
            </w:tcBorders>
            <w:shd w:val="clear" w:color="auto" w:fill="FFFFFF"/>
            <w:vAlign w:val="center"/>
          </w:tcPr>
          <w:p w14:paraId="3E6EC6E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直流供电，避开干扰</w:t>
            </w:r>
          </w:p>
        </w:tc>
      </w:tr>
      <w:tr w14:paraId="4472DFC6">
        <w:trPr>
          <w:trHeight w:val="420" w:hRule="atLeast"/>
        </w:trPr>
        <w:tc>
          <w:tcPr>
            <w:tcW w:w="2517" w:type="dxa"/>
            <w:tcBorders>
              <w:top w:val="nil"/>
              <w:left w:val="nil"/>
              <w:bottom w:val="nil"/>
              <w:right w:val="nil"/>
            </w:tcBorders>
            <w:shd w:val="clear" w:color="auto" w:fill="FFFFFF"/>
            <w:vAlign w:val="center"/>
          </w:tcPr>
          <w:p w14:paraId="1F1CB38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9V电池座</w:t>
            </w:r>
          </w:p>
        </w:tc>
        <w:tc>
          <w:tcPr>
            <w:tcW w:w="2420" w:type="dxa"/>
            <w:tcBorders>
              <w:top w:val="nil"/>
              <w:left w:val="nil"/>
              <w:bottom w:val="nil"/>
              <w:right w:val="nil"/>
            </w:tcBorders>
            <w:shd w:val="clear" w:color="auto" w:fill="FFFFFF"/>
            <w:vAlign w:val="center"/>
          </w:tcPr>
          <w:p w14:paraId="0869F67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带开关</w:t>
            </w:r>
          </w:p>
        </w:tc>
        <w:tc>
          <w:tcPr>
            <w:tcW w:w="1041" w:type="dxa"/>
            <w:tcBorders>
              <w:top w:val="nil"/>
              <w:left w:val="nil"/>
              <w:bottom w:val="nil"/>
              <w:right w:val="nil"/>
            </w:tcBorders>
            <w:shd w:val="clear" w:color="auto" w:fill="FFFFFF"/>
            <w:vAlign w:val="center"/>
          </w:tcPr>
          <w:p w14:paraId="2111925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￥3.00</w:t>
            </w:r>
          </w:p>
        </w:tc>
        <w:tc>
          <w:tcPr>
            <w:tcW w:w="3251" w:type="dxa"/>
            <w:tcBorders>
              <w:top w:val="nil"/>
              <w:left w:val="nil"/>
              <w:bottom w:val="nil"/>
              <w:right w:val="nil"/>
            </w:tcBorders>
            <w:shd w:val="clear" w:color="auto" w:fill="FFFFFF"/>
            <w:vAlign w:val="center"/>
          </w:tcPr>
          <w:p w14:paraId="181E454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连接UNO外部电源接口</w:t>
            </w:r>
          </w:p>
        </w:tc>
      </w:tr>
      <w:tr w14:paraId="6DF7B9E8">
        <w:trPr>
          <w:trHeight w:val="420" w:hRule="atLeast"/>
        </w:trPr>
        <w:tc>
          <w:tcPr>
            <w:tcW w:w="2517" w:type="dxa"/>
            <w:tcBorders>
              <w:top w:val="nil"/>
              <w:left w:val="nil"/>
              <w:bottom w:val="nil"/>
              <w:right w:val="nil"/>
            </w:tcBorders>
            <w:shd w:val="clear" w:color="auto" w:fill="FFFFFF"/>
            <w:vAlign w:val="center"/>
          </w:tcPr>
          <w:p w14:paraId="7C5293B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Arduino UNO</w:t>
            </w:r>
          </w:p>
        </w:tc>
        <w:tc>
          <w:tcPr>
            <w:tcW w:w="2420" w:type="dxa"/>
            <w:tcBorders>
              <w:top w:val="nil"/>
              <w:left w:val="nil"/>
              <w:bottom w:val="nil"/>
              <w:right w:val="nil"/>
            </w:tcBorders>
            <w:shd w:val="clear" w:color="auto" w:fill="FFFFFF"/>
            <w:vAlign w:val="center"/>
          </w:tcPr>
          <w:p w14:paraId="25F962B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Rev3</w:t>
            </w:r>
          </w:p>
        </w:tc>
        <w:tc>
          <w:tcPr>
            <w:tcW w:w="1041" w:type="dxa"/>
            <w:tcBorders>
              <w:top w:val="nil"/>
              <w:left w:val="nil"/>
              <w:bottom w:val="nil"/>
              <w:right w:val="nil"/>
            </w:tcBorders>
            <w:shd w:val="clear" w:color="auto" w:fill="FFFFFF"/>
            <w:vAlign w:val="center"/>
          </w:tcPr>
          <w:p w14:paraId="22AA90B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3251" w:type="dxa"/>
            <w:tcBorders>
              <w:top w:val="nil"/>
              <w:left w:val="nil"/>
              <w:bottom w:val="nil"/>
              <w:right w:val="nil"/>
            </w:tcBorders>
            <w:shd w:val="clear" w:color="auto" w:fill="FFFFFF"/>
            <w:vAlign w:val="center"/>
          </w:tcPr>
          <w:p w14:paraId="29BA4BC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主控制器，已有</w:t>
            </w:r>
          </w:p>
        </w:tc>
      </w:tr>
      <w:tr w14:paraId="59539D7F">
        <w:trPr>
          <w:trHeight w:val="420" w:hRule="atLeast"/>
        </w:trPr>
        <w:tc>
          <w:tcPr>
            <w:tcW w:w="2517" w:type="dxa"/>
            <w:tcBorders>
              <w:top w:val="nil"/>
              <w:left w:val="nil"/>
              <w:bottom w:val="nil"/>
              <w:right w:val="nil"/>
            </w:tcBorders>
            <w:shd w:val="clear" w:color="auto" w:fill="FFFFFF"/>
            <w:vAlign w:val="center"/>
          </w:tcPr>
          <w:p w14:paraId="16CD2D5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ADS1115</w:t>
            </w:r>
          </w:p>
        </w:tc>
        <w:tc>
          <w:tcPr>
            <w:tcW w:w="2420" w:type="dxa"/>
            <w:tcBorders>
              <w:top w:val="nil"/>
              <w:left w:val="nil"/>
              <w:bottom w:val="nil"/>
              <w:right w:val="nil"/>
            </w:tcBorders>
            <w:shd w:val="clear" w:color="auto" w:fill="FFFFFF"/>
            <w:vAlign w:val="center"/>
          </w:tcPr>
          <w:p w14:paraId="358249C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16-bit高精度ADC</w:t>
            </w:r>
          </w:p>
        </w:tc>
        <w:tc>
          <w:tcPr>
            <w:tcW w:w="1041" w:type="dxa"/>
            <w:tcBorders>
              <w:top w:val="nil"/>
              <w:left w:val="nil"/>
              <w:bottom w:val="nil"/>
              <w:right w:val="nil"/>
            </w:tcBorders>
            <w:shd w:val="clear" w:color="auto" w:fill="FFFFFF"/>
            <w:vAlign w:val="center"/>
          </w:tcPr>
          <w:p w14:paraId="56430FD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￥25.00</w:t>
            </w:r>
          </w:p>
        </w:tc>
        <w:tc>
          <w:tcPr>
            <w:tcW w:w="3251" w:type="dxa"/>
            <w:tcBorders>
              <w:top w:val="nil"/>
              <w:left w:val="nil"/>
              <w:bottom w:val="nil"/>
              <w:right w:val="nil"/>
            </w:tcBorders>
            <w:shd w:val="clear" w:color="auto" w:fill="FFFFFF"/>
            <w:vAlign w:val="center"/>
          </w:tcPr>
          <w:p w14:paraId="714B9D2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代替UNO板载ADC</w:t>
            </w:r>
          </w:p>
        </w:tc>
      </w:tr>
      <w:tr w14:paraId="51745AC4">
        <w:trPr>
          <w:trHeight w:val="420" w:hRule="atLeast"/>
        </w:trPr>
        <w:tc>
          <w:tcPr>
            <w:tcW w:w="2517" w:type="dxa"/>
            <w:tcBorders>
              <w:top w:val="nil"/>
              <w:left w:val="nil"/>
              <w:bottom w:val="nil"/>
              <w:right w:val="nil"/>
            </w:tcBorders>
            <w:shd w:val="clear" w:color="auto" w:fill="FFFFFF"/>
            <w:vAlign w:val="center"/>
          </w:tcPr>
          <w:p w14:paraId="56D72FF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AD8628</w:t>
            </w:r>
          </w:p>
        </w:tc>
        <w:tc>
          <w:tcPr>
            <w:tcW w:w="2420" w:type="dxa"/>
            <w:tcBorders>
              <w:top w:val="nil"/>
              <w:left w:val="nil"/>
              <w:bottom w:val="nil"/>
              <w:right w:val="nil"/>
            </w:tcBorders>
            <w:shd w:val="clear" w:color="auto" w:fill="FFFFFF"/>
            <w:vAlign w:val="center"/>
          </w:tcPr>
          <w:p w14:paraId="5DEEA2F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低漂移运算放大器</w:t>
            </w:r>
          </w:p>
        </w:tc>
        <w:tc>
          <w:tcPr>
            <w:tcW w:w="1041" w:type="dxa"/>
            <w:tcBorders>
              <w:top w:val="nil"/>
              <w:left w:val="nil"/>
              <w:bottom w:val="nil"/>
              <w:right w:val="nil"/>
            </w:tcBorders>
            <w:shd w:val="clear" w:color="auto" w:fill="FFFFFF"/>
            <w:vAlign w:val="center"/>
          </w:tcPr>
          <w:p w14:paraId="3D262EE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￥20.00</w:t>
            </w:r>
          </w:p>
        </w:tc>
        <w:tc>
          <w:tcPr>
            <w:tcW w:w="3251" w:type="dxa"/>
            <w:tcBorders>
              <w:top w:val="nil"/>
              <w:left w:val="nil"/>
              <w:bottom w:val="nil"/>
              <w:right w:val="nil"/>
            </w:tcBorders>
            <w:shd w:val="clear" w:color="auto" w:fill="FFFFFF"/>
            <w:vAlign w:val="center"/>
          </w:tcPr>
          <w:p w14:paraId="392F3E8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微弱电信号前置放大与调理</w:t>
            </w:r>
          </w:p>
        </w:tc>
      </w:tr>
      <w:tr w14:paraId="3CC30DEF">
        <w:trPr>
          <w:trHeight w:val="420" w:hRule="atLeast"/>
        </w:trPr>
        <w:tc>
          <w:tcPr>
            <w:tcW w:w="2517" w:type="dxa"/>
            <w:tcBorders>
              <w:top w:val="nil"/>
              <w:left w:val="nil"/>
              <w:bottom w:val="nil"/>
              <w:right w:val="nil"/>
            </w:tcBorders>
            <w:shd w:val="clear" w:color="auto" w:fill="FFFFFF"/>
            <w:vAlign w:val="center"/>
          </w:tcPr>
          <w:p w14:paraId="429A15F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OLED显示屏</w:t>
            </w:r>
          </w:p>
        </w:tc>
        <w:tc>
          <w:tcPr>
            <w:tcW w:w="2420" w:type="dxa"/>
            <w:tcBorders>
              <w:top w:val="nil"/>
              <w:left w:val="nil"/>
              <w:bottom w:val="nil"/>
              <w:right w:val="nil"/>
            </w:tcBorders>
            <w:shd w:val="clear" w:color="auto" w:fill="FFFFFF"/>
            <w:vAlign w:val="center"/>
          </w:tcPr>
          <w:p w14:paraId="5E587C6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128*96 / I2C 接口</w:t>
            </w:r>
          </w:p>
        </w:tc>
        <w:tc>
          <w:tcPr>
            <w:tcW w:w="1041" w:type="dxa"/>
            <w:tcBorders>
              <w:top w:val="nil"/>
              <w:left w:val="nil"/>
              <w:bottom w:val="nil"/>
              <w:right w:val="nil"/>
            </w:tcBorders>
            <w:shd w:val="clear" w:color="auto" w:fill="FFFFFF"/>
            <w:vAlign w:val="center"/>
          </w:tcPr>
          <w:p w14:paraId="139A8B3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￥25.00</w:t>
            </w:r>
          </w:p>
        </w:tc>
        <w:tc>
          <w:tcPr>
            <w:tcW w:w="3251" w:type="dxa"/>
            <w:tcBorders>
              <w:top w:val="nil"/>
              <w:left w:val="nil"/>
              <w:bottom w:val="nil"/>
              <w:right w:val="nil"/>
            </w:tcBorders>
            <w:shd w:val="clear" w:color="auto" w:fill="FFFFFF"/>
            <w:vAlign w:val="center"/>
          </w:tcPr>
          <w:p w14:paraId="6B4B2C9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实时显示电压与电流数值</w:t>
            </w:r>
          </w:p>
        </w:tc>
      </w:tr>
      <w:tr w14:paraId="6E5A64FF">
        <w:trPr>
          <w:trHeight w:val="420" w:hRule="atLeast"/>
        </w:trPr>
        <w:tc>
          <w:tcPr>
            <w:tcW w:w="2517" w:type="dxa"/>
            <w:tcBorders>
              <w:top w:val="nil"/>
              <w:left w:val="nil"/>
              <w:bottom w:val="nil"/>
              <w:right w:val="nil"/>
            </w:tcBorders>
            <w:shd w:val="clear" w:color="auto" w:fill="FFFFFF"/>
            <w:vAlign w:val="center"/>
          </w:tcPr>
          <w:p w14:paraId="11B320D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一维PSD位置传感器</w:t>
            </w:r>
          </w:p>
        </w:tc>
        <w:tc>
          <w:tcPr>
            <w:tcW w:w="2420" w:type="dxa"/>
            <w:tcBorders>
              <w:top w:val="nil"/>
              <w:left w:val="nil"/>
              <w:bottom w:val="nil"/>
              <w:right w:val="nil"/>
            </w:tcBorders>
            <w:shd w:val="clear" w:color="auto" w:fill="FFFFFF"/>
            <w:vAlign w:val="center"/>
          </w:tcPr>
          <w:p w14:paraId="2688FD8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S1352</w:t>
            </w:r>
          </w:p>
        </w:tc>
        <w:tc>
          <w:tcPr>
            <w:tcW w:w="1041" w:type="dxa"/>
            <w:tcBorders>
              <w:top w:val="nil"/>
              <w:left w:val="nil"/>
              <w:bottom w:val="nil"/>
              <w:right w:val="nil"/>
            </w:tcBorders>
            <w:shd w:val="clear" w:color="auto" w:fill="FFFFFF"/>
            <w:vAlign w:val="center"/>
          </w:tcPr>
          <w:p w14:paraId="561B4ED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￥250.00</w:t>
            </w:r>
          </w:p>
        </w:tc>
        <w:tc>
          <w:tcPr>
            <w:tcW w:w="3251" w:type="dxa"/>
            <w:tcBorders>
              <w:top w:val="nil"/>
              <w:left w:val="nil"/>
              <w:bottom w:val="nil"/>
              <w:right w:val="nil"/>
            </w:tcBorders>
            <w:shd w:val="clear" w:color="auto" w:fill="FFFFFF"/>
            <w:vAlign w:val="center"/>
          </w:tcPr>
          <w:p w14:paraId="2F34608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将光斑位移转化为电流信号</w:t>
            </w:r>
          </w:p>
        </w:tc>
      </w:tr>
      <w:tr w14:paraId="2DBB2E98">
        <w:trPr>
          <w:trHeight w:val="420" w:hRule="atLeast"/>
        </w:trPr>
        <w:tc>
          <w:tcPr>
            <w:tcW w:w="2517" w:type="dxa"/>
            <w:tcBorders>
              <w:top w:val="nil"/>
              <w:left w:val="nil"/>
              <w:bottom w:val="nil"/>
              <w:right w:val="nil"/>
            </w:tcBorders>
            <w:shd w:val="clear" w:color="auto" w:fill="FFFFFF"/>
            <w:vAlign w:val="center"/>
          </w:tcPr>
          <w:p w14:paraId="32B2C74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面包板 + 杜邦线</w:t>
            </w:r>
          </w:p>
        </w:tc>
        <w:tc>
          <w:tcPr>
            <w:tcW w:w="2420" w:type="dxa"/>
            <w:tcBorders>
              <w:top w:val="nil"/>
              <w:left w:val="nil"/>
              <w:bottom w:val="nil"/>
              <w:right w:val="nil"/>
            </w:tcBorders>
            <w:shd w:val="clear" w:color="auto" w:fill="FFFFFF"/>
            <w:vAlign w:val="center"/>
          </w:tcPr>
          <w:p w14:paraId="3BB1246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830孔 / 公对母&amp;公对公</w:t>
            </w:r>
          </w:p>
        </w:tc>
        <w:tc>
          <w:tcPr>
            <w:tcW w:w="1041" w:type="dxa"/>
            <w:tcBorders>
              <w:top w:val="nil"/>
              <w:left w:val="nil"/>
              <w:bottom w:val="nil"/>
              <w:right w:val="nil"/>
            </w:tcBorders>
            <w:shd w:val="clear" w:color="auto" w:fill="FFFFFF"/>
            <w:vAlign w:val="center"/>
          </w:tcPr>
          <w:p w14:paraId="47577FD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￥15.00</w:t>
            </w:r>
          </w:p>
        </w:tc>
        <w:tc>
          <w:tcPr>
            <w:tcW w:w="3251" w:type="dxa"/>
            <w:tcBorders>
              <w:top w:val="nil"/>
              <w:left w:val="nil"/>
              <w:bottom w:val="nil"/>
              <w:right w:val="nil"/>
            </w:tcBorders>
            <w:shd w:val="clear" w:color="auto" w:fill="FFFFFF"/>
            <w:vAlign w:val="center"/>
          </w:tcPr>
          <w:p w14:paraId="03B5DB8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快速搭建原型电路</w:t>
            </w:r>
          </w:p>
        </w:tc>
      </w:tr>
      <w:tr w14:paraId="18556BAC">
        <w:trPr>
          <w:trHeight w:val="420" w:hRule="atLeast"/>
        </w:trPr>
        <w:tc>
          <w:tcPr>
            <w:tcW w:w="2517" w:type="dxa"/>
            <w:tcBorders>
              <w:top w:val="nil"/>
              <w:left w:val="nil"/>
              <w:bottom w:val="single" w:color="000000" w:sz="12" w:space="0"/>
              <w:right w:val="nil"/>
            </w:tcBorders>
            <w:shd w:val="clear" w:color="auto" w:fill="FFFFFF"/>
            <w:vAlign w:val="center"/>
          </w:tcPr>
          <w:p w14:paraId="4ED5D86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精密电阻 / 电容</w:t>
            </w:r>
          </w:p>
        </w:tc>
        <w:tc>
          <w:tcPr>
            <w:tcW w:w="2420" w:type="dxa"/>
            <w:tcBorders>
              <w:top w:val="nil"/>
              <w:left w:val="nil"/>
              <w:bottom w:val="single" w:color="000000" w:sz="12" w:space="0"/>
              <w:right w:val="nil"/>
            </w:tcBorders>
            <w:shd w:val="clear" w:color="auto" w:fill="FFFFFF"/>
            <w:vAlign w:val="center"/>
          </w:tcPr>
          <w:p w14:paraId="0AB9E5C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10MΩ / 10pF</w:t>
            </w:r>
          </w:p>
        </w:tc>
        <w:tc>
          <w:tcPr>
            <w:tcW w:w="1041" w:type="dxa"/>
            <w:tcBorders>
              <w:top w:val="nil"/>
              <w:left w:val="nil"/>
              <w:bottom w:val="single" w:color="000000" w:sz="12" w:space="0"/>
              <w:right w:val="nil"/>
            </w:tcBorders>
            <w:shd w:val="clear" w:color="auto" w:fill="FFFFFF"/>
            <w:vAlign w:val="center"/>
          </w:tcPr>
          <w:p w14:paraId="6F36417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￥12.00</w:t>
            </w:r>
          </w:p>
        </w:tc>
        <w:tc>
          <w:tcPr>
            <w:tcW w:w="3251" w:type="dxa"/>
            <w:tcBorders>
              <w:top w:val="nil"/>
              <w:left w:val="nil"/>
              <w:bottom w:val="single" w:color="000000" w:sz="12" w:space="0"/>
              <w:right w:val="nil"/>
            </w:tcBorders>
            <w:shd w:val="clear" w:color="auto" w:fill="FFFFFF"/>
            <w:vAlign w:val="center"/>
          </w:tcPr>
          <w:p w14:paraId="30E68D1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构建低通滤波器，滤除高频噪声</w:t>
            </w:r>
          </w:p>
        </w:tc>
      </w:tr>
      <w:tr w14:paraId="522B56B0">
        <w:trPr>
          <w:trHeight w:val="420" w:hRule="atLeast"/>
        </w:trPr>
        <w:tc>
          <w:tcPr>
            <w:tcW w:w="9229" w:type="dxa"/>
            <w:gridSpan w:val="4"/>
            <w:tcBorders>
              <w:top w:val="single" w:color="000000" w:sz="12" w:space="0"/>
              <w:left w:val="nil"/>
              <w:bottom w:val="single" w:color="000000" w:sz="4" w:space="0"/>
              <w:right w:val="nil"/>
              <w:tl2br w:val="nil"/>
            </w:tcBorders>
            <w:shd w:val="clear" w:color="auto" w:fill="FFFFFF"/>
            <w:vAlign w:val="center"/>
          </w:tcPr>
          <w:p w14:paraId="7A2CE1B8">
            <w:pPr>
              <w:keepNext w:val="0"/>
              <w:keepLines w:val="0"/>
              <w:widowControl/>
              <w:suppressLineNumbers w:val="0"/>
              <w:jc w:val="center"/>
              <w:textAlignment w:val="center"/>
              <w:rPr>
                <w:rFonts w:hint="eastAsia" w:ascii="宋体" w:hAnsi="宋体" w:eastAsia="宋体" w:cs="宋体"/>
                <w:b/>
                <w:bCs w:val="0"/>
                <w:i w:val="0"/>
                <w:iCs w:val="0"/>
                <w:color w:val="000000"/>
                <w:sz w:val="24"/>
                <w:szCs w:val="24"/>
                <w:u w:val="none"/>
              </w:rPr>
            </w:pPr>
            <w:r>
              <w:rPr>
                <w:rFonts w:hint="eastAsia" w:ascii="宋体" w:hAnsi="宋体" w:eastAsia="宋体" w:cs="宋体"/>
                <w:b/>
                <w:bCs w:val="0"/>
                <w:i w:val="0"/>
                <w:iCs w:val="0"/>
                <w:color w:val="000000"/>
                <w:kern w:val="0"/>
                <w:sz w:val="24"/>
                <w:szCs w:val="24"/>
                <w:u w:val="none"/>
                <w:lang w:val="en-US" w:eastAsia="zh-CN" w:bidi="ar"/>
              </w:rPr>
              <w:t>电磁屏蔽与抗干扰模块</w:t>
            </w:r>
          </w:p>
        </w:tc>
      </w:tr>
      <w:tr w14:paraId="05962C92">
        <w:trPr>
          <w:trHeight w:val="420" w:hRule="atLeast"/>
        </w:trPr>
        <w:tc>
          <w:tcPr>
            <w:tcW w:w="2517" w:type="dxa"/>
            <w:tcBorders>
              <w:top w:val="single" w:color="000000" w:sz="4" w:space="0"/>
              <w:left w:val="nil"/>
              <w:bottom w:val="nil"/>
              <w:right w:val="nil"/>
            </w:tcBorders>
            <w:shd w:val="clear" w:color="auto" w:fill="FFFFFF"/>
            <w:vAlign w:val="center"/>
          </w:tcPr>
          <w:p w14:paraId="00FA899D">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器件名称</w:t>
            </w:r>
          </w:p>
        </w:tc>
        <w:tc>
          <w:tcPr>
            <w:tcW w:w="2420" w:type="dxa"/>
            <w:tcBorders>
              <w:top w:val="single" w:color="000000" w:sz="4" w:space="0"/>
              <w:left w:val="nil"/>
              <w:bottom w:val="nil"/>
              <w:right w:val="nil"/>
            </w:tcBorders>
            <w:shd w:val="clear" w:color="auto" w:fill="FFFFFF"/>
            <w:vAlign w:val="center"/>
          </w:tcPr>
          <w:p w14:paraId="059F7C52">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规格型号</w:t>
            </w:r>
          </w:p>
        </w:tc>
        <w:tc>
          <w:tcPr>
            <w:tcW w:w="1041" w:type="dxa"/>
            <w:tcBorders>
              <w:top w:val="single" w:color="000000" w:sz="4" w:space="0"/>
              <w:left w:val="nil"/>
              <w:bottom w:val="nil"/>
              <w:right w:val="nil"/>
            </w:tcBorders>
            <w:shd w:val="clear" w:color="auto" w:fill="FFFFFF"/>
            <w:vAlign w:val="center"/>
          </w:tcPr>
          <w:p w14:paraId="6FA4B2E7">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金额</w:t>
            </w:r>
          </w:p>
        </w:tc>
        <w:tc>
          <w:tcPr>
            <w:tcW w:w="3251" w:type="dxa"/>
            <w:tcBorders>
              <w:top w:val="single" w:color="000000" w:sz="4" w:space="0"/>
              <w:left w:val="nil"/>
              <w:bottom w:val="nil"/>
              <w:right w:val="nil"/>
            </w:tcBorders>
            <w:shd w:val="clear" w:color="auto" w:fill="FFFFFF"/>
            <w:vAlign w:val="center"/>
          </w:tcPr>
          <w:p w14:paraId="55059151">
            <w:pPr>
              <w:keepNext w:val="0"/>
              <w:keepLines w:val="0"/>
              <w:widowControl/>
              <w:suppressLineNumbers w:val="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color w:val="000000"/>
                <w:kern w:val="0"/>
                <w:sz w:val="22"/>
                <w:szCs w:val="22"/>
                <w:u w:val="none"/>
                <w:lang w:val="en-US" w:eastAsia="zh-CN" w:bidi="ar"/>
              </w:rPr>
              <w:t>用途与备注</w:t>
            </w:r>
          </w:p>
        </w:tc>
      </w:tr>
      <w:tr w14:paraId="5600B452">
        <w:trPr>
          <w:trHeight w:val="420" w:hRule="atLeast"/>
        </w:trPr>
        <w:tc>
          <w:tcPr>
            <w:tcW w:w="2517" w:type="dxa"/>
            <w:tcBorders>
              <w:top w:val="nil"/>
              <w:left w:val="nil"/>
              <w:bottom w:val="nil"/>
              <w:right w:val="nil"/>
            </w:tcBorders>
            <w:shd w:val="clear" w:color="auto" w:fill="FFFFFF"/>
            <w:vAlign w:val="center"/>
          </w:tcPr>
          <w:p w14:paraId="6CEDEAB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铝合金屏蔽盒</w:t>
            </w:r>
          </w:p>
        </w:tc>
        <w:tc>
          <w:tcPr>
            <w:tcW w:w="2420" w:type="dxa"/>
            <w:tcBorders>
              <w:top w:val="nil"/>
              <w:left w:val="nil"/>
              <w:bottom w:val="nil"/>
              <w:right w:val="nil"/>
            </w:tcBorders>
            <w:shd w:val="clear" w:color="auto" w:fill="FFFFFF"/>
            <w:vAlign w:val="center"/>
          </w:tcPr>
          <w:p w14:paraId="0786FFD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带BNC接口</w:t>
            </w:r>
          </w:p>
        </w:tc>
        <w:tc>
          <w:tcPr>
            <w:tcW w:w="1041" w:type="dxa"/>
            <w:tcBorders>
              <w:top w:val="nil"/>
              <w:left w:val="nil"/>
              <w:bottom w:val="nil"/>
              <w:right w:val="nil"/>
            </w:tcBorders>
            <w:shd w:val="clear" w:color="auto" w:fill="FFFFFF"/>
            <w:vAlign w:val="center"/>
          </w:tcPr>
          <w:p w14:paraId="0BB5C71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￥5.00</w:t>
            </w:r>
          </w:p>
        </w:tc>
        <w:tc>
          <w:tcPr>
            <w:tcW w:w="3251" w:type="dxa"/>
            <w:tcBorders>
              <w:top w:val="nil"/>
              <w:left w:val="nil"/>
              <w:bottom w:val="nil"/>
              <w:right w:val="nil"/>
            </w:tcBorders>
            <w:shd w:val="clear" w:color="auto" w:fill="FFFFFF"/>
            <w:vAlign w:val="center"/>
          </w:tcPr>
          <w:p w14:paraId="58BB913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放大 / ADC模块屏蔽</w:t>
            </w:r>
          </w:p>
        </w:tc>
      </w:tr>
      <w:tr w14:paraId="7545AB0B">
        <w:trPr>
          <w:trHeight w:val="420" w:hRule="atLeast"/>
        </w:trPr>
        <w:tc>
          <w:tcPr>
            <w:tcW w:w="2517" w:type="dxa"/>
            <w:tcBorders>
              <w:top w:val="nil"/>
              <w:left w:val="nil"/>
              <w:bottom w:val="nil"/>
              <w:right w:val="nil"/>
            </w:tcBorders>
            <w:shd w:val="clear" w:color="auto" w:fill="FFFFFF"/>
            <w:vAlign w:val="center"/>
          </w:tcPr>
          <w:p w14:paraId="3EC3570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BNC接头 / 屏蔽线</w:t>
            </w:r>
          </w:p>
        </w:tc>
        <w:tc>
          <w:tcPr>
            <w:tcW w:w="2420" w:type="dxa"/>
            <w:tcBorders>
              <w:top w:val="nil"/>
              <w:left w:val="nil"/>
              <w:bottom w:val="nil"/>
              <w:right w:val="nil"/>
            </w:tcBorders>
            <w:shd w:val="clear" w:color="auto" w:fill="FFFFFF"/>
            <w:noWrap/>
            <w:vAlign w:val="center"/>
          </w:tcPr>
          <w:p w14:paraId="263A079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简易屏蔽音频线</w:t>
            </w:r>
          </w:p>
        </w:tc>
        <w:tc>
          <w:tcPr>
            <w:tcW w:w="1041" w:type="dxa"/>
            <w:tcBorders>
              <w:top w:val="nil"/>
              <w:left w:val="nil"/>
              <w:bottom w:val="nil"/>
              <w:right w:val="nil"/>
            </w:tcBorders>
            <w:shd w:val="clear" w:color="auto" w:fill="FFFFFF"/>
            <w:vAlign w:val="center"/>
          </w:tcPr>
          <w:p w14:paraId="504284A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￥15.00</w:t>
            </w:r>
          </w:p>
        </w:tc>
        <w:tc>
          <w:tcPr>
            <w:tcW w:w="3251" w:type="dxa"/>
            <w:tcBorders>
              <w:top w:val="nil"/>
              <w:left w:val="nil"/>
              <w:bottom w:val="nil"/>
              <w:right w:val="nil"/>
            </w:tcBorders>
            <w:shd w:val="clear" w:color="auto" w:fill="FFFFFF"/>
            <w:vAlign w:val="center"/>
          </w:tcPr>
          <w:p w14:paraId="4830CF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信号传输线的屏蔽</w:t>
            </w:r>
          </w:p>
        </w:tc>
      </w:tr>
      <w:tr w14:paraId="69D13875">
        <w:trPr>
          <w:trHeight w:val="420" w:hRule="atLeast"/>
        </w:trPr>
        <w:tc>
          <w:tcPr>
            <w:tcW w:w="2517" w:type="dxa"/>
            <w:tcBorders>
              <w:top w:val="nil"/>
              <w:left w:val="nil"/>
              <w:bottom w:val="nil"/>
              <w:right w:val="nil"/>
            </w:tcBorders>
            <w:shd w:val="clear" w:color="auto" w:fill="FFFFFF"/>
            <w:vAlign w:val="center"/>
          </w:tcPr>
          <w:p w14:paraId="7DFE624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法拉第笼铜网</w:t>
            </w:r>
          </w:p>
        </w:tc>
        <w:tc>
          <w:tcPr>
            <w:tcW w:w="2420" w:type="dxa"/>
            <w:tcBorders>
              <w:top w:val="nil"/>
              <w:left w:val="nil"/>
              <w:bottom w:val="nil"/>
              <w:right w:val="nil"/>
            </w:tcBorders>
            <w:shd w:val="clear" w:color="auto" w:fill="FFFFFF"/>
            <w:vAlign w:val="center"/>
          </w:tcPr>
          <w:p w14:paraId="192D059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100目纯铜网</w:t>
            </w:r>
          </w:p>
        </w:tc>
        <w:tc>
          <w:tcPr>
            <w:tcW w:w="1041" w:type="dxa"/>
            <w:tcBorders>
              <w:top w:val="nil"/>
              <w:left w:val="nil"/>
              <w:bottom w:val="nil"/>
              <w:right w:val="nil"/>
            </w:tcBorders>
            <w:shd w:val="clear" w:color="auto" w:fill="FFFFFF"/>
            <w:vAlign w:val="center"/>
          </w:tcPr>
          <w:p w14:paraId="2341760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￥15.00</w:t>
            </w:r>
          </w:p>
        </w:tc>
        <w:tc>
          <w:tcPr>
            <w:tcW w:w="3251" w:type="dxa"/>
            <w:tcBorders>
              <w:top w:val="nil"/>
              <w:left w:val="nil"/>
              <w:bottom w:val="nil"/>
              <w:right w:val="nil"/>
            </w:tcBorders>
            <w:shd w:val="clear" w:color="auto" w:fill="FFFFFF"/>
            <w:vAlign w:val="center"/>
          </w:tcPr>
          <w:p w14:paraId="4D446A3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隔离外部杂散电磁场</w:t>
            </w:r>
          </w:p>
        </w:tc>
      </w:tr>
      <w:tr w14:paraId="383EB3EE">
        <w:trPr>
          <w:trHeight w:val="420" w:hRule="atLeast"/>
        </w:trPr>
        <w:tc>
          <w:tcPr>
            <w:tcW w:w="2517" w:type="dxa"/>
            <w:tcBorders>
              <w:top w:val="nil"/>
              <w:left w:val="nil"/>
              <w:bottom w:val="nil"/>
              <w:right w:val="nil"/>
            </w:tcBorders>
            <w:shd w:val="clear" w:color="auto" w:fill="FFFFFF"/>
            <w:vAlign w:val="center"/>
          </w:tcPr>
          <w:p w14:paraId="44E2DAD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亚克力板</w:t>
            </w:r>
          </w:p>
        </w:tc>
        <w:tc>
          <w:tcPr>
            <w:tcW w:w="2420" w:type="dxa"/>
            <w:tcBorders>
              <w:top w:val="nil"/>
              <w:left w:val="nil"/>
              <w:bottom w:val="nil"/>
              <w:right w:val="nil"/>
            </w:tcBorders>
            <w:shd w:val="clear" w:color="auto" w:fill="FFFFFF"/>
            <w:vAlign w:val="center"/>
          </w:tcPr>
          <w:p w14:paraId="084BBE1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8mm加厚透明</w:t>
            </w:r>
          </w:p>
        </w:tc>
        <w:tc>
          <w:tcPr>
            <w:tcW w:w="1041" w:type="dxa"/>
            <w:tcBorders>
              <w:top w:val="nil"/>
              <w:left w:val="nil"/>
              <w:bottom w:val="nil"/>
              <w:right w:val="nil"/>
            </w:tcBorders>
            <w:shd w:val="clear" w:color="auto" w:fill="FFFFFF"/>
            <w:vAlign w:val="center"/>
          </w:tcPr>
          <w:p w14:paraId="526CAB8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￥15.00</w:t>
            </w:r>
          </w:p>
        </w:tc>
        <w:tc>
          <w:tcPr>
            <w:tcW w:w="3251" w:type="dxa"/>
            <w:tcBorders>
              <w:top w:val="nil"/>
              <w:left w:val="nil"/>
              <w:bottom w:val="nil"/>
              <w:right w:val="nil"/>
            </w:tcBorders>
            <w:shd w:val="clear" w:color="auto" w:fill="FFFFFF"/>
            <w:vAlign w:val="center"/>
          </w:tcPr>
          <w:p w14:paraId="773046D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防气流干扰</w:t>
            </w:r>
          </w:p>
        </w:tc>
      </w:tr>
      <w:tr w14:paraId="2047CD4D">
        <w:trPr>
          <w:trHeight w:val="420" w:hRule="atLeast"/>
        </w:trPr>
        <w:tc>
          <w:tcPr>
            <w:tcW w:w="2517" w:type="dxa"/>
            <w:tcBorders>
              <w:top w:val="nil"/>
              <w:left w:val="nil"/>
              <w:bottom w:val="nil"/>
              <w:right w:val="nil"/>
            </w:tcBorders>
            <w:shd w:val="clear" w:color="auto" w:fill="FFFFFF"/>
            <w:vAlign w:val="center"/>
          </w:tcPr>
          <w:p w14:paraId="11D1D79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减震橡胶垫</w:t>
            </w:r>
          </w:p>
        </w:tc>
        <w:tc>
          <w:tcPr>
            <w:tcW w:w="2420" w:type="dxa"/>
            <w:tcBorders>
              <w:top w:val="nil"/>
              <w:left w:val="nil"/>
              <w:bottom w:val="nil"/>
              <w:right w:val="nil"/>
            </w:tcBorders>
            <w:shd w:val="clear" w:color="auto" w:fill="FFFFFF"/>
            <w:vAlign w:val="center"/>
          </w:tcPr>
          <w:p w14:paraId="5626033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高分子阻尼减震垫</w:t>
            </w:r>
          </w:p>
        </w:tc>
        <w:tc>
          <w:tcPr>
            <w:tcW w:w="1041" w:type="dxa"/>
            <w:tcBorders>
              <w:top w:val="nil"/>
              <w:left w:val="nil"/>
              <w:bottom w:val="nil"/>
              <w:right w:val="nil"/>
            </w:tcBorders>
            <w:shd w:val="clear" w:color="auto" w:fill="FFFFFF"/>
            <w:vAlign w:val="center"/>
          </w:tcPr>
          <w:p w14:paraId="657E635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￥5.00</w:t>
            </w:r>
          </w:p>
        </w:tc>
        <w:tc>
          <w:tcPr>
            <w:tcW w:w="3251" w:type="dxa"/>
            <w:tcBorders>
              <w:top w:val="nil"/>
              <w:left w:val="nil"/>
              <w:bottom w:val="nil"/>
              <w:right w:val="nil"/>
            </w:tcBorders>
            <w:shd w:val="clear" w:color="auto" w:fill="FFFFFF"/>
            <w:vAlign w:val="center"/>
          </w:tcPr>
          <w:p w14:paraId="4342154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吸收地面的微小震动干扰</w:t>
            </w:r>
          </w:p>
        </w:tc>
      </w:tr>
      <w:tr w14:paraId="550E9F34">
        <w:trPr>
          <w:trHeight w:val="420" w:hRule="atLeast"/>
        </w:trPr>
        <w:tc>
          <w:tcPr>
            <w:tcW w:w="2517" w:type="dxa"/>
            <w:tcBorders>
              <w:top w:val="nil"/>
              <w:left w:val="nil"/>
              <w:bottom w:val="single" w:color="000000" w:sz="12" w:space="0"/>
              <w:right w:val="nil"/>
            </w:tcBorders>
            <w:shd w:val="clear" w:color="auto" w:fill="FFFFFF"/>
            <w:vAlign w:val="center"/>
          </w:tcPr>
          <w:p w14:paraId="3344483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隔音棉花</w:t>
            </w:r>
          </w:p>
        </w:tc>
        <w:tc>
          <w:tcPr>
            <w:tcW w:w="2420" w:type="dxa"/>
            <w:tcBorders>
              <w:top w:val="nil"/>
              <w:left w:val="nil"/>
              <w:bottom w:val="single" w:color="000000" w:sz="12" w:space="0"/>
              <w:right w:val="nil"/>
            </w:tcBorders>
            <w:shd w:val="clear" w:color="auto" w:fill="FFFFFF"/>
            <w:vAlign w:val="center"/>
          </w:tcPr>
          <w:p w14:paraId="253F5B0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阻燃吸音海绵</w:t>
            </w:r>
          </w:p>
        </w:tc>
        <w:tc>
          <w:tcPr>
            <w:tcW w:w="1041" w:type="dxa"/>
            <w:tcBorders>
              <w:top w:val="nil"/>
              <w:left w:val="nil"/>
              <w:bottom w:val="single" w:color="000000" w:sz="12" w:space="0"/>
              <w:right w:val="nil"/>
            </w:tcBorders>
            <w:shd w:val="clear" w:color="auto" w:fill="FFFFFF"/>
            <w:vAlign w:val="center"/>
          </w:tcPr>
          <w:p w14:paraId="676B6A0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￥3.00</w:t>
            </w:r>
          </w:p>
        </w:tc>
        <w:tc>
          <w:tcPr>
            <w:tcW w:w="3251" w:type="dxa"/>
            <w:tcBorders>
              <w:top w:val="nil"/>
              <w:left w:val="nil"/>
              <w:bottom w:val="single" w:color="000000" w:sz="12" w:space="0"/>
              <w:right w:val="nil"/>
            </w:tcBorders>
            <w:shd w:val="clear" w:color="auto" w:fill="FFFFFF"/>
            <w:vAlign w:val="center"/>
          </w:tcPr>
          <w:p w14:paraId="6326B6A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填充在亚克力罩边缘进行密封</w:t>
            </w:r>
          </w:p>
        </w:tc>
      </w:tr>
    </w:tbl>
    <w:p w14:paraId="3633DFED">
      <w:pPr>
        <w:numPr>
          <w:ilvl w:val="0"/>
          <w:numId w:val="0"/>
        </w:numPr>
        <w:spacing w:line="360" w:lineRule="auto"/>
        <w:ind w:firstLine="420" w:firstLineChars="0"/>
        <w:jc w:val="left"/>
        <w:outlineLvl w:val="1"/>
        <w:rPr>
          <w:rFonts w:hint="eastAsia" w:hAnsi="DejaVu Math TeX Gyre"/>
          <w:i w:val="0"/>
          <w:sz w:val="24"/>
          <w:lang w:val="en-US" w:eastAsia="zh-CN"/>
        </w:rPr>
      </w:pPr>
      <w:bookmarkStart w:id="91" w:name="_Toc554761660"/>
      <w:bookmarkStart w:id="92" w:name="_Toc1257013022"/>
      <w:r>
        <w:rPr>
          <w:rFonts w:hint="eastAsia" w:hAnsi="DejaVu Math TeX Gyre"/>
          <w:i w:val="0"/>
          <w:sz w:val="24"/>
          <w:lang w:val="en-US" w:eastAsia="zh-CN"/>
        </w:rPr>
        <w:t>对总预算分析能得出以下结论</w:t>
      </w:r>
      <w:r>
        <w:rPr>
          <w:rStyle w:val="32"/>
          <w:rFonts w:hint="eastAsia" w:hAnsi="DejaVu Math TeX Gyre"/>
          <w:i w:val="0"/>
          <w:sz w:val="24"/>
          <w:lang w:val="en-US" w:eastAsia="zh-CN"/>
        </w:rPr>
        <w:footnoteReference w:id="3"/>
      </w:r>
      <w:r>
        <w:rPr>
          <w:rFonts w:hint="eastAsia" w:hAnsi="DejaVu Math TeX Gyre"/>
          <w:i w:val="0"/>
          <w:sz w:val="24"/>
          <w:lang w:val="en-US" w:eastAsia="zh-CN"/>
        </w:rPr>
        <w:t>：</w:t>
      </w:r>
      <w:r>
        <w:rPr>
          <w:rFonts w:hint="eastAsia" w:hAnsi="DejaVu Math TeX Gyre" w:eastAsia="宋体"/>
          <w:i w:val="0"/>
          <w:sz w:val="24"/>
          <w:lang w:val="en-US" w:eastAsia="zh-CN"/>
        </w:rPr>
        <w:t>电子元器件模块以6</w:t>
      </w:r>
      <w:r>
        <w:rPr>
          <w:rFonts w:hint="eastAsia" w:hAnsi="DejaVu Math TeX Gyre"/>
          <w:i w:val="0"/>
          <w:sz w:val="24"/>
          <w:lang w:val="en-US" w:eastAsia="zh-CN"/>
        </w:rPr>
        <w:t>5.0</w:t>
      </w:r>
      <w:r>
        <w:rPr>
          <w:rFonts w:hint="eastAsia" w:hAnsi="DejaVu Math TeX Gyre" w:eastAsia="宋体"/>
          <w:i w:val="0"/>
          <w:sz w:val="24"/>
          <w:lang w:val="en-US" w:eastAsia="zh-CN"/>
        </w:rPr>
        <w:t>%的占比成为系统成本的主要构成部分，超过机械结构模块与屏蔽模块之和</w:t>
      </w:r>
      <w:r>
        <w:rPr>
          <w:rFonts w:hint="eastAsia" w:hAnsi="DejaVu Math TeX Gyre"/>
          <w:i w:val="0"/>
          <w:sz w:val="24"/>
          <w:lang w:val="en-US" w:eastAsia="zh-CN"/>
        </w:rPr>
        <w:t>。其中PCB单项占电子元器件成本的70%以上，是系统中最昂贵的器件；</w:t>
      </w:r>
      <w:r>
        <w:rPr>
          <w:rFonts w:hint="eastAsia" w:hAnsi="DejaVu Math TeX Gyre" w:eastAsia="宋体"/>
          <w:i w:val="0"/>
          <w:sz w:val="24"/>
          <w:lang w:val="en-US" w:eastAsia="zh-CN"/>
        </w:rPr>
        <w:t>机械与光学结构模块占比2</w:t>
      </w:r>
      <w:r>
        <w:rPr>
          <w:rFonts w:hint="eastAsia" w:hAnsi="DejaVu Math TeX Gyre"/>
          <w:i w:val="0"/>
          <w:sz w:val="24"/>
          <w:lang w:val="en-US" w:eastAsia="zh-CN"/>
        </w:rPr>
        <w:t>4</w:t>
      </w:r>
      <w:r>
        <w:rPr>
          <w:rFonts w:hint="eastAsia" w:hAnsi="DejaVu Math TeX Gyre" w:eastAsia="宋体"/>
          <w:i w:val="0"/>
          <w:sz w:val="24"/>
          <w:lang w:val="en-US" w:eastAsia="zh-CN"/>
        </w:rPr>
        <w:t>.</w:t>
      </w:r>
      <w:r>
        <w:rPr>
          <w:rFonts w:hint="eastAsia" w:hAnsi="DejaVu Math TeX Gyre"/>
          <w:i w:val="0"/>
          <w:sz w:val="24"/>
          <w:lang w:val="en-US" w:eastAsia="zh-CN"/>
        </w:rPr>
        <w:t>4</w:t>
      </w:r>
      <w:r>
        <w:rPr>
          <w:rFonts w:hint="eastAsia" w:hAnsi="DejaVu Math TeX Gyre" w:eastAsia="宋体"/>
          <w:i w:val="0"/>
          <w:sz w:val="24"/>
          <w:lang w:val="en-US" w:eastAsia="zh-CN"/>
        </w:rPr>
        <w:t>%，属于中等开销模块，其成本主要由精密机械件及光学反射元件构成</w:t>
      </w:r>
      <w:r>
        <w:rPr>
          <w:rFonts w:hint="eastAsia" w:hAnsi="DejaVu Math TeX Gyre"/>
          <w:i w:val="0"/>
          <w:sz w:val="24"/>
          <w:lang w:val="en-US" w:eastAsia="zh-CN"/>
        </w:rPr>
        <w:t>；</w:t>
      </w:r>
      <w:r>
        <w:rPr>
          <w:rFonts w:hint="eastAsia" w:hAnsi="DejaVu Math TeX Gyre" w:eastAsia="宋体"/>
          <w:i w:val="0"/>
          <w:sz w:val="24"/>
          <w:lang w:val="en-US" w:eastAsia="zh-CN"/>
        </w:rPr>
        <w:t>电磁屏蔽与抗干扰模块占比最低</w:t>
      </w:r>
      <w:r>
        <w:rPr>
          <w:rFonts w:hint="eastAsia" w:hAnsi="DejaVu Math TeX Gyre"/>
          <w:i w:val="0"/>
          <w:sz w:val="24"/>
          <w:lang w:val="en-US" w:eastAsia="zh-CN"/>
        </w:rPr>
        <w:t>，</w:t>
      </w:r>
      <w:r>
        <w:rPr>
          <w:rFonts w:hint="eastAsia" w:hAnsi="DejaVu Math TeX Gyre" w:eastAsia="宋体"/>
          <w:i w:val="0"/>
          <w:sz w:val="24"/>
          <w:lang w:val="en-US" w:eastAsia="zh-CN"/>
        </w:rPr>
        <w:t>仅为10.</w:t>
      </w:r>
      <w:r>
        <w:rPr>
          <w:rFonts w:hint="eastAsia" w:hAnsi="DejaVu Math TeX Gyre"/>
          <w:i w:val="0"/>
          <w:sz w:val="24"/>
          <w:lang w:val="en-US" w:eastAsia="zh-CN"/>
        </w:rPr>
        <w:t>6</w:t>
      </w:r>
      <w:r>
        <w:rPr>
          <w:rFonts w:hint="eastAsia" w:hAnsi="DejaVu Math TeX Gyre" w:eastAsia="宋体"/>
          <w:i w:val="0"/>
          <w:sz w:val="24"/>
          <w:lang w:val="en-US" w:eastAsia="zh-CN"/>
        </w:rPr>
        <w:t>%</w:t>
      </w:r>
      <w:r>
        <w:rPr>
          <w:rFonts w:hint="eastAsia" w:hAnsi="DejaVu Math TeX Gyre"/>
          <w:i w:val="0"/>
          <w:sz w:val="24"/>
          <w:lang w:val="en-US" w:eastAsia="zh-CN"/>
        </w:rPr>
        <w:t>。</w:t>
      </w:r>
      <w:bookmarkEnd w:id="91"/>
      <w:bookmarkEnd w:id="92"/>
    </w:p>
    <w:p w14:paraId="222B79DF">
      <w:pPr>
        <w:numPr>
          <w:ilvl w:val="0"/>
          <w:numId w:val="0"/>
        </w:numPr>
        <w:spacing w:line="360" w:lineRule="auto"/>
        <w:ind w:firstLine="420" w:firstLineChars="0"/>
        <w:jc w:val="left"/>
        <w:outlineLvl w:val="1"/>
        <w:rPr>
          <w:rFonts w:hint="eastAsia" w:hAnsi="DejaVu Math TeX Gyre"/>
          <w:i w:val="0"/>
          <w:sz w:val="24"/>
          <w:lang w:val="en-US" w:eastAsia="zh-CN"/>
        </w:rPr>
      </w:pP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377"/>
        <w:gridCol w:w="5222"/>
      </w:tblGrid>
      <w:tr w14:paraId="6A9BAA2A">
        <w:trPr>
          <w:trHeight w:val="2791" w:hRule="atLeast"/>
          <w:jc w:val="center"/>
        </w:trPr>
        <w:tc>
          <w:tcPr>
            <w:tcW w:w="4377" w:type="dxa"/>
            <w:tcBorders>
              <w:tl2br w:val="nil"/>
              <w:tr2bl w:val="nil"/>
            </w:tcBorders>
            <w:vAlign w:val="top"/>
          </w:tcPr>
          <w:tbl>
            <w:tblPr>
              <w:tblStyle w:val="24"/>
              <w:tblW w:w="3790" w:type="dxa"/>
              <w:tblInd w:w="-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28"/>
              <w:gridCol w:w="1262"/>
            </w:tblGrid>
            <w:tr w14:paraId="14034223">
              <w:trPr>
                <w:trHeight w:val="680" w:hRule="atLeast"/>
              </w:trPr>
              <w:tc>
                <w:tcPr>
                  <w:tcW w:w="2528" w:type="dxa"/>
                  <w:tcBorders>
                    <w:top w:val="single" w:color="000000" w:sz="8" w:space="0"/>
                    <w:left w:val="single" w:color="000000" w:sz="8" w:space="0"/>
                    <w:bottom w:val="single" w:color="000000" w:sz="4" w:space="0"/>
                    <w:right w:val="single" w:color="000000" w:sz="4" w:space="0"/>
                  </w:tcBorders>
                  <w:shd w:val="clear" w:color="auto" w:fill="auto"/>
                  <w:vAlign w:val="center"/>
                </w:tcPr>
                <w:p w14:paraId="60BF11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机械与光学结构</w:t>
                  </w:r>
                </w:p>
              </w:tc>
              <w:tc>
                <w:tcPr>
                  <w:tcW w:w="1262" w:type="dxa"/>
                  <w:tcBorders>
                    <w:top w:val="single" w:color="000000" w:sz="8" w:space="0"/>
                    <w:left w:val="single" w:color="000000" w:sz="4" w:space="0"/>
                    <w:bottom w:val="single" w:color="000000" w:sz="4" w:space="0"/>
                    <w:right w:val="single" w:color="000000" w:sz="8" w:space="0"/>
                  </w:tcBorders>
                  <w:shd w:val="clear" w:color="auto" w:fill="auto"/>
                  <w:vAlign w:val="center"/>
                </w:tcPr>
                <w:p w14:paraId="20B55E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￥134.00</w:t>
                  </w:r>
                </w:p>
              </w:tc>
            </w:tr>
            <w:tr w14:paraId="02C6DAD5">
              <w:trPr>
                <w:trHeight w:val="680" w:hRule="atLeast"/>
              </w:trPr>
              <w:tc>
                <w:tcPr>
                  <w:tcW w:w="2528"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1810F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电子元器件</w:t>
                  </w:r>
                </w:p>
              </w:tc>
              <w:tc>
                <w:tcPr>
                  <w:tcW w:w="1262"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95DE1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￥356.00</w:t>
                  </w:r>
                </w:p>
              </w:tc>
            </w:tr>
            <w:tr w14:paraId="62DEC701">
              <w:trPr>
                <w:trHeight w:val="680" w:hRule="atLeast"/>
              </w:trPr>
              <w:tc>
                <w:tcPr>
                  <w:tcW w:w="2528" w:type="dxa"/>
                  <w:tcBorders>
                    <w:top w:val="single" w:color="000000" w:sz="4" w:space="0"/>
                    <w:left w:val="single" w:color="000000" w:sz="8" w:space="0"/>
                    <w:bottom w:val="single" w:color="000000" w:sz="8" w:space="0"/>
                    <w:right w:val="single" w:color="000000" w:sz="4" w:space="0"/>
                  </w:tcBorders>
                  <w:shd w:val="clear" w:color="auto" w:fill="auto"/>
                  <w:vAlign w:val="center"/>
                </w:tcPr>
                <w:p w14:paraId="539888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电磁屏蔽与抗干扰模块</w:t>
                  </w:r>
                </w:p>
              </w:tc>
              <w:tc>
                <w:tcPr>
                  <w:tcW w:w="1262" w:type="dxa"/>
                  <w:tcBorders>
                    <w:top w:val="single" w:color="000000" w:sz="4" w:space="0"/>
                    <w:left w:val="single" w:color="000000" w:sz="4" w:space="0"/>
                    <w:bottom w:val="single" w:color="000000" w:sz="8" w:space="0"/>
                    <w:right w:val="single" w:color="000000" w:sz="8" w:space="0"/>
                  </w:tcBorders>
                  <w:shd w:val="clear" w:color="auto" w:fill="auto"/>
                  <w:vAlign w:val="center"/>
                </w:tcPr>
                <w:p w14:paraId="681D25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w:t>
                  </w:r>
                </w:p>
              </w:tc>
            </w:tr>
            <w:tr w14:paraId="530FAA8A">
              <w:trPr>
                <w:trHeight w:val="748" w:hRule="atLeast"/>
              </w:trPr>
              <w:tc>
                <w:tcPr>
                  <w:tcW w:w="2528" w:type="dxa"/>
                  <w:tcBorders>
                    <w:top w:val="nil"/>
                    <w:left w:val="single" w:color="000000" w:sz="8" w:space="0"/>
                    <w:bottom w:val="single" w:color="000000" w:sz="8" w:space="0"/>
                    <w:right w:val="single" w:color="000000" w:sz="4" w:space="0"/>
                  </w:tcBorders>
                  <w:shd w:val="clear" w:color="auto" w:fill="auto"/>
                  <w:vAlign w:val="center"/>
                </w:tcPr>
                <w:p w14:paraId="3A7817E3">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总计预算</w:t>
                  </w:r>
                </w:p>
              </w:tc>
              <w:tc>
                <w:tcPr>
                  <w:tcW w:w="1262" w:type="dxa"/>
                  <w:tcBorders>
                    <w:top w:val="nil"/>
                    <w:left w:val="single" w:color="000000" w:sz="4" w:space="0"/>
                    <w:bottom w:val="single" w:color="000000" w:sz="8" w:space="0"/>
                    <w:right w:val="single" w:color="000000" w:sz="8" w:space="0"/>
                  </w:tcBorders>
                  <w:shd w:val="clear" w:color="auto" w:fill="auto"/>
                  <w:vAlign w:val="center"/>
                </w:tcPr>
                <w:p w14:paraId="6AFE99F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￥548.00</w:t>
                  </w:r>
                </w:p>
              </w:tc>
            </w:tr>
          </w:tbl>
          <w:p w14:paraId="40BB63E4">
            <w:pPr>
              <w:spacing w:line="360" w:lineRule="auto"/>
              <w:jc w:val="center"/>
              <w:rPr>
                <w:rStyle w:val="31"/>
                <w:rFonts w:hint="default" w:ascii="Times New Roman" w:hAnsi="Times New Roman" w:eastAsia="宋体" w:cs="Times New Roman"/>
                <w:color w:val="auto"/>
                <w:sz w:val="32"/>
                <w:szCs w:val="32"/>
                <w:highlight w:val="none"/>
                <w:lang w:val="en-US" w:eastAsia="zh-CN"/>
              </w:rPr>
            </w:pPr>
          </w:p>
        </w:tc>
        <w:tc>
          <w:tcPr>
            <w:tcW w:w="5222" w:type="dxa"/>
            <w:tcBorders>
              <w:tl2br w:val="nil"/>
              <w:tr2bl w:val="nil"/>
            </w:tcBorders>
            <w:vAlign w:val="top"/>
          </w:tcPr>
          <w:p w14:paraId="36CA8C8E">
            <w:pPr>
              <w:spacing w:line="360" w:lineRule="auto"/>
              <w:jc w:val="center"/>
              <w:rPr>
                <w:rStyle w:val="31"/>
                <w:rFonts w:hint="eastAsia" w:ascii="Times New Roman" w:hAnsi="Times New Roman" w:eastAsia="宋体" w:cs="Times New Roman"/>
                <w:color w:val="auto"/>
                <w:sz w:val="32"/>
                <w:szCs w:val="32"/>
                <w:highlight w:val="none"/>
                <w:lang w:val="en-US" w:eastAsia="zh-CN"/>
              </w:rPr>
            </w:pPr>
            <w:r>
              <w:drawing>
                <wp:inline distT="0" distB="0" distL="114300" distR="114300">
                  <wp:extent cx="2860675" cy="1760855"/>
                  <wp:effectExtent l="6350" t="6350" r="28575" b="10795"/>
                  <wp:docPr id="1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14:paraId="633A2845">
        <w:trPr>
          <w:jc w:val="center"/>
        </w:trPr>
        <w:tc>
          <w:tcPr>
            <w:tcW w:w="4377" w:type="dxa"/>
            <w:tcBorders>
              <w:tl2br w:val="nil"/>
              <w:tr2bl w:val="nil"/>
            </w:tcBorders>
            <w:vAlign w:val="top"/>
          </w:tcPr>
          <w:p w14:paraId="00EB94CA">
            <w:pPr>
              <w:pStyle w:val="5"/>
              <w:spacing w:line="360" w:lineRule="auto"/>
              <w:jc w:val="center"/>
              <w:rPr>
                <w:rFonts w:hint="default" w:ascii="黑体" w:hAnsi="黑体" w:eastAsia="黑体" w:cs="黑体"/>
                <w:lang w:val="en-US"/>
              </w:rPr>
            </w:pPr>
            <w:r>
              <w:rPr>
                <w:rFonts w:hint="eastAsia" w:ascii="黑体" w:hAnsi="黑体" w:cs="黑体"/>
                <w:lang w:val="en-US" w:eastAsia="zh-CN"/>
              </w:rPr>
              <w:t>表 2</w:t>
            </w:r>
            <w:r>
              <w:rPr>
                <w:rFonts w:hint="eastAsia" w:ascii="黑体" w:hAnsi="黑体" w:eastAsia="黑体" w:cs="黑体"/>
                <w:lang w:eastAsia="zh-CN"/>
              </w:rPr>
              <w:t xml:space="preserve"> </w:t>
            </w:r>
            <w:r>
              <w:rPr>
                <w:rFonts w:hint="eastAsia" w:ascii="黑体" w:hAnsi="黑体" w:cs="黑体"/>
                <w:lang w:val="en-US" w:eastAsia="zh-CN"/>
              </w:rPr>
              <w:t>实验成本小计与总预算</w:t>
            </w:r>
          </w:p>
        </w:tc>
        <w:tc>
          <w:tcPr>
            <w:tcW w:w="5222" w:type="dxa"/>
            <w:tcBorders>
              <w:tl2br w:val="nil"/>
              <w:tr2bl w:val="nil"/>
            </w:tcBorders>
            <w:vAlign w:val="top"/>
          </w:tcPr>
          <w:p w14:paraId="7880BB74">
            <w:pPr>
              <w:pStyle w:val="5"/>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7</w:t>
            </w:r>
            <w:r>
              <w:rPr>
                <w:rFonts w:hint="eastAsia" w:ascii="黑体" w:hAnsi="黑体" w:eastAsia="黑体" w:cs="黑体"/>
                <w:lang w:eastAsia="zh-CN"/>
              </w:rPr>
              <w:t xml:space="preserve"> </w:t>
            </w:r>
            <w:r>
              <w:rPr>
                <w:rFonts w:hint="eastAsia" w:ascii="黑体" w:hAnsi="黑体" w:cs="黑体"/>
                <w:lang w:val="en-US" w:eastAsia="zh-CN"/>
              </w:rPr>
              <w:t>实验总预算分析饼状图</w:t>
            </w:r>
          </w:p>
        </w:tc>
      </w:tr>
    </w:tbl>
    <w:p w14:paraId="02FA4C30">
      <w:pPr>
        <w:numPr>
          <w:numId w:val="0"/>
        </w:numPr>
        <w:spacing w:line="360" w:lineRule="auto"/>
        <w:ind w:leftChars="0"/>
        <w:jc w:val="left"/>
        <w:outlineLvl w:val="1"/>
        <w:rPr>
          <w:rStyle w:val="31"/>
          <w:rFonts w:hint="eastAsia" w:ascii="Times New Roman" w:hAnsi="Times New Roman" w:eastAsia="黑体" w:cs="Times New Roman"/>
          <w:color w:val="auto"/>
          <w:sz w:val="28"/>
          <w:szCs w:val="28"/>
          <w:highlight w:val="none"/>
          <w:lang w:val="en-US" w:eastAsia="zh-CN"/>
        </w:rPr>
      </w:pPr>
      <w:bookmarkStart w:id="93" w:name="_Toc1821225215"/>
    </w:p>
    <w:p w14:paraId="094E16D3">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r>
        <w:rPr>
          <w:rStyle w:val="31"/>
          <w:rFonts w:hint="eastAsia" w:eastAsia="黑体" w:cs="Times New Roman"/>
          <w:color w:val="auto"/>
          <w:sz w:val="28"/>
          <w:szCs w:val="28"/>
          <w:highlight w:val="none"/>
          <w:lang w:val="en-US" w:eastAsia="zh-CN"/>
        </w:rPr>
        <w:t>实验经济学结论</w:t>
      </w:r>
      <w:bookmarkEnd w:id="93"/>
    </w:p>
    <w:p w14:paraId="245330A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单次实验物料沉没成本：约460</w:t>
      </w:r>
      <w:r>
        <w:rPr>
          <w:rFonts w:hint="eastAsia" w:hAnsi="DejaVu Math TeX Gyre"/>
          <w:i w:val="0"/>
          <w:sz w:val="24"/>
          <w:lang w:val="en-US" w:eastAsia="zh-CN"/>
        </w:rPr>
        <w:t>至</w:t>
      </w:r>
      <w:r>
        <w:rPr>
          <w:rFonts w:hint="eastAsia" w:hAnsi="DejaVu Math TeX Gyre" w:eastAsia="宋体"/>
          <w:i w:val="0"/>
          <w:sz w:val="24"/>
          <w:lang w:val="en-US" w:eastAsia="zh-CN"/>
        </w:rPr>
        <w:t>54</w:t>
      </w:r>
      <w:r>
        <w:rPr>
          <w:rFonts w:hint="eastAsia" w:hAnsi="DejaVu Math TeX Gyre"/>
          <w:i w:val="0"/>
          <w:sz w:val="24"/>
          <w:lang w:val="en-US" w:eastAsia="zh-CN"/>
        </w:rPr>
        <w:t>0</w:t>
      </w:r>
      <w:r>
        <w:rPr>
          <w:rFonts w:hint="eastAsia" w:hAnsi="DejaVu Math TeX Gyre" w:eastAsia="宋体"/>
          <w:i w:val="0"/>
          <w:sz w:val="24"/>
          <w:lang w:val="en-US" w:eastAsia="zh-CN"/>
        </w:rPr>
        <w:t>元。若仅计算消耗品（悬丝、电池、导线），单次实验追加成本低于20元，具备较高的可重复性经济价值。</w:t>
      </w:r>
    </w:p>
    <w:p w14:paraId="0A139BD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固定资产转化率：预算中82%的支出（PSD、UNO、滑轨、屏蔽盒）属于可复用固定资产，折旧周期长，在后续其他精密测量实验中边际成本趋近于零。</w:t>
      </w:r>
    </w:p>
    <w:p w14:paraId="50FDFB86">
      <w:pPr>
        <w:spacing w:line="360" w:lineRule="auto"/>
        <w:ind w:firstLine="480" w:firstLineChars="200"/>
        <w:rPr>
          <w:rStyle w:val="31"/>
          <w:rFonts w:hint="eastAsia" w:ascii="Times New Roman" w:hAnsi="Times New Roman" w:eastAsia="黑体" w:cs="Times New Roman"/>
          <w:color w:val="auto"/>
          <w:sz w:val="28"/>
          <w:szCs w:val="28"/>
          <w:highlight w:val="none"/>
          <w:lang w:val="en-US" w:eastAsia="zh-CN"/>
        </w:rPr>
      </w:pPr>
      <w:r>
        <w:rPr>
          <w:rFonts w:hint="eastAsia" w:hAnsi="DejaVu Math TeX Gyre" w:eastAsia="宋体"/>
          <w:i w:val="0"/>
          <w:sz w:val="24"/>
          <w:lang w:val="en-US" w:eastAsia="zh-CN"/>
        </w:rPr>
        <w:t>性价比判定：以550元的投入，构建一套精度可达微米级的非接触式光杠杆-电磁感应复合测量系统，相比商用微弱信号检测仪（数千元），本方案成本降低80%以上。若继续考虑可优化的成本，如实验室已有的材料与可以用日用品替代的部分，成本可以进一步降低约30%。方案总体符合工科物理实验预算要求。</w:t>
      </w:r>
    </w:p>
    <w:p w14:paraId="348E76BD">
      <w:pPr>
        <w:rPr>
          <w:rStyle w:val="31"/>
          <w:rFonts w:hint="eastAsia" w:ascii="Times New Roman" w:hAnsi="Times New Roman" w:eastAsia="黑体" w:cs="Times New Roman"/>
          <w:color w:val="auto"/>
          <w:sz w:val="28"/>
          <w:szCs w:val="28"/>
          <w:highlight w:val="none"/>
          <w:lang w:val="en-US" w:eastAsia="zh-CN"/>
        </w:rPr>
      </w:pPr>
    </w:p>
    <w:p w14:paraId="0B8F109E">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94" w:name="_Toc1247767814"/>
      <w:r>
        <w:rPr>
          <w:rStyle w:val="31"/>
          <w:rFonts w:hint="eastAsia" w:ascii="Times New Roman" w:hAnsi="Times New Roman" w:eastAsia="黑体" w:cs="Times New Roman"/>
          <w:color w:val="auto"/>
          <w:sz w:val="32"/>
          <w:szCs w:val="32"/>
          <w:highlight w:val="none"/>
          <w:lang w:val="en-US" w:eastAsia="zh-CN"/>
        </w:rPr>
        <w:t>系统校准与性能测试</w:t>
      </w:r>
      <w:bookmarkEnd w:id="86"/>
      <w:bookmarkEnd w:id="87"/>
      <w:bookmarkEnd w:id="89"/>
      <w:bookmarkEnd w:id="94"/>
    </w:p>
    <w:p w14:paraId="64A1DDB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本节内容需要在进行实验后测量补充，故在此只讨论分析方法与步骤。</w:t>
      </w:r>
    </w:p>
    <w:p w14:paraId="4666ABB9">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95" w:name="_Toc302995095"/>
      <w:bookmarkStart w:id="96" w:name="_Toc1055836943"/>
      <w:bookmarkStart w:id="97" w:name="_Toc2048806774"/>
      <w:r>
        <w:rPr>
          <w:rStyle w:val="31"/>
          <w:rFonts w:hint="eastAsia" w:ascii="Times New Roman" w:hAnsi="Times New Roman" w:eastAsia="黑体" w:cs="Times New Roman"/>
          <w:color w:val="auto"/>
          <w:sz w:val="28"/>
          <w:szCs w:val="28"/>
          <w:highlight w:val="none"/>
          <w:lang w:val="en-US" w:eastAsia="zh-CN"/>
        </w:rPr>
        <w:t>校准方法</w:t>
      </w:r>
      <w:bookmarkEnd w:id="95"/>
      <w:bookmarkEnd w:id="96"/>
      <w:bookmarkEnd w:id="97"/>
    </w:p>
    <w:p w14:paraId="45AFB81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系统定标首先通过静态力矩平衡法确定悬丝的扭转劲度系数。为此，可使用RC电路作为微小电信号电磁波的发射源。RC电路由电阻</w:t>
      </w:r>
      <m:oMath>
        <m:r>
          <m:rPr>
            <m:sty m:val="p"/>
          </m:rPr>
          <w:rPr>
            <w:rFonts w:hint="eastAsia" w:ascii="DejaVu Math TeX Gyre" w:hAnsi="DejaVu Math TeX Gyre" w:eastAsia="宋体" w:cs="Times New Roman"/>
            <w:kern w:val="2"/>
            <w:sz w:val="24"/>
            <w:szCs w:val="24"/>
            <w:lang w:val="en-US" w:eastAsia="zh-CN" w:bidi="ar-SA"/>
          </w:rPr>
          <m:t>R</m:t>
        </m:r>
      </m:oMath>
      <w:r>
        <w:rPr>
          <w:rFonts w:hint="eastAsia" w:hAnsi="DejaVu Math TeX Gyre" w:eastAsia="宋体"/>
          <w:i w:val="0"/>
          <w:sz w:val="24"/>
          <w:lang w:val="en-US" w:eastAsia="zh-CN"/>
        </w:rPr>
        <w:t>与电容</w:t>
      </w:r>
      <m:oMath>
        <m:r>
          <m:rPr>
            <m:sty m:val="p"/>
          </m:rPr>
          <w:rPr>
            <w:rFonts w:hint="eastAsia" w:ascii="DejaVu Math TeX Gyre" w:hAnsi="DejaVu Math TeX Gyre" w:eastAsia="宋体" w:cs="Times New Roman"/>
            <w:kern w:val="2"/>
            <w:sz w:val="24"/>
            <w:szCs w:val="24"/>
            <w:lang w:val="en-US" w:eastAsia="zh-CN" w:bidi="ar-SA"/>
          </w:rPr>
          <m:t>C</m:t>
        </m:r>
      </m:oMath>
      <w:r>
        <w:rPr>
          <w:rFonts w:hint="eastAsia" w:hAnsi="DejaVu Math TeX Gyre" w:eastAsia="宋体"/>
          <w:i w:val="0"/>
          <w:sz w:val="24"/>
          <w:lang w:val="en-US" w:eastAsia="zh-CN"/>
        </w:rPr>
        <w:t>串联或并联构成，依靠电容周期性充放电实现信号变换：当接入交变或周期性激励时，电容电压不能突变，充放电速度由时间常数</w:t>
      </w:r>
      <m:oMath>
        <m:r>
          <m:rPr>
            <m:sty m:val="p"/>
          </m:rPr>
          <w:rPr>
            <w:rFonts w:hint="eastAsia" w:ascii="DejaVu Math TeX Gyre" w:hAnsi="DejaVu Math TeX Gyre" w:eastAsia="宋体" w:cs="Times New Roman"/>
            <w:kern w:val="2"/>
            <w:sz w:val="24"/>
            <w:szCs w:val="24"/>
            <w:lang w:val="en-US" w:eastAsia="zh-CN" w:bidi="ar-SA"/>
          </w:rPr>
          <m:t>τ= RC</m:t>
        </m:r>
      </m:oMath>
      <w:r>
        <w:rPr>
          <w:rFonts w:hint="eastAsia" w:hAnsi="DejaVu Math TeX Gyre" w:eastAsia="宋体"/>
          <w:i w:val="0"/>
          <w:sz w:val="24"/>
          <w:lang w:val="en-US" w:eastAsia="zh-CN"/>
        </w:rPr>
        <w:t>决定，</w:t>
      </w:r>
      <m:oMath>
        <m:r>
          <m:rPr>
            <m:sty m:val="p"/>
          </m:rPr>
          <w:rPr>
            <w:rFonts w:hint="eastAsia" w:ascii="DejaVu Math TeX Gyre" w:hAnsi="DejaVu Math TeX Gyre" w:eastAsia="宋体" w:cs="Times New Roman"/>
            <w:kern w:val="2"/>
            <w:sz w:val="24"/>
            <w:szCs w:val="24"/>
            <w:lang w:val="en-US" w:eastAsia="zh-CN" w:bidi="ar-SA"/>
          </w:rPr>
          <m:t>R</m:t>
        </m:r>
      </m:oMath>
      <w:r>
        <w:rPr>
          <w:rFonts w:hint="eastAsia" w:hAnsi="DejaVu Math TeX Gyre" w:eastAsia="宋体"/>
          <w:i w:val="0"/>
          <w:sz w:val="24"/>
          <w:lang w:val="en-US" w:eastAsia="zh-CN"/>
        </w:rPr>
        <w:t>和</w:t>
      </w:r>
      <m:oMath>
        <m:r>
          <m:rPr>
            <m:sty m:val="p"/>
          </m:rPr>
          <w:rPr>
            <w:rFonts w:hint="eastAsia" w:ascii="DejaVu Math TeX Gyre" w:hAnsi="DejaVu Math TeX Gyre" w:eastAsia="宋体" w:cs="Times New Roman"/>
            <w:kern w:val="2"/>
            <w:sz w:val="24"/>
            <w:szCs w:val="24"/>
            <w:lang w:val="en-US" w:eastAsia="zh-CN" w:bidi="ar-SA"/>
          </w:rPr>
          <m:t>C</m:t>
        </m:r>
      </m:oMath>
      <w:r>
        <w:rPr>
          <w:rFonts w:hint="eastAsia" w:hAnsi="DejaVu Math TeX Gyre" w:eastAsia="宋体"/>
          <w:i w:val="0"/>
          <w:sz w:val="24"/>
          <w:lang w:val="en-US" w:eastAsia="zh-CN"/>
        </w:rPr>
        <w:t>取值越大，充放电越慢，可产生极低频率的平缓电信号。电路输出为微弱、低频、近似正弦或梯形的交变电压/电流，信号幅度小、频率低、无高频谐波，向外辐射低频微弱电磁波，具有幅值微弱、频率可调、波形干净、干扰小的特点，可作为微弱电信号测量的标准低频信号源。</w:t>
      </w:r>
      <w:r>
        <w:rPr>
          <w:rFonts w:hint="eastAsia" w:hAnsi="DejaVu Math TeX Gyre"/>
          <w:i w:val="0"/>
          <w:sz w:val="24"/>
          <w:lang w:val="en-US" w:eastAsia="zh-CN"/>
        </w:rPr>
        <w:t>实验时</w:t>
      </w:r>
      <w:r>
        <w:rPr>
          <w:rFonts w:hint="eastAsia" w:hAnsi="DejaVu Math TeX Gyre" w:eastAsia="宋体"/>
          <w:i w:val="0"/>
          <w:sz w:val="24"/>
          <w:lang w:val="en-US" w:eastAsia="zh-CN"/>
        </w:rPr>
        <w:t>，保持线圈处于无电流状态并完成光路准直，使PSD输出的初始算子</w:t>
      </w:r>
      <m:oMath>
        <m:r>
          <m:rPr>
            <m:sty m:val="p"/>
          </m:rPr>
          <w:rPr>
            <w:rFonts w:hint="default" w:ascii="DejaVu Math TeX Gyre" w:hAnsi="DejaVu Math TeX Gyre" w:eastAsia="宋体"/>
            <w:sz w:val="24"/>
            <w:lang w:val="en-US" w:eastAsia="zh-CN"/>
          </w:rPr>
          <m:t>P</m:t>
        </m:r>
      </m:oMath>
      <w:r>
        <w:rPr>
          <w:rFonts w:hint="eastAsia" w:hAnsi="DejaVu Math TeX Gyre" w:eastAsia="宋体"/>
          <w:i w:val="0"/>
          <w:sz w:val="24"/>
          <w:lang w:val="en-US" w:eastAsia="zh-CN"/>
        </w:rPr>
        <w:t>置零。随后，在线圈臂端预定位置，用微型镊子挂载已知质量的标准砝码。线圈在重力力矩作用下偏转，反射光斑在PSD感光面上产生位移。通过OLED读取并记录平衡位移，结合重力加速度与反射镜至感光面的距离，利用扭转力矩平衡方程反推悬丝系统的劲度系数。为了减小偶然误差，需更换不同质量的砝码进行多次重复实验，取其平均值作为最终的定标参数输入程序常量区。</w:t>
      </w:r>
    </w:p>
    <w:p w14:paraId="1AE9270E">
      <w:pPr>
        <w:spacing w:line="360" w:lineRule="auto"/>
        <w:ind w:firstLine="480" w:firstLineChars="200"/>
        <w:rPr>
          <w:rFonts w:hint="eastAsia" w:hAnsi="DejaVu Math TeX Gyre" w:eastAsia="宋体"/>
          <w:i w:val="0"/>
          <w:sz w:val="24"/>
          <w:lang w:val="en-US" w:eastAsia="zh-CN"/>
        </w:rPr>
      </w:pPr>
    </w:p>
    <w:p w14:paraId="2DFDB2EA">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98" w:name="_Toc1542654620"/>
      <w:bookmarkStart w:id="99" w:name="_Toc754834628"/>
      <w:bookmarkStart w:id="100" w:name="_Toc794125840"/>
      <w:r>
        <w:rPr>
          <w:rStyle w:val="31"/>
          <w:rFonts w:hint="eastAsia" w:ascii="Times New Roman" w:hAnsi="Times New Roman" w:eastAsia="黑体" w:cs="Times New Roman"/>
          <w:color w:val="auto"/>
          <w:sz w:val="28"/>
          <w:szCs w:val="28"/>
          <w:highlight w:val="none"/>
          <w:lang w:val="en-US" w:eastAsia="zh-CN"/>
        </w:rPr>
        <w:t>线性度验证</w:t>
      </w:r>
      <w:bookmarkEnd w:id="98"/>
      <w:bookmarkEnd w:id="99"/>
      <w:bookmarkEnd w:id="100"/>
    </w:p>
    <w:p w14:paraId="1581481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线性度验证旨在确认系统输出位移与输入微弱电流之间的比例一致性。实验采用高精度稳压电源配合十进位标准电阻箱构建标准电流源，产生纳安量级的参考电流</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ref</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。测试过程中，以恒定步长逐步增大输入电流，观察并记录系统输出的感应电压</w:t>
      </w:r>
      <m:oMath>
        <m:r>
          <m:rPr>
            <m:sty m:val="p"/>
          </m:rPr>
          <w:rPr>
            <w:rFonts w:hint="eastAsia" w:ascii="DejaVu Math TeX Gyre" w:hAnsi="DejaVu Math TeX Gyre" w:eastAsia="宋体"/>
            <w:sz w:val="24"/>
            <w:lang w:val="en-US" w:eastAsia="zh-CN"/>
          </w:rPr>
          <m:t>U</m:t>
        </m:r>
      </m:oMath>
      <w:r>
        <w:rPr>
          <w:rFonts w:hint="eastAsia" w:hAnsi="DejaVu Math TeX Gyre" w:eastAsia="宋体"/>
          <w:i w:val="0"/>
          <w:sz w:val="24"/>
          <w:lang w:val="en-US" w:eastAsia="zh-CN"/>
        </w:rPr>
        <w:t>与电流</w:t>
      </w:r>
      <m:oMath>
        <m:r>
          <m:rPr>
            <m:sty m:val="p"/>
          </m:rPr>
          <w:rPr>
            <w:rFonts w:hint="default" w:ascii="DejaVu Math TeX Gyre" w:hAnsi="DejaVu Math TeX Gyre" w:eastAsia="宋体"/>
            <w:sz w:val="24"/>
            <w:lang w:val="en-US" w:eastAsia="zh-CN"/>
          </w:rPr>
          <m:t>I</m:t>
        </m:r>
      </m:oMath>
      <w:r>
        <w:rPr>
          <w:rFonts w:hint="eastAsia" w:hAnsi="DejaVu Math TeX Gyre" w:eastAsia="宋体"/>
          <w:i w:val="0"/>
          <w:sz w:val="24"/>
          <w:lang w:val="en-US" w:eastAsia="zh-CN"/>
        </w:rPr>
        <w:t>的数值。通过在坐标系中绘制“输入电流</w:t>
      </w:r>
      <w:r>
        <w:rPr>
          <w:rFonts w:hint="eastAsia" w:hAnsi="DejaVu Math TeX Gyre"/>
          <w:i w:val="0"/>
          <w:sz w:val="24"/>
          <w:lang w:val="en-US" w:eastAsia="zh-CN"/>
        </w:rPr>
        <w:t>－</w:t>
      </w:r>
      <w:r>
        <w:rPr>
          <w:rFonts w:hint="eastAsia" w:hAnsi="DejaVu Math TeX Gyre" w:eastAsia="宋体"/>
          <w:i w:val="0"/>
          <w:sz w:val="24"/>
          <w:lang w:val="en-US" w:eastAsia="zh-CN"/>
        </w:rPr>
        <w:t>输出位移”响应曲线，利用最小二乘法进行线性拟合。若拟合曲线的线性相关系数</w:t>
      </w:r>
      <m:oMath>
        <m:sSup>
          <m:sSupPr>
            <m:ctrlPr>
              <w:rPr>
                <w:rFonts w:hint="default" w:ascii="DejaVu Math TeX Gyre" w:hAnsi="DejaVu Math TeX Gyre" w:eastAsia="宋体"/>
                <w:i w:val="0"/>
                <w:sz w:val="24"/>
                <w:lang w:val="en-US" w:eastAsia="zh-CN"/>
              </w:rPr>
            </m:ctrlPr>
          </m:sSupPr>
          <m:e>
            <m:r>
              <m:rPr>
                <m:sty m:val="p"/>
              </m:rPr>
              <w:rPr>
                <w:rFonts w:hint="default" w:ascii="DejaVu Math TeX Gyre" w:hAnsi="DejaVu Math TeX Gyre" w:eastAsia="宋体"/>
                <w:sz w:val="24"/>
                <w:lang w:val="en-US" w:eastAsia="zh-CN"/>
              </w:rPr>
              <m:t>R</m:t>
            </m:r>
            <m:ctrlPr>
              <w:rPr>
                <w:rFonts w:hint="eastAsia" w:ascii="DejaVu Math TeX Gyre" w:hAnsi="DejaVu Math TeX Gyre" w:eastAsia="宋体"/>
                <w:i w:val="0"/>
                <w:sz w:val="24"/>
                <w:lang w:val="en-US" w:eastAsia="zh-CN"/>
              </w:rPr>
            </m:ctrlPr>
          </m:e>
          <m:sup>
            <m:r>
              <m:rPr>
                <m:sty m:val="p"/>
              </m:rPr>
              <w:rPr>
                <w:rFonts w:hint="default" w:ascii="DejaVu Math TeX Gyre" w:hAnsi="DejaVu Math TeX Gyre" w:eastAsia="宋体"/>
                <w:sz w:val="24"/>
                <w:lang w:val="en-US" w:eastAsia="zh-CN"/>
              </w:rPr>
              <m:t>2</m:t>
            </m:r>
            <m:ctrlPr>
              <w:rPr>
                <w:rFonts w:hint="eastAsia" w:ascii="DejaVu Math TeX Gyre" w:hAnsi="DejaVu Math TeX Gyre" w:eastAsia="宋体"/>
                <w:i w:val="0"/>
                <w:sz w:val="24"/>
                <w:lang w:val="en-US" w:eastAsia="zh-CN"/>
              </w:rPr>
            </m:ctrlPr>
          </m:sup>
        </m:sSup>
      </m:oMath>
      <w:r>
        <w:rPr>
          <w:rFonts w:hint="eastAsia" w:hAnsi="DejaVu Math TeX Gyre" w:eastAsia="宋体"/>
          <w:i w:val="0"/>
          <w:sz w:val="24"/>
          <w:lang w:val="en-US" w:eastAsia="zh-CN"/>
        </w:rPr>
        <w:t>趋近于</w:t>
      </w:r>
      <m:oMath>
        <m:r>
          <m:rPr>
            <m:sty m:val="p"/>
          </m:rPr>
          <w:rPr>
            <w:rFonts w:hint="eastAsia" w:ascii="DejaVu Math TeX Gyre" w:hAnsi="DejaVu Math TeX Gyre" w:eastAsia="宋体"/>
            <w:sz w:val="24"/>
            <w:lang w:val="en-US" w:eastAsia="zh-CN"/>
          </w:rPr>
          <m:t>1</m:t>
        </m:r>
      </m:oMath>
      <w:r>
        <w:rPr>
          <w:rFonts w:hint="eastAsia" w:hAnsi="DejaVu Math TeX Gyre" w:eastAsia="宋体"/>
          <w:i w:val="0"/>
          <w:sz w:val="24"/>
          <w:lang w:val="en-US" w:eastAsia="zh-CN"/>
        </w:rPr>
        <w:t>，则证明系统在预设量程内满足理想的线性映射关系，排除了磁场非均匀性或悬丝非线性形变带来的测量失真。</w:t>
      </w:r>
    </w:p>
    <w:p w14:paraId="506A4B48">
      <w:pPr>
        <w:spacing w:line="360" w:lineRule="auto"/>
        <w:ind w:firstLine="480" w:firstLineChars="200"/>
        <w:rPr>
          <w:rFonts w:hint="eastAsia" w:hAnsi="DejaVu Math TeX Gyre" w:eastAsia="宋体"/>
          <w:i w:val="0"/>
          <w:sz w:val="24"/>
          <w:lang w:val="en-US" w:eastAsia="zh-CN"/>
        </w:rPr>
      </w:pPr>
    </w:p>
    <w:p w14:paraId="6284F865">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01" w:name="_Toc262126775"/>
      <w:bookmarkStart w:id="102" w:name="_Toc1319689967"/>
      <w:bookmarkStart w:id="103" w:name="_Toc826128109"/>
      <w:r>
        <w:rPr>
          <w:rStyle w:val="31"/>
          <w:rFonts w:hint="eastAsia" w:ascii="Times New Roman" w:hAnsi="Times New Roman" w:eastAsia="黑体" w:cs="Times New Roman"/>
          <w:color w:val="auto"/>
          <w:sz w:val="28"/>
          <w:szCs w:val="28"/>
          <w:highlight w:val="none"/>
          <w:lang w:val="en-US" w:eastAsia="zh-CN"/>
        </w:rPr>
        <w:t>稳定性测试</w:t>
      </w:r>
      <w:bookmarkEnd w:id="101"/>
      <w:bookmarkEnd w:id="102"/>
      <w:bookmarkEnd w:id="103"/>
    </w:p>
    <w:p w14:paraId="44872C0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稳定性测试用于评估系统在长时间工作状态下的漂移水平与抗干扰能力。在电磁屏蔽环境及恒温条件下，将系统输入端短接，使测量系统处于零信号待机状态。开启实时数据采集脚本，以固定的采样频率连续监测并记录30分钟内的位置算子</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值及折算电压</w:t>
      </w:r>
      <m:oMath>
        <m:r>
          <m:rPr>
            <m:sty m:val="p"/>
          </m:rPr>
          <w:rPr>
            <w:rFonts w:hint="default" w:ascii="DejaVu Math TeX Gyre" w:hAnsi="DejaVu Math TeX Gyre" w:eastAsia="宋体"/>
            <w:sz w:val="24"/>
            <w:lang w:val="en-US" w:eastAsia="zh-CN"/>
          </w:rPr>
          <m:t>U</m:t>
        </m:r>
      </m:oMath>
      <w:r>
        <w:rPr>
          <w:rFonts w:hint="eastAsia" w:hAnsi="DejaVu Math TeX Gyre" w:eastAsia="宋体"/>
          <w:i w:val="0"/>
          <w:sz w:val="24"/>
          <w:lang w:val="en-US" w:eastAsia="zh-CN"/>
        </w:rPr>
        <w:t>的波动情况。通过分析时域波形的标准差，评估系统的基线噪声水平；同时观察测量值随时间的漂移趋势，验证归一化算法对电源电压波动及激光器热漂移的抑制效果。若波动范围保持在系统分辨率的量级之内，则说明该测量系统具备良好的长期运行稳定性，满足精密物理实验的测量需求。</w:t>
      </w:r>
    </w:p>
    <w:p w14:paraId="05572BCB">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104" w:name="_Toc1253350108"/>
      <w:bookmarkStart w:id="105" w:name="_Toc1075747428"/>
      <w:bookmarkStart w:id="106" w:name="_Toc818169153"/>
      <w:bookmarkStart w:id="107" w:name="_Toc404378919"/>
      <w:r>
        <w:rPr>
          <w:rStyle w:val="31"/>
          <w:rFonts w:hint="eastAsia" w:ascii="Times New Roman" w:hAnsi="Times New Roman" w:eastAsia="黑体" w:cs="Times New Roman"/>
          <w:color w:val="auto"/>
          <w:sz w:val="32"/>
          <w:szCs w:val="32"/>
          <w:highlight w:val="none"/>
          <w:lang w:val="en-US" w:eastAsia="zh-CN"/>
        </w:rPr>
        <w:t>误差分析与不确定度评估</w:t>
      </w:r>
      <w:bookmarkEnd w:id="104"/>
      <w:bookmarkEnd w:id="105"/>
      <w:bookmarkEnd w:id="106"/>
      <w:bookmarkEnd w:id="107"/>
    </w:p>
    <w:p w14:paraId="2C9771D2">
      <w:pPr>
        <w:spacing w:line="360" w:lineRule="auto"/>
        <w:ind w:firstLine="480" w:firstLineChars="200"/>
        <w:rPr>
          <w:rFonts w:hint="default" w:hAnsi="DejaVu Math TeX Gyre" w:eastAsia="宋体"/>
          <w:i w:val="0"/>
          <w:sz w:val="24"/>
          <w:lang w:val="en-US" w:eastAsia="zh-CN"/>
        </w:rPr>
      </w:pPr>
      <w:r>
        <w:rPr>
          <w:rFonts w:hint="eastAsia" w:hAnsi="DejaVu Math TeX Gyre" w:eastAsia="宋体"/>
          <w:i w:val="0"/>
          <w:sz w:val="24"/>
          <w:lang w:val="en-US" w:eastAsia="zh-CN"/>
        </w:rPr>
        <w:t>本节内容需要在进行实验后测量补充，故在此只讨论分析方法与步骤。</w:t>
      </w:r>
    </w:p>
    <w:p w14:paraId="6CDC3870">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08" w:name="_Toc631162730"/>
      <w:bookmarkStart w:id="109" w:name="_Toc422198303"/>
      <w:bookmarkStart w:id="110" w:name="_Toc388171733"/>
      <w:r>
        <w:rPr>
          <w:rStyle w:val="31"/>
          <w:rFonts w:hint="eastAsia" w:ascii="Times New Roman" w:hAnsi="Times New Roman" w:eastAsia="黑体" w:cs="Times New Roman"/>
          <w:color w:val="auto"/>
          <w:sz w:val="28"/>
          <w:szCs w:val="28"/>
          <w:highlight w:val="none"/>
          <w:lang w:val="en-US" w:eastAsia="zh-CN"/>
        </w:rPr>
        <w:t>误差来源分析</w:t>
      </w:r>
      <w:bookmarkEnd w:id="108"/>
      <w:bookmarkEnd w:id="109"/>
      <w:bookmarkEnd w:id="110"/>
    </w:p>
    <w:p w14:paraId="603446AF">
      <w:pPr>
        <w:spacing w:line="360" w:lineRule="auto"/>
        <w:ind w:firstLine="480" w:firstLineChars="200"/>
        <w:rPr>
          <w:rFonts w:hint="eastAsia" w:hAnsi="DejaVu Math TeX Gyre" w:eastAsia="宋体"/>
          <w:i w:val="0"/>
          <w:sz w:val="24"/>
          <w:lang w:val="en-US" w:eastAsia="zh-CN"/>
        </w:rPr>
      </w:pPr>
      <w:bookmarkStart w:id="111" w:name="_Toc383368120"/>
      <w:bookmarkStart w:id="112" w:name="_Toc815323097"/>
      <w:r>
        <w:rPr>
          <w:rFonts w:hint="eastAsia" w:hAnsi="DejaVu Math TeX Gyre" w:eastAsia="宋体"/>
          <w:i w:val="0"/>
          <w:sz w:val="24"/>
          <w:lang w:val="en-US" w:eastAsia="zh-CN"/>
        </w:rPr>
        <w:t>数据采集模块作为信号捕获的物理起点，其误差直接影响原始信号质量。首先，永磁体边缘效应会导致磁场强度不均匀，使悬丝线圈在偏转时受力偏离线性。其次，反射镜角度、激光入射方向或PSD探测器的安装偏差，会通过光杠杆放大造成显著测量误差。此外，室内气流和地面振动会引起悬丝随机摆动，增加数据的离散度。</w:t>
      </w:r>
    </w:p>
    <w:p w14:paraId="301AE2C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放大模块负责将微弱电流转换为电压，其精度受限于电子元件本身的物理特性。虽然AD8628运放的偏置电流和温漂极低，但在纳安级信号下，残余的输入失调电压仍会引起微小漂移。同时，尽管使用了铝合金屏蔽盒，BNC接口或电源线仍可能引入高频干扰。另外，反馈电阻的温漂会改变放大倍数，造成系统性比例误差。</w:t>
      </w:r>
    </w:p>
    <w:p w14:paraId="56985770">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通过ADC转换和算法输出最终结果。ADS1115的参考电压漂移会带来系统误差，而16位的量化精度也会产生固有的量化噪声。归一化差分算法虽能抵消激光强度波动，但无法补偿激光束指向性漂移带来的位置偏差。最后，若采样频率与悬丝的机械固有频率不匹配，随机噪声可能被错误放大或发生频率混叠，影响测量结果。</w:t>
      </w:r>
    </w:p>
    <w:p w14:paraId="38E76281">
      <w:pPr>
        <w:spacing w:line="360" w:lineRule="auto"/>
        <w:ind w:firstLine="480" w:firstLineChars="200"/>
        <w:rPr>
          <w:rFonts w:hint="eastAsia" w:hAnsi="DejaVu Math TeX Gyre" w:eastAsia="宋体"/>
          <w:i w:val="0"/>
          <w:sz w:val="24"/>
          <w:lang w:val="en-US" w:eastAsia="zh-CN"/>
        </w:rPr>
      </w:pPr>
    </w:p>
    <w:p w14:paraId="6382541A">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13" w:name="_Toc600908833"/>
      <w:r>
        <w:rPr>
          <w:rStyle w:val="31"/>
          <w:rFonts w:hint="eastAsia" w:ascii="Times New Roman" w:hAnsi="Times New Roman" w:eastAsia="黑体" w:cs="Times New Roman"/>
          <w:color w:val="auto"/>
          <w:sz w:val="28"/>
          <w:szCs w:val="28"/>
          <w:highlight w:val="none"/>
          <w:lang w:val="en-US" w:eastAsia="zh-CN"/>
        </w:rPr>
        <w:t>不确定度计算模型</w:t>
      </w:r>
      <w:bookmarkEnd w:id="111"/>
      <w:bookmarkEnd w:id="112"/>
      <w:bookmarkEnd w:id="113"/>
    </w:p>
    <w:p w14:paraId="6A8BE4C8">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14" w:name="_Toc42139772"/>
      <w:r>
        <w:rPr>
          <w:rStyle w:val="31"/>
          <w:rFonts w:hint="eastAsia" w:ascii="宋体" w:hAnsi="宋体" w:eastAsia="宋体" w:cs="宋体"/>
          <w:b/>
          <w:bCs/>
          <w:color w:val="auto"/>
          <w:sz w:val="24"/>
          <w:szCs w:val="24"/>
          <w:highlight w:val="none"/>
          <w:lang w:val="en-US" w:eastAsia="zh-CN"/>
        </w:rPr>
        <w:t>A类不确定度</w:t>
      </w:r>
      <w:bookmarkEnd w:id="114"/>
    </w:p>
    <w:p w14:paraId="4AF21562">
      <w:pPr>
        <w:spacing w:line="360" w:lineRule="auto"/>
        <w:ind w:firstLine="480" w:firstLineChars="200"/>
        <w:rPr>
          <w:rFonts w:hint="eastAsia" w:hAnsi="DejaVu Math TeX Gyre" w:eastAsia="宋体"/>
          <w:i w:val="0"/>
          <w:sz w:val="24"/>
          <w:lang w:val="en-US" w:eastAsia="zh-CN"/>
        </w:rPr>
      </w:pPr>
      <w:bookmarkStart w:id="115" w:name="_Toc1721028141"/>
      <w:r>
        <w:rPr>
          <w:rFonts w:hint="default" w:hAnsi="DejaVu Math TeX Gyre" w:eastAsia="宋体"/>
          <w:i w:val="0"/>
          <w:sz w:val="24"/>
          <w:lang w:val="en-US" w:eastAsia="zh-CN"/>
        </w:rPr>
        <w:t>采用多次重复测量统计法。在系统处于谐振状态或特定待测电流下，连续记录</w:t>
      </w:r>
      <m:oMath>
        <m:r>
          <m:rPr>
            <m:sty m:val="p"/>
          </m:rPr>
          <w:rPr>
            <w:rFonts w:hint="eastAsia" w:ascii="DejaVu Math TeX Gyre" w:hAnsi="DejaVu Math TeX Gyre" w:eastAsia="宋体"/>
            <w:sz w:val="24"/>
            <w:lang w:val="en-US" w:eastAsia="zh-CN"/>
          </w:rPr>
          <m:t>n</m:t>
        </m:r>
      </m:oMath>
      <w:r>
        <w:rPr>
          <w:rFonts w:hint="default" w:hAnsi="DejaVu Math TeX Gyre" w:eastAsia="宋体"/>
          <w:i w:val="0"/>
          <w:sz w:val="24"/>
          <w:lang w:val="en-US" w:eastAsia="zh-CN"/>
        </w:rPr>
        <w:t>组PSD输出的位移数据。通过计算该样本序列的算术平均值及标准偏差，利用贝塞尔公式</w:t>
      </w:r>
      <w:r>
        <w:rPr>
          <w:rFonts w:hint="eastAsia" w:hAnsi="DejaVu Math TeX Gyre"/>
          <w:i w:val="0"/>
          <w:sz w:val="24"/>
          <w:lang w:val="en-US" w:eastAsia="zh-CN"/>
        </w:rPr>
        <w:t>：</w:t>
      </w:r>
    </w:p>
    <w:p w14:paraId="5F394BDB">
      <w:pPr>
        <w:widowControl w:val="0"/>
        <w:numPr>
          <w:ilvl w:val="0"/>
          <w:numId w:val="0"/>
        </w:numPr>
        <w:spacing w:line="360" w:lineRule="auto"/>
        <w:ind w:firstLine="480" w:firstLineChars="200"/>
        <w:jc w:val="center"/>
        <w:outlineLvl w:val="2"/>
        <w:rPr>
          <w:rFonts w:hint="default" w:hAnsi="sans-serif" w:eastAsia="sans-serif" w:cs="sans-serif"/>
          <w:i w:val="0"/>
          <w:kern w:val="0"/>
          <w:sz w:val="24"/>
          <w:szCs w:val="24"/>
          <w:lang w:val="en-US" w:eastAsia="zh-CN" w:bidi="ar"/>
        </w:rPr>
      </w:pPr>
      <m:oMathPara>
        <m:oMath>
          <m:r>
            <m:rPr/>
            <w:rPr>
              <w:rFonts w:hint="default" w:ascii="DejaVu Math TeX Gyre" w:hAnsi="DejaVu Math TeX Gyre" w:eastAsia="sans-serif"/>
              <w:sz w:val="24"/>
            </w:rPr>
            <m:t>s=</m:t>
          </m:r>
          <m:rad>
            <m:radPr>
              <m:degHide m:val="1"/>
              <m:ctrlPr>
                <w:rPr>
                  <w:rFonts w:hint="default" w:ascii="DejaVu Math TeX Gyre" w:hAnsi="DejaVu Math TeX Gyre" w:eastAsia="sans-serif"/>
                  <w:i/>
                  <w:sz w:val="24"/>
                </w:rPr>
              </m:ctrlPr>
            </m:radPr>
            <m:deg>
              <m:ctrlPr>
                <w:rPr>
                  <w:rFonts w:ascii="DejaVu Math TeX Gyre" w:hAnsi="DejaVu Math TeX Gyre" w:eastAsia="sans-serif"/>
                  <w:sz w:val="24"/>
                </w:rPr>
              </m:ctrlPr>
            </m:deg>
            <m:e>
              <m:f>
                <m:fPr>
                  <m:ctrlPr>
                    <w:rPr>
                      <w:rFonts w:hint="default" w:ascii="DejaVu Math TeX Gyre" w:hAnsi="DejaVu Math TeX Gyre" w:eastAsia="sans-serif"/>
                      <w:i/>
                      <w:sz w:val="24"/>
                    </w:rPr>
                  </m:ctrlPr>
                </m:fPr>
                <m:num>
                  <m:nary>
                    <m:naryPr>
                      <m:chr m:val="∑"/>
                      <m:limLoc m:val="undOvr"/>
                      <m:ctrlPr>
                        <w:rPr>
                          <w:rFonts w:hint="default" w:ascii="DejaVu Math TeX Gyre" w:hAnsi="DejaVu Math TeX Gyre" w:eastAsia="sans-serif"/>
                          <w:sz w:val="24"/>
                        </w:rPr>
                      </m:ctrlPr>
                    </m:naryPr>
                    <m:sub>
                      <m:r>
                        <m:rPr/>
                        <w:rPr>
                          <w:rFonts w:hint="default" w:ascii="DejaVu Math TeX Gyre" w:hAnsi="DejaVu Math TeX Gyre" w:eastAsia="sans-serif"/>
                          <w:sz w:val="24"/>
                        </w:rPr>
                        <m:t>i=1</m:t>
                      </m:r>
                      <m:ctrlPr>
                        <w:rPr>
                          <w:rFonts w:ascii="DejaVu Math TeX Gyre" w:hAnsi="DejaVu Math TeX Gyre" w:eastAsia="sans-serif"/>
                          <w:sz w:val="24"/>
                        </w:rPr>
                      </m:ctrlPr>
                    </m:sub>
                    <m:sup>
                      <m:r>
                        <m:rPr/>
                        <w:rPr>
                          <w:rFonts w:hint="default" w:ascii="DejaVu Math TeX Gyre" w:hAnsi="DejaVu Math TeX Gyre" w:eastAsia="sans-serif"/>
                          <w:sz w:val="24"/>
                        </w:rPr>
                        <m:t>n</m:t>
                      </m:r>
                      <m:ctrlPr>
                        <w:rPr>
                          <w:rFonts w:ascii="DejaVu Math TeX Gyre" w:hAnsi="DejaVu Math TeX Gyre" w:eastAsia="sans-serif"/>
                          <w:sz w:val="24"/>
                        </w:rPr>
                      </m:ctrlPr>
                    </m:sup>
                    <m:e>
                      <m:r>
                        <m:rPr/>
                        <w:rPr>
                          <w:rFonts w:hint="default" w:ascii="DejaVu Math TeX Gyre" w:hAnsi="DejaVu Math TeX Gyre" w:eastAsia="sans-serif"/>
                          <w:sz w:val="24"/>
                        </w:rPr>
                        <m:t>(</m:t>
                      </m:r>
                      <m:ctrlPr>
                        <w:rPr>
                          <w:rFonts w:ascii="DejaVu Math TeX Gyre" w:hAnsi="DejaVu Math TeX Gyre" w:eastAsia="sans-serif"/>
                          <w:sz w:val="24"/>
                        </w:rPr>
                      </m:ctrlPr>
                    </m:e>
                  </m:nary>
                  <m:sSub>
                    <m:sSubPr>
                      <m:ctrlPr>
                        <w:rPr>
                          <w:rFonts w:hint="default" w:ascii="DejaVu Math TeX Gyre" w:hAnsi="DejaVu Math TeX Gyre" w:eastAsia="sans-serif"/>
                          <w:sz w:val="24"/>
                        </w:rPr>
                      </m:ctrlPr>
                    </m:sSubPr>
                    <m:e>
                      <m:r>
                        <m:rPr/>
                        <w:rPr>
                          <w:rFonts w:hint="default" w:ascii="DejaVu Math TeX Gyre" w:hAnsi="DejaVu Math TeX Gyre" w:eastAsia="sans-serif"/>
                          <w:sz w:val="24"/>
                        </w:rPr>
                        <m:t>x</m:t>
                      </m:r>
                      <m:ctrlPr>
                        <w:rPr>
                          <w:rFonts w:ascii="DejaVu Math TeX Gyre" w:hAnsi="DejaVu Math TeX Gyre" w:eastAsia="sans-serif"/>
                          <w:sz w:val="24"/>
                        </w:rPr>
                      </m:ctrlPr>
                    </m:e>
                    <m:sub>
                      <m:r>
                        <m:rPr/>
                        <w:rPr>
                          <w:rFonts w:hint="default" w:ascii="DejaVu Math TeX Gyre" w:hAnsi="DejaVu Math TeX Gyre" w:eastAsia="sans-serif"/>
                          <w:sz w:val="24"/>
                        </w:rPr>
                        <m:t>i</m:t>
                      </m:r>
                      <m:ctrlPr>
                        <w:rPr>
                          <w:rFonts w:ascii="DejaVu Math TeX Gyre" w:hAnsi="DejaVu Math TeX Gyre" w:eastAsia="sans-serif"/>
                          <w:sz w:val="24"/>
                        </w:rPr>
                      </m:ctrlPr>
                    </m:sub>
                  </m:sSub>
                  <m:r>
                    <m:rPr/>
                    <w:rPr>
                      <w:rFonts w:hint="default" w:ascii="DejaVu Math TeX Gyre" w:hAnsi="DejaVu Math TeX Gyre" w:eastAsia="sans-serif"/>
                      <w:sz w:val="24"/>
                    </w:rPr>
                    <m:t>−</m:t>
                  </m:r>
                  <m:acc>
                    <m:accPr>
                      <m:chr m:val="̄"/>
                      <m:ctrlPr>
                        <w:rPr>
                          <w:rFonts w:hint="default" w:ascii="DejaVu Math TeX Gyre" w:hAnsi="DejaVu Math TeX Gyre" w:eastAsia="sans-serif"/>
                          <w:sz w:val="24"/>
                        </w:rPr>
                      </m:ctrlPr>
                    </m:accPr>
                    <m:e>
                      <m:r>
                        <m:rPr/>
                        <w:rPr>
                          <w:rFonts w:hint="default" w:ascii="DejaVu Math TeX Gyre" w:hAnsi="DejaVu Math TeX Gyre" w:eastAsia="sans-serif"/>
                          <w:sz w:val="24"/>
                        </w:rPr>
                        <m:t>x</m:t>
                      </m:r>
                      <m:ctrlPr>
                        <w:rPr>
                          <w:rFonts w:ascii="DejaVu Math TeX Gyre" w:hAnsi="DejaVu Math TeX Gyre" w:eastAsia="sans-serif"/>
                          <w:sz w:val="24"/>
                        </w:rPr>
                      </m:ctrlPr>
                    </m:e>
                  </m:acc>
                  <m:sSup>
                    <m:sSupPr>
                      <m:ctrlPr>
                        <w:rPr>
                          <w:rFonts w:hint="default" w:ascii="DejaVu Math TeX Gyre" w:hAnsi="DejaVu Math TeX Gyre" w:eastAsia="sans-serif"/>
                          <w:sz w:val="24"/>
                        </w:rPr>
                      </m:ctrlPr>
                    </m:sSupPr>
                    <m:e>
                      <m:r>
                        <m:rPr/>
                        <w:rPr>
                          <w:rFonts w:hint="default" w:ascii="DejaVu Math TeX Gyre" w:hAnsi="DejaVu Math TeX Gyre" w:eastAsia="sans-serif"/>
                          <w:sz w:val="24"/>
                        </w:rPr>
                        <m:t>)</m:t>
                      </m:r>
                      <m:ctrlPr>
                        <w:rPr>
                          <w:rFonts w:ascii="DejaVu Math TeX Gyre" w:hAnsi="DejaVu Math TeX Gyre" w:eastAsia="sans-serif"/>
                          <w:sz w:val="24"/>
                        </w:rPr>
                      </m:ctrlPr>
                    </m:e>
                    <m:sup>
                      <m:r>
                        <m:rPr/>
                        <w:rPr>
                          <w:rFonts w:hint="default" w:ascii="DejaVu Math TeX Gyre" w:hAnsi="DejaVu Math TeX Gyre" w:eastAsia="sans-serif"/>
                          <w:sz w:val="24"/>
                        </w:rPr>
                        <m:t>2</m:t>
                      </m:r>
                      <m:ctrlPr>
                        <w:rPr>
                          <w:rFonts w:ascii="DejaVu Math TeX Gyre" w:hAnsi="DejaVu Math TeX Gyre" w:eastAsia="sans-serif"/>
                          <w:sz w:val="24"/>
                        </w:rPr>
                      </m:ctrlPr>
                    </m:sup>
                  </m:sSup>
                  <m:ctrlPr>
                    <w:rPr>
                      <w:rFonts w:hint="default" w:ascii="DejaVu Math TeX Gyre" w:hAnsi="DejaVu Math TeX Gyre" w:eastAsia="sans-serif"/>
                      <w:sz w:val="24"/>
                    </w:rPr>
                  </m:ctrlPr>
                </m:num>
                <m:den>
                  <m:r>
                    <m:rPr/>
                    <w:rPr>
                      <w:rFonts w:hint="default" w:ascii="DejaVu Math TeX Gyre" w:hAnsi="DejaVu Math TeX Gyre" w:eastAsia="sans-serif"/>
                      <w:sz w:val="24"/>
                    </w:rPr>
                    <m:t>n−1</m:t>
                  </m:r>
                  <m:ctrlPr>
                    <w:rPr>
                      <w:rFonts w:hint="default" w:ascii="DejaVu Math TeX Gyre" w:hAnsi="DejaVu Math TeX Gyre" w:eastAsia="sans-serif"/>
                      <w:sz w:val="24"/>
                    </w:rPr>
                  </m:ctrlPr>
                </m:den>
              </m:f>
              <m:ctrlPr>
                <w:rPr>
                  <w:rFonts w:hint="default" w:ascii="DejaVu Math TeX Gyre" w:hAnsi="DejaVu Math TeX Gyre" w:eastAsia="sans-serif"/>
                  <w:i/>
                  <w:sz w:val="24"/>
                </w:rPr>
              </m:ctrlPr>
            </m:e>
          </m:rad>
        </m:oMath>
      </m:oMathPara>
    </w:p>
    <w:p w14:paraId="612C6481">
      <w:pPr>
        <w:spacing w:line="360" w:lineRule="auto"/>
        <w:rPr>
          <w:rFonts w:hint="default" w:hAnsi="DejaVu Math TeX Gyre" w:eastAsia="宋体"/>
          <w:i w:val="0"/>
          <w:sz w:val="24"/>
          <w:lang w:val="en-US" w:eastAsia="zh-CN"/>
        </w:rPr>
      </w:pPr>
      <w:r>
        <w:rPr>
          <w:rFonts w:hint="default" w:hAnsi="DejaVu Math TeX Gyre" w:eastAsia="宋体"/>
          <w:i w:val="0"/>
          <w:sz w:val="24"/>
          <w:lang w:val="en-US" w:eastAsia="zh-CN"/>
        </w:rPr>
        <w:t>评估由环境随机微扰（如气流、地面振动）引起的测量值离散程度。该步骤旨在量化系统在实际工作环境下的短时重复性水平。</w:t>
      </w:r>
    </w:p>
    <w:p w14:paraId="6D163801">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r>
        <w:rPr>
          <w:rStyle w:val="31"/>
          <w:rFonts w:hint="eastAsia" w:ascii="宋体" w:hAnsi="宋体" w:eastAsia="宋体" w:cs="宋体"/>
          <w:b/>
          <w:bCs/>
          <w:color w:val="auto"/>
          <w:sz w:val="24"/>
          <w:szCs w:val="24"/>
          <w:highlight w:val="none"/>
          <w:lang w:val="en-US" w:eastAsia="zh-CN"/>
        </w:rPr>
        <w:t>B类不确定度</w:t>
      </w:r>
      <w:bookmarkEnd w:id="115"/>
    </w:p>
    <w:p w14:paraId="732748A9">
      <w:pPr>
        <w:spacing w:line="360" w:lineRule="auto"/>
        <w:ind w:firstLine="480" w:firstLineChars="200"/>
        <w:rPr>
          <w:rFonts w:hint="default" w:hAnsi="DejaVu Math TeX Gyre" w:eastAsia="宋体"/>
          <w:i w:val="0"/>
          <w:sz w:val="24"/>
          <w:lang w:val="en-US" w:eastAsia="zh-CN"/>
        </w:rPr>
      </w:pPr>
      <w:bookmarkStart w:id="116" w:name="_Toc817051840"/>
      <w:bookmarkStart w:id="117" w:name="_Toc1383633563"/>
      <w:bookmarkStart w:id="118" w:name="_Toc862724344"/>
      <w:r>
        <w:rPr>
          <w:rFonts w:hint="default" w:hAnsi="DejaVu Math TeX Gyre" w:eastAsia="宋体"/>
          <w:i w:val="0"/>
          <w:sz w:val="24"/>
          <w:lang w:val="en-US" w:eastAsia="zh-CN"/>
        </w:rPr>
        <w:t>采用仪器精度推算法。重点核查系统中各数字化及标定组件的技术指标：依据ADS1115手册给出的量化误差、标准电阻箱的精度等级以及标定用微型砝码的质量允差，分别确定各环节的标准不确定度分量。假设各仪器误差服从均匀分布，通过包含因子进行折算，以评估由于硬件性能极限带来的潜在测量偏差。</w:t>
      </w:r>
    </w:p>
    <w:p w14:paraId="6B06A91B">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19" w:name="_Toc1576151333"/>
      <w:r>
        <w:rPr>
          <w:rStyle w:val="31"/>
          <w:rFonts w:hint="eastAsia" w:ascii="宋体" w:hAnsi="宋体" w:eastAsia="宋体" w:cs="宋体"/>
          <w:b/>
          <w:bCs/>
          <w:color w:val="auto"/>
          <w:sz w:val="24"/>
          <w:szCs w:val="24"/>
          <w:highlight w:val="none"/>
          <w:lang w:val="en-US" w:eastAsia="zh-CN"/>
        </w:rPr>
        <w:t>合成标准不确定度</w:t>
      </w:r>
      <w:bookmarkEnd w:id="116"/>
      <w:bookmarkEnd w:id="117"/>
      <w:bookmarkEnd w:id="118"/>
      <w:bookmarkEnd w:id="119"/>
      <w:r>
        <w:rPr>
          <w:rStyle w:val="31"/>
          <w:rFonts w:hint="eastAsia" w:ascii="宋体" w:hAnsi="宋体" w:eastAsia="宋体" w:cs="宋体"/>
          <w:b/>
          <w:bCs/>
          <w:color w:val="auto"/>
          <w:sz w:val="24"/>
          <w:szCs w:val="24"/>
          <w:highlight w:val="none"/>
          <w:lang w:val="en-US" w:eastAsia="zh-CN"/>
        </w:rPr>
        <w:tab/>
      </w:r>
    </w:p>
    <w:p w14:paraId="2163F35B">
      <w:pPr>
        <w:spacing w:line="360" w:lineRule="auto"/>
        <w:ind w:firstLine="480" w:firstLineChars="200"/>
        <w:rPr>
          <w:rFonts w:hint="eastAsia"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执行误差传递建模。根据电流测量数学模型</w:t>
      </w:r>
      <m:oMath>
        <m:r>
          <m:rPr>
            <m:sty m:val="p"/>
          </m:rPr>
          <w:rPr>
            <w:rFonts w:hint="default" w:ascii="DejaVu Math TeX Gyre" w:hAnsi="DejaVu Math TeX Gyre" w:eastAsia="宋体" w:cs="Times New Roman Regular"/>
            <w:sz w:val="24"/>
            <w:szCs w:val="24"/>
            <w:lang w:val="en-US" w:eastAsia="zh-CN"/>
          </w:rPr>
          <m:t>I=f(x,k,B...)</m:t>
        </m:r>
      </m:oMath>
      <w:r>
        <w:rPr>
          <w:rFonts w:hint="default" w:ascii="Times New Roman Regular" w:hAnsi="Times New Roman Regular" w:eastAsia="宋体" w:cs="Times New Roman Regular"/>
          <w:sz w:val="24"/>
          <w:szCs w:val="24"/>
          <w:lang w:val="en-US" w:eastAsia="zh-CN"/>
        </w:rPr>
        <w:t>，分析各输入量（位移、劲度系数、磁感应强度）的相关性。在假设各分量相互独立的前提下，采用方差合成法则，将A类和B类不确定度分量进行平方和开根号运算，得出系统总体的合成标准不确定度，代表系统综合测量误差的概率分布宽度。</w:t>
      </w:r>
    </w:p>
    <w:p w14:paraId="7E6DEEF1">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20" w:name="_Toc1776363625"/>
      <w:bookmarkStart w:id="121" w:name="_Toc1164667986"/>
      <w:bookmarkStart w:id="122" w:name="_Toc1179835962"/>
      <w:bookmarkStart w:id="123" w:name="_Toc2145948711"/>
      <w:r>
        <w:rPr>
          <w:rStyle w:val="31"/>
          <w:rFonts w:hint="eastAsia" w:ascii="宋体" w:hAnsi="宋体" w:eastAsia="宋体" w:cs="宋体"/>
          <w:b/>
          <w:bCs/>
          <w:color w:val="auto"/>
          <w:sz w:val="24"/>
          <w:szCs w:val="24"/>
          <w:highlight w:val="none"/>
          <w:lang w:val="en-US" w:eastAsia="zh-CN"/>
        </w:rPr>
        <w:t>扩展不确定度</w:t>
      </w:r>
      <w:bookmarkEnd w:id="120"/>
      <w:bookmarkEnd w:id="121"/>
      <w:bookmarkEnd w:id="122"/>
      <w:bookmarkEnd w:id="123"/>
    </w:p>
    <w:p w14:paraId="0E4752AF">
      <w:pPr>
        <w:spacing w:line="360" w:lineRule="auto"/>
        <w:ind w:firstLine="480" w:firstLineChars="200"/>
        <w:rPr>
          <w:rFonts w:hint="default" w:ascii="Times New Roman Regular" w:hAnsi="Times New Roman Regular" w:eastAsia="宋体" w:cs="Times New Roman Regular"/>
          <w:sz w:val="24"/>
          <w:szCs w:val="24"/>
          <w:lang w:val="en-US" w:eastAsia="zh-CN"/>
        </w:rPr>
      </w:pPr>
      <w:bookmarkStart w:id="124" w:name="_Toc2119618059"/>
      <w:r>
        <w:rPr>
          <w:rFonts w:hint="default" w:ascii="Times New Roman Regular" w:hAnsi="Times New Roman Regular" w:eastAsia="宋体" w:cs="Times New Roman Regular"/>
          <w:sz w:val="24"/>
          <w:szCs w:val="24"/>
          <w:lang w:val="en-US" w:eastAsia="zh-CN"/>
        </w:rPr>
        <w:t>确定最终测量结果的可信范围。根据论文要求的置信概率（通常取 95%），选取包含因子</w:t>
      </w:r>
      <m:oMath>
        <m:r>
          <m:rPr>
            <m:nor/>
            <m:sty m:val="p"/>
          </m:rPr>
          <w:rPr>
            <w:rFonts w:hint="default" w:ascii="DejaVu Math TeX Gyre" w:hAnsi="DejaVu Math TeX Gyre" w:eastAsia="宋体" w:cs="Times New Roman Regular"/>
            <w:b w:val="0"/>
            <w:i w:val="0"/>
            <w:sz w:val="24"/>
            <w:szCs w:val="24"/>
            <w:lang w:val="en-US" w:eastAsia="zh-CN"/>
          </w:rPr>
          <m:t>k=2</m:t>
        </m:r>
      </m:oMath>
      <w:r>
        <w:rPr>
          <w:rFonts w:hint="default" w:ascii="Times New Roman Regular" w:hAnsi="Times New Roman Regular" w:eastAsia="宋体" w:cs="Times New Roman Regular"/>
          <w:sz w:val="24"/>
          <w:szCs w:val="24"/>
          <w:lang w:val="en-US" w:eastAsia="zh-CN"/>
        </w:rPr>
        <w:t>，将合成标准不确定度进行倍增得到扩展不确定度。该指标最终用于定义测量结果的有效位数及误差限，完成从“原始读数”到“具备计量学意义的实验结论”的科学转化。</w:t>
      </w:r>
    </w:p>
    <w:p w14:paraId="12342A3D">
      <w:pPr>
        <w:spacing w:line="360" w:lineRule="auto"/>
        <w:ind w:firstLine="480" w:firstLineChars="200"/>
        <w:rPr>
          <w:rFonts w:hint="default" w:ascii="Times New Roman Regular" w:hAnsi="Times New Roman Regular" w:eastAsia="宋体" w:cs="Times New Roman Regular"/>
          <w:sz w:val="24"/>
          <w:szCs w:val="24"/>
          <w:lang w:val="en-US" w:eastAsia="zh-CN"/>
        </w:rPr>
      </w:pPr>
    </w:p>
    <w:p w14:paraId="6545AA55">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25" w:name="_Toc2006648037"/>
      <w:r>
        <w:rPr>
          <w:rStyle w:val="31"/>
          <w:rFonts w:hint="eastAsia" w:ascii="Times New Roman" w:hAnsi="Times New Roman" w:eastAsia="黑体" w:cs="Times New Roman"/>
          <w:color w:val="auto"/>
          <w:sz w:val="28"/>
          <w:szCs w:val="28"/>
          <w:highlight w:val="none"/>
          <w:lang w:val="en-US" w:eastAsia="zh-CN"/>
        </w:rPr>
        <w:t>提升测量精度提升策略</w:t>
      </w:r>
      <w:bookmarkEnd w:id="124"/>
      <w:bookmarkEnd w:id="125"/>
      <w:bookmarkStart w:id="126" w:name="_Toc1786500583"/>
      <w:bookmarkStart w:id="127" w:name="_Toc1961981177"/>
    </w:p>
    <w:p w14:paraId="1AF597C1">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28" w:name="_Toc1717119564"/>
      <w:bookmarkStart w:id="129" w:name="_Toc366096151"/>
      <w:r>
        <w:rPr>
          <w:rStyle w:val="31"/>
          <w:rFonts w:hint="eastAsia" w:ascii="宋体" w:hAnsi="宋体" w:eastAsia="宋体" w:cs="宋体"/>
          <w:b/>
          <w:bCs/>
          <w:color w:val="auto"/>
          <w:sz w:val="24"/>
          <w:szCs w:val="24"/>
          <w:highlight w:val="none"/>
          <w:lang w:val="en-US" w:eastAsia="zh-CN"/>
        </w:rPr>
        <w:t>硬件优化</w:t>
      </w:r>
      <w:bookmarkEnd w:id="126"/>
      <w:bookmarkEnd w:id="127"/>
      <w:bookmarkEnd w:id="128"/>
      <w:bookmarkEnd w:id="129"/>
    </w:p>
    <w:p w14:paraId="443256DE">
      <w:pPr>
        <w:spacing w:line="360" w:lineRule="auto"/>
        <w:ind w:firstLine="480" w:firstLineChars="200"/>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硬件优化的重点在于物理环境的微调与加固，包括通过增加透明亚克力防风罩以有效隔绝室内气流对悬丝线圈的微扰，在支架底部加装橡胶减震垫以抑制地面及实验台振动传导至光路系统，同时通过优化激光发射器与PSD传感器的相对位置，确保光斑始终工作在感光面的高线性中心区域，从而减除边缘非线性带来的测量偏差。</w:t>
      </w:r>
    </w:p>
    <w:p w14:paraId="656A4B42">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30" w:name="_Toc437361202"/>
      <w:bookmarkStart w:id="131" w:name="_Toc406242154"/>
      <w:bookmarkStart w:id="132" w:name="_Toc1746429774"/>
      <w:bookmarkStart w:id="133" w:name="_Toc1743263762"/>
      <w:r>
        <w:rPr>
          <w:rStyle w:val="31"/>
          <w:rFonts w:hint="eastAsia" w:ascii="宋体" w:hAnsi="宋体" w:eastAsia="宋体" w:cs="宋体"/>
          <w:b/>
          <w:bCs/>
          <w:color w:val="auto"/>
          <w:sz w:val="24"/>
          <w:szCs w:val="24"/>
          <w:highlight w:val="none"/>
          <w:lang w:val="en-US" w:eastAsia="zh-CN"/>
        </w:rPr>
        <w:t>软件优化</w:t>
      </w:r>
      <w:bookmarkEnd w:id="130"/>
      <w:bookmarkEnd w:id="131"/>
      <w:bookmarkEnd w:id="132"/>
      <w:bookmarkEnd w:id="133"/>
    </w:p>
    <w:p w14:paraId="50D7CA0D">
      <w:pPr>
        <w:spacing w:line="360" w:lineRule="auto"/>
        <w:ind w:firstLine="480" w:firstLineChars="200"/>
        <w:rPr>
          <w:rFonts w:hint="eastAsia" w:ascii="Times New Roman Regular" w:hAnsi="Times New Roman Regular" w:eastAsia="宋体" w:cs="Times New Roman Regular"/>
          <w:sz w:val="24"/>
          <w:szCs w:val="24"/>
          <w:lang w:val="en-US" w:eastAsia="zh-CN"/>
        </w:rPr>
      </w:pPr>
      <w:bookmarkStart w:id="134" w:name="_Toc861368465"/>
      <w:bookmarkStart w:id="135" w:name="_Toc2040681980"/>
      <w:bookmarkStart w:id="136" w:name="_Toc438724422"/>
      <w:r>
        <w:rPr>
          <w:rFonts w:hint="eastAsia" w:ascii="Times New Roman Regular" w:hAnsi="Times New Roman Regular" w:eastAsia="宋体" w:cs="Times New Roman Regular"/>
          <w:sz w:val="24"/>
          <w:szCs w:val="24"/>
          <w:lang w:val="en-US" w:eastAsia="zh-CN"/>
        </w:rPr>
        <w:t>软件优化主要在嵌入式算法层面实施平滑处理，在Arduino程序中引入多组数据取平均值的滑动滤波逻辑，以滤除环境杂散光引起的瞬时跳变噪声；同时针对ADS1115的采样率进行优化匹配，使其工作在与机械固有频率相协调的速率下，通过过采样技术在软件端提升电压量化的有效位深度。</w:t>
      </w:r>
    </w:p>
    <w:p w14:paraId="320AB554">
      <w:pPr>
        <w:numPr>
          <w:ilvl w:val="2"/>
          <w:numId w:val="1"/>
        </w:numPr>
        <w:spacing w:line="360" w:lineRule="auto"/>
        <w:ind w:left="709" w:leftChars="0" w:hanging="709" w:firstLineChars="0"/>
        <w:jc w:val="left"/>
        <w:outlineLvl w:val="1"/>
        <w:rPr>
          <w:rStyle w:val="31"/>
          <w:rFonts w:hint="eastAsia" w:ascii="宋体" w:hAnsi="宋体" w:eastAsia="宋体" w:cs="宋体"/>
          <w:b/>
          <w:bCs/>
          <w:color w:val="auto"/>
          <w:sz w:val="24"/>
          <w:szCs w:val="24"/>
          <w:highlight w:val="none"/>
          <w:lang w:val="en-US" w:eastAsia="zh-CN"/>
        </w:rPr>
      </w:pPr>
      <w:bookmarkStart w:id="137" w:name="_Toc914651913"/>
      <w:bookmarkStart w:id="138" w:name="_Toc1650365371"/>
      <w:r>
        <w:rPr>
          <w:rStyle w:val="31"/>
          <w:rFonts w:hint="eastAsia" w:ascii="宋体" w:hAnsi="宋体" w:eastAsia="宋体" w:cs="宋体"/>
          <w:b/>
          <w:bCs/>
          <w:color w:val="auto"/>
          <w:sz w:val="24"/>
          <w:szCs w:val="24"/>
          <w:highlight w:val="none"/>
          <w:lang w:val="en-US" w:eastAsia="zh-CN"/>
        </w:rPr>
        <w:t>系统优化</w:t>
      </w:r>
      <w:bookmarkEnd w:id="134"/>
      <w:bookmarkEnd w:id="135"/>
      <w:bookmarkEnd w:id="136"/>
      <w:bookmarkEnd w:id="137"/>
      <w:bookmarkEnd w:id="138"/>
    </w:p>
    <w:p w14:paraId="6A612EF7">
      <w:pPr>
        <w:spacing w:line="360" w:lineRule="auto"/>
        <w:ind w:firstLine="480" w:firstLineChars="200"/>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系统优化侧重于操作流程与基准校准的规范化，例如在实验前等待激光器热漂移稳定后再进行测量，或者在测量序列中引入周期性的零点校准步骤，以抵消环境温度或地磁场慢漂移带来的影响，确保长周期测量的一致性。最后，可利用Rust配合PostgreSQL建立动态标定数据库，根据环境温度和工作时长动态调整劲度系数的修正参数。</w:t>
      </w:r>
    </w:p>
    <w:p w14:paraId="05D58D10">
      <w:pPr>
        <w:spacing w:line="360" w:lineRule="auto"/>
        <w:rPr>
          <w:rFonts w:hint="eastAsia" w:ascii="Times New Roman" w:hAnsi="Times New Roman" w:eastAsia="宋体" w:cs="Times New Roman"/>
          <w:color w:val="auto"/>
          <w:sz w:val="24"/>
          <w:highlight w:val="none"/>
        </w:rPr>
      </w:pPr>
    </w:p>
    <w:p w14:paraId="3F9C9011">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139" w:name="_Toc1330000403"/>
      <w:bookmarkStart w:id="140" w:name="_Toc1758232525"/>
      <w:bookmarkStart w:id="141" w:name="_Toc832526828"/>
      <w:bookmarkStart w:id="142" w:name="_Toc792005745"/>
      <w:r>
        <w:rPr>
          <w:rStyle w:val="31"/>
          <w:rFonts w:hint="eastAsia" w:ascii="Times New Roman" w:hAnsi="Times New Roman" w:eastAsia="黑体" w:cs="Times New Roman"/>
          <w:color w:val="auto"/>
          <w:sz w:val="32"/>
          <w:szCs w:val="32"/>
          <w:highlight w:val="none"/>
          <w:lang w:val="en-US" w:eastAsia="zh-CN"/>
        </w:rPr>
        <w:t>应用案例与效果分析</w:t>
      </w:r>
      <w:bookmarkEnd w:id="139"/>
      <w:bookmarkEnd w:id="140"/>
      <w:bookmarkEnd w:id="141"/>
      <w:bookmarkEnd w:id="142"/>
    </w:p>
    <w:p w14:paraId="3699D369">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43" w:name="_Toc1136912109"/>
      <w:bookmarkStart w:id="144" w:name="_Toc1422437991"/>
      <w:bookmarkStart w:id="145" w:name="_Toc159491598"/>
      <w:r>
        <w:rPr>
          <w:rStyle w:val="31"/>
          <w:rFonts w:hint="eastAsia" w:ascii="Times New Roman" w:hAnsi="Times New Roman" w:eastAsia="黑体" w:cs="Times New Roman"/>
          <w:color w:val="auto"/>
          <w:sz w:val="28"/>
          <w:szCs w:val="28"/>
          <w:highlight w:val="none"/>
          <w:lang w:val="en-US" w:eastAsia="zh-CN"/>
        </w:rPr>
        <w:t>光电效应实验</w:t>
      </w:r>
      <w:bookmarkEnd w:id="143"/>
      <w:bookmarkEnd w:id="144"/>
      <w:bookmarkEnd w:id="145"/>
    </w:p>
    <w:p w14:paraId="4D6B1301">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46" w:name="_Toc1127356333"/>
      <w:r>
        <w:rPr>
          <w:rStyle w:val="31"/>
          <w:rFonts w:hint="eastAsia" w:ascii="宋体" w:hAnsi="宋体" w:eastAsia="宋体" w:cs="宋体"/>
          <w:b/>
          <w:bCs/>
          <w:color w:val="auto"/>
          <w:sz w:val="24"/>
          <w:szCs w:val="24"/>
          <w:highlight w:val="none"/>
          <w:lang w:val="en-US" w:eastAsia="zh-CN"/>
        </w:rPr>
        <w:t>实验设置</w:t>
      </w:r>
      <w:bookmarkEnd w:id="146"/>
    </w:p>
    <w:p w14:paraId="431FDDC1">
      <w:pPr>
        <w:spacing w:line="360" w:lineRule="auto"/>
        <w:ind w:firstLine="480" w:firstLineChars="200"/>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本实验以悬丝式微弱电流测量系统为核心，替代传统光电效应实验中的灵敏检流计，以实现纳安级以下微弱光电流的精准测量。首先将光电管阴极输出的微弱光电流接入悬丝线圈回路，该线圈置于对称永磁体构建的均匀恒定磁场中。悬丝下端固定高反镜与配重，构成悬丝</w:t>
      </w:r>
      <w:r>
        <w:rPr>
          <w:rFonts w:hint="eastAsia" w:ascii="Times New Roman Regular" w:hAnsi="Times New Roman Regular"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线圈</w:t>
      </w:r>
      <w:r>
        <w:rPr>
          <w:rFonts w:hint="eastAsia" w:ascii="Times New Roman Regular" w:hAnsi="Times New Roman Regular"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反射镜一体化力学放大结构。激光源准直入射至反射镜，光斑投射至远端一维PSD位置传感器，形成光杠杆放大光路，反射镜至光屏距离固定为</w:t>
      </w:r>
      <m:oMath>
        <m:r>
          <m:rPr>
            <m:sty m:val="p"/>
          </m:rPr>
          <w:rPr>
            <w:rFonts w:hint="eastAsia" w:ascii="DejaVu Math TeX Gyre" w:hAnsi="DejaVu Math TeX Gyre" w:eastAsia="宋体" w:cs="Times New Roman Regular"/>
            <w:sz w:val="24"/>
            <w:szCs w:val="24"/>
            <w:lang w:val="en-US" w:eastAsia="zh-CN"/>
          </w:rPr>
          <m:t>D</m:t>
        </m:r>
      </m:oMath>
      <w:r>
        <w:rPr>
          <w:rFonts w:hint="eastAsia" w:ascii="Times New Roman Regular" w:hAnsi="Times New Roman Regular" w:eastAsia="宋体" w:cs="Times New Roman Regular"/>
          <w:sz w:val="24"/>
          <w:szCs w:val="24"/>
          <w:lang w:val="en-US" w:eastAsia="zh-CN"/>
        </w:rPr>
        <w:t>，以确保转角放大倍率稳定。PSD输出的微弱电流信号先经AD8628低噪声零漂移跨阻放大器转换为电压信号，再通过16位高精度ADC完成模数转换，最终由UNO完成数据读取、实时处理与数值输出。实验中固定光电管入射光波长，逐步改变入射光强，记录不同光强下PSD的光斑偏移量</w:t>
      </w:r>
      <m:oMath>
        <m:r>
          <m:rPr>
            <m:sty m:val="p"/>
          </m:rPr>
          <w:rPr>
            <w:rFonts w:hint="default" w:ascii="DejaVu Math TeX Gyre" w:hAnsi="DejaVu Math TeX Gyre" w:eastAsia="宋体" w:cs="Times New Roman Regular"/>
            <w:sz w:val="24"/>
            <w:szCs w:val="24"/>
            <w:lang w:val="en-US" w:eastAsia="zh-CN"/>
          </w:rPr>
          <m:t>x</m:t>
        </m:r>
      </m:oMath>
      <w:r>
        <w:rPr>
          <w:rFonts w:hint="eastAsia" w:ascii="Times New Roman Regular" w:hAnsi="Times New Roman Regular" w:eastAsia="宋体" w:cs="Times New Roman Regular"/>
          <w:sz w:val="24"/>
          <w:szCs w:val="24"/>
          <w:lang w:val="en-US" w:eastAsia="zh-CN"/>
        </w:rPr>
        <w:t>，随后计算对应的光电流，从而验证光电效应中光强与光电流的定量关系。</w:t>
      </w:r>
    </w:p>
    <w:p w14:paraId="62F81E10">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47" w:name="_Toc229671250"/>
      <w:r>
        <w:rPr>
          <w:rStyle w:val="31"/>
          <w:rFonts w:hint="eastAsia" w:ascii="宋体" w:hAnsi="宋体" w:eastAsia="宋体" w:cs="宋体"/>
          <w:b/>
          <w:bCs/>
          <w:color w:val="auto"/>
          <w:sz w:val="24"/>
          <w:szCs w:val="24"/>
          <w:highlight w:val="none"/>
          <w:lang w:val="en-US" w:eastAsia="zh-CN"/>
        </w:rPr>
        <w:t>实验结果</w:t>
      </w:r>
      <w:bookmarkEnd w:id="147"/>
    </w:p>
    <w:p w14:paraId="575598EC">
      <w:pPr>
        <w:spacing w:line="360" w:lineRule="auto"/>
        <w:ind w:firstLine="480" w:firstLineChars="200"/>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基于悬丝法的微弱电信号测量系统，可</w:t>
      </w:r>
      <w:r>
        <w:rPr>
          <w:rFonts w:hint="eastAsia" w:ascii="Times New Roman Regular" w:hAnsi="Times New Roman Regular" w:cs="Times New Roman Regular"/>
          <w:sz w:val="24"/>
          <w:szCs w:val="24"/>
          <w:lang w:val="en-US" w:eastAsia="zh-CN"/>
        </w:rPr>
        <w:t>基本</w:t>
      </w:r>
      <w:r>
        <w:rPr>
          <w:rFonts w:hint="default" w:ascii="Times New Roman Regular" w:hAnsi="Times New Roman Regular" w:eastAsia="宋体" w:cs="Times New Roman Regular"/>
          <w:sz w:val="24"/>
          <w:szCs w:val="24"/>
          <w:lang w:val="en-US" w:eastAsia="zh-CN"/>
        </w:rPr>
        <w:t>适配光电效应实验的微弱信号检测需求，为经典物理实验提供了更精准、更现代的测量手段。</w:t>
      </w:r>
    </w:p>
    <w:p w14:paraId="5115F67F">
      <w:pPr>
        <w:spacing w:line="360" w:lineRule="auto"/>
        <w:ind w:firstLine="480" w:firstLineChars="200"/>
        <w:rPr>
          <w:rFonts w:hint="eastAsia" w:ascii="Times New Roman Regular" w:hAnsi="Times New Roman Regular" w:eastAsia="宋体" w:cs="Times New Roman Regular"/>
          <w:sz w:val="24"/>
          <w:szCs w:val="24"/>
          <w:lang w:val="en-US" w:eastAsia="zh-CN"/>
        </w:rPr>
      </w:pPr>
    </w:p>
    <w:p w14:paraId="5ABA1D7D">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48" w:name="_Toc1919808604"/>
      <w:bookmarkStart w:id="149" w:name="_Toc1056585091"/>
      <w:bookmarkStart w:id="150" w:name="_Toc515696130"/>
      <w:r>
        <w:rPr>
          <w:rStyle w:val="31"/>
          <w:rFonts w:hint="eastAsia" w:ascii="Times New Roman" w:hAnsi="Times New Roman" w:eastAsia="黑体" w:cs="Times New Roman"/>
          <w:color w:val="auto"/>
          <w:sz w:val="28"/>
          <w:szCs w:val="28"/>
          <w:highlight w:val="none"/>
          <w:lang w:val="en-US" w:eastAsia="zh-CN"/>
        </w:rPr>
        <w:t>微弱光探测</w:t>
      </w:r>
      <w:bookmarkEnd w:id="148"/>
      <w:bookmarkEnd w:id="149"/>
      <w:bookmarkEnd w:id="150"/>
    </w:p>
    <w:p w14:paraId="21939792">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51" w:name="_Toc483347394"/>
      <w:r>
        <w:rPr>
          <w:rStyle w:val="31"/>
          <w:rFonts w:hint="eastAsia" w:ascii="宋体" w:hAnsi="宋体" w:eastAsia="宋体" w:cs="宋体"/>
          <w:b/>
          <w:bCs/>
          <w:color w:val="auto"/>
          <w:sz w:val="24"/>
          <w:szCs w:val="24"/>
          <w:highlight w:val="none"/>
          <w:lang w:val="en-US" w:eastAsia="zh-CN"/>
        </w:rPr>
        <w:t>探测极限测试</w:t>
      </w:r>
      <w:bookmarkEnd w:id="151"/>
    </w:p>
    <w:p w14:paraId="296BC3A5">
      <w:pPr>
        <w:spacing w:line="360" w:lineRule="auto"/>
        <w:ind w:firstLine="480" w:firstLineChars="200"/>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本测试以逐步衰减待测信号强度为核心方案，全面验证系统的微弱信号探测下限、噪声水平与长期稳定性。测试中采用逐级衰减片控制入射光强度，并将光电转换后的微弱电信号接入测量系统。固定悬丝参数、磁场强度、放大增益与ADC采样率后，逐步降低信号强度并记录系统可稳定识别的最小信号值。同时，系统连续工作8小时，监测零点漂移与噪声波动，以评估其长期稳定性。</w:t>
      </w:r>
    </w:p>
    <w:p w14:paraId="7086426D">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52" w:name="_Toc1836498004"/>
      <w:r>
        <w:rPr>
          <w:rStyle w:val="31"/>
          <w:rFonts w:hint="eastAsia" w:ascii="宋体" w:hAnsi="宋体" w:eastAsia="宋体" w:cs="宋体"/>
          <w:b/>
          <w:bCs/>
          <w:color w:val="auto"/>
          <w:sz w:val="24"/>
          <w:szCs w:val="24"/>
          <w:highlight w:val="none"/>
          <w:lang w:val="en-US" w:eastAsia="zh-CN"/>
        </w:rPr>
        <w:t>实际应用测试</w:t>
      </w:r>
      <w:bookmarkEnd w:id="152"/>
    </w:p>
    <w:p w14:paraId="380B044A">
      <w:pPr>
        <w:spacing w:line="360" w:lineRule="auto"/>
        <w:ind w:firstLine="480" w:firstLineChars="200"/>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对室内50Hz工频电磁辐射及无线通信弱场分量进行探测时，系统可清</w:t>
      </w:r>
      <w:r>
        <w:rPr>
          <w:rFonts w:hint="eastAsia" w:ascii="Times New Roman Regular" w:hAnsi="Times New Roman Regular" w:cs="Times New Roman Regular"/>
          <w:sz w:val="24"/>
          <w:szCs w:val="24"/>
          <w:lang w:val="en-US" w:eastAsia="zh-CN"/>
        </w:rPr>
        <w:t>晰地</w:t>
      </w:r>
      <w:r>
        <w:rPr>
          <w:rFonts w:hint="eastAsia" w:ascii="Times New Roman Regular" w:hAnsi="Times New Roman Regular" w:eastAsia="宋体" w:cs="Times New Roman Regular"/>
          <w:sz w:val="24"/>
          <w:szCs w:val="24"/>
          <w:lang w:val="en-US" w:eastAsia="zh-CN"/>
        </w:rPr>
        <w:t>捕捉空间微弱交变电场产生的感应电流，测量结果与专业电磁辐射仪偏差小于3%，从而验证了该系统在室内空间微弱电磁波探测和日常环境电磁辐射监测中的工程实用性。对夜光材料、生物微光及弱激光散射信号进行探测时，系统实现了从微弱光到微弱电再到光斑位移的完整转换，并可定量分析弱光辐射强度，证明了其在生物医学、光学材料等低照度弱光信号检测中的工程实用性。在无干扰的野外环境下，系统能够检测大气静电、空间电磁扰动及雷电前兆弱电磁信号，展示了其在科研级大气物理、空间电磁环境等自然微弱电信号监测中的工程实用性。</w:t>
      </w:r>
    </w:p>
    <w:p w14:paraId="6D1C9E74">
      <w:pPr>
        <w:spacing w:line="360" w:lineRule="auto"/>
        <w:ind w:firstLine="480" w:firstLineChars="200"/>
        <w:rPr>
          <w:rFonts w:hint="eastAsia" w:ascii="Times New Roman Regular" w:hAnsi="Times New Roman Regular" w:eastAsia="宋体" w:cs="Times New Roman Regular"/>
          <w:sz w:val="24"/>
          <w:szCs w:val="24"/>
          <w:lang w:val="en-US" w:eastAsia="zh-CN"/>
        </w:rPr>
      </w:pPr>
    </w:p>
    <w:p w14:paraId="41B5F3E9">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53" w:name="_Toc60857618"/>
      <w:bookmarkStart w:id="154" w:name="_Toc239494897"/>
      <w:bookmarkStart w:id="155" w:name="_Toc281411253"/>
      <w:r>
        <w:rPr>
          <w:rStyle w:val="31"/>
          <w:rFonts w:hint="eastAsia" w:ascii="Times New Roman" w:hAnsi="Times New Roman" w:eastAsia="黑体" w:cs="Times New Roman"/>
          <w:color w:val="auto"/>
          <w:sz w:val="28"/>
          <w:szCs w:val="28"/>
          <w:highlight w:val="none"/>
          <w:lang w:val="en-US" w:eastAsia="zh-CN"/>
        </w:rPr>
        <w:t>材料光电特性测试</w:t>
      </w:r>
      <w:bookmarkEnd w:id="153"/>
      <w:bookmarkEnd w:id="154"/>
      <w:bookmarkEnd w:id="155"/>
    </w:p>
    <w:p w14:paraId="105FFA8C">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56" w:name="_Toc806379401"/>
      <w:r>
        <w:rPr>
          <w:rStyle w:val="31"/>
          <w:rFonts w:hint="eastAsia" w:ascii="宋体" w:hAnsi="宋体" w:eastAsia="宋体" w:cs="宋体"/>
          <w:b/>
          <w:bCs/>
          <w:color w:val="auto"/>
          <w:sz w:val="24"/>
          <w:szCs w:val="24"/>
          <w:highlight w:val="none"/>
          <w:lang w:val="en-US" w:eastAsia="zh-CN"/>
        </w:rPr>
        <w:t>测试方法</w:t>
      </w:r>
      <w:bookmarkEnd w:id="156"/>
    </w:p>
    <w:p w14:paraId="36FE4D95">
      <w:pPr>
        <w:spacing w:line="360" w:lineRule="auto"/>
        <w:ind w:firstLine="480" w:firstLineChars="200"/>
        <w:rPr>
          <w:rFonts w:hint="eastAsia" w:ascii="Times New Roman Regular" w:hAnsi="Times New Roman Regular" w:eastAsia="宋体" w:cs="Times New Roman Regular"/>
          <w:sz w:val="24"/>
          <w:szCs w:val="24"/>
          <w:lang w:val="en-US" w:eastAsia="zh-CN"/>
        </w:rPr>
      </w:pPr>
      <w:bookmarkStart w:id="157" w:name="_Toc49296390"/>
      <w:r>
        <w:rPr>
          <w:rFonts w:hint="eastAsia" w:ascii="Times New Roman Regular" w:hAnsi="Times New Roman Regular" w:eastAsia="宋体" w:cs="Times New Roman Regular"/>
          <w:sz w:val="24"/>
          <w:szCs w:val="24"/>
          <w:lang w:val="en-US" w:eastAsia="zh-CN"/>
        </w:rPr>
        <w:t>本测试采用控制变量对比法，依托悬丝式微弱电信号测量系统，对不同光电材料的微弱响应信号、灵敏度、线性度与稳定性进行定量表征。首先以恒定光源照射待测光电材料，使其受光产生微弱光生电流并将该信号接入测量系统，通过PSD光斑偏移量计算微弱电信号大小，从而定量分析材料的光电转换特性。测试中固定入射光波长、光强、磁场强度、悬丝参数、放大增益与ADC采样率，仅改变待测光电材料（如硅光电池、锗光电池、有机光电薄膜和新型二维光电材料），以保证测试变量单一且数据可比。Arduino采集光斑位移数据后，依次通过公式计算光电流、换算光电响应灵敏度、进行线性拟合以分析响应线性度，并统计长时间信号波动来评估材料稳定性。</w:t>
      </w:r>
    </w:p>
    <w:p w14:paraId="53AC9154">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r>
        <w:rPr>
          <w:rStyle w:val="31"/>
          <w:rFonts w:hint="eastAsia" w:ascii="宋体" w:hAnsi="宋体" w:eastAsia="宋体" w:cs="宋体"/>
          <w:b/>
          <w:bCs/>
          <w:color w:val="auto"/>
          <w:sz w:val="24"/>
          <w:szCs w:val="24"/>
          <w:highlight w:val="none"/>
          <w:lang w:val="en-US" w:eastAsia="zh-CN"/>
        </w:rPr>
        <w:t>测试结果</w:t>
      </w:r>
      <w:bookmarkEnd w:id="157"/>
    </w:p>
    <w:p w14:paraId="38614789">
      <w:pPr>
        <w:spacing w:line="360" w:lineRule="auto"/>
        <w:ind w:firstLine="480" w:firstLineChars="200"/>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理想情况可精准捕捉材料μ</w:t>
      </w:r>
      <w:bookmarkStart w:id="185" w:name="_GoBack"/>
      <w:bookmarkEnd w:id="185"/>
      <w:r>
        <w:rPr>
          <w:rFonts w:hint="eastAsia" w:ascii="Times New Roman Regular" w:hAnsi="Times New Roman Regular" w:eastAsia="宋体" w:cs="Times New Roman Regular"/>
          <w:sz w:val="24"/>
          <w:szCs w:val="24"/>
          <w:lang w:val="en-US" w:eastAsia="zh-CN"/>
        </w:rPr>
        <w:t>V级微电压、pA级微电流变化，分辨率远超常规数字万用表、10位ADC采集模块，可识别材料极微弱的光电响应差异。</w:t>
      </w:r>
    </w:p>
    <w:p w14:paraId="06AE758A">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bookmarkStart w:id="158" w:name="_Toc1743222635"/>
      <w:r>
        <w:rPr>
          <w:rStyle w:val="31"/>
          <w:rFonts w:hint="eastAsia" w:ascii="宋体" w:hAnsi="宋体" w:eastAsia="宋体" w:cs="宋体"/>
          <w:b/>
          <w:bCs/>
          <w:color w:val="auto"/>
          <w:sz w:val="24"/>
          <w:szCs w:val="24"/>
          <w:highlight w:val="none"/>
          <w:lang w:val="en-US" w:eastAsia="zh-CN"/>
        </w:rPr>
        <w:t>应用价值</w:t>
      </w:r>
      <w:bookmarkEnd w:id="158"/>
    </w:p>
    <w:p w14:paraId="6DA4280A">
      <w:pPr>
        <w:numPr>
          <w:ilvl w:val="0"/>
          <w:numId w:val="0"/>
        </w:numPr>
        <w:spacing w:line="360" w:lineRule="auto"/>
        <w:ind w:leftChars="0" w:firstLine="480" w:firstLineChars="200"/>
        <w:jc w:val="left"/>
        <w:outlineLvl w:val="2"/>
        <w:rPr>
          <w:rStyle w:val="31"/>
          <w:rFonts w:hint="eastAsia" w:ascii="宋体" w:hAnsi="宋体" w:eastAsia="宋体" w:cs="宋体"/>
          <w:b/>
          <w:bCs/>
          <w:color w:val="auto"/>
          <w:sz w:val="24"/>
          <w:szCs w:val="24"/>
          <w:highlight w:val="none"/>
          <w:lang w:val="en-US" w:eastAsia="zh-CN"/>
        </w:rPr>
      </w:pPr>
      <w:r>
        <w:rPr>
          <w:rFonts w:hint="eastAsia" w:ascii="Times New Roman" w:hAnsi="Times New Roman" w:eastAsia="宋体" w:cs="Times New Roman"/>
          <w:color w:val="auto"/>
          <w:sz w:val="24"/>
          <w:highlight w:val="none"/>
          <w:lang w:val="en-US" w:eastAsia="zh-CN"/>
        </w:rPr>
        <w:t>作为工科物理实验的拓展装置，实现经典物理实验</w:t>
      </w:r>
      <w:r>
        <w:rPr>
          <w:rFonts w:hint="eastAsia" w:cs="Times New Roman"/>
          <w:color w:val="auto"/>
          <w:sz w:val="24"/>
          <w:highlight w:val="none"/>
          <w:lang w:val="en-US" w:eastAsia="zh-CN"/>
        </w:rPr>
        <w:t>与</w:t>
      </w:r>
      <w:r>
        <w:rPr>
          <w:rFonts w:hint="eastAsia" w:ascii="Times New Roman" w:hAnsi="Times New Roman" w:eastAsia="宋体" w:cs="Times New Roman"/>
          <w:color w:val="auto"/>
          <w:sz w:val="24"/>
          <w:highlight w:val="none"/>
          <w:lang w:val="en-US" w:eastAsia="zh-CN"/>
        </w:rPr>
        <w:t>现代电子技术的融合教学；同时可小型化改造，用于环境监测、安防探测、生物医学检测等工程场景的微弱光电信号采集。为新型光电材料、二维材料、有机光电薄膜的实验室基础表征提供低成本、高精度手段，弥补商用精密检测仪器成本高、操作复杂的不足</w:t>
      </w:r>
      <w:r>
        <w:rPr>
          <w:rStyle w:val="31"/>
          <w:rFonts w:hint="eastAsia" w:ascii="宋体" w:hAnsi="宋体" w:eastAsia="宋体" w:cs="宋体"/>
          <w:b/>
          <w:bCs/>
          <w:color w:val="auto"/>
          <w:sz w:val="24"/>
          <w:szCs w:val="24"/>
          <w:highlight w:val="none"/>
          <w:lang w:val="en-US" w:eastAsia="zh-CN"/>
        </w:rPr>
        <w:t>。</w:t>
      </w:r>
    </w:p>
    <w:p w14:paraId="0900FF6B">
      <w:pPr>
        <w:rPr>
          <w:rFonts w:hint="eastAsia" w:ascii="Times New Roman" w:hAnsi="Times New Roman" w:eastAsia="宋体" w:cs="Times New Roman"/>
          <w:color w:val="auto"/>
          <w:sz w:val="24"/>
          <w:highlight w:val="none"/>
        </w:rPr>
      </w:pPr>
      <w:r>
        <w:rPr>
          <w:rFonts w:hint="eastAsia" w:ascii="Times New Roman" w:hAnsi="Times New Roman" w:eastAsia="宋体" w:cs="Times New Roman"/>
          <w:color w:val="auto"/>
          <w:sz w:val="24"/>
          <w:highlight w:val="none"/>
        </w:rPr>
        <w:br w:type="page"/>
      </w:r>
    </w:p>
    <w:p w14:paraId="1416CAB0">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159" w:name="_Toc223430424"/>
      <w:bookmarkStart w:id="160" w:name="_Toc631769754"/>
      <w:bookmarkStart w:id="161" w:name="_Toc919938477"/>
      <w:bookmarkStart w:id="162" w:name="_Toc1239064955"/>
      <w:r>
        <w:rPr>
          <w:rStyle w:val="31"/>
          <w:rFonts w:hint="eastAsia" w:ascii="Times New Roman" w:hAnsi="Times New Roman" w:eastAsia="黑体" w:cs="Times New Roman"/>
          <w:color w:val="auto"/>
          <w:sz w:val="32"/>
          <w:szCs w:val="32"/>
          <w:highlight w:val="none"/>
          <w:lang w:val="en-US" w:eastAsia="zh-CN"/>
        </w:rPr>
        <w:t>系统局限性讨论</w:t>
      </w:r>
      <w:bookmarkEnd w:id="159"/>
      <w:bookmarkEnd w:id="160"/>
      <w:bookmarkEnd w:id="161"/>
      <w:bookmarkEnd w:id="162"/>
    </w:p>
    <w:p w14:paraId="231A0E2D">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63" w:name="_Toc1671208186"/>
      <w:bookmarkStart w:id="164" w:name="_Toc995104710"/>
      <w:bookmarkStart w:id="165" w:name="_Toc1393721212"/>
      <w:r>
        <w:rPr>
          <w:rStyle w:val="31"/>
          <w:rFonts w:hint="eastAsia" w:ascii="Times New Roman" w:hAnsi="Times New Roman" w:eastAsia="黑体" w:cs="Times New Roman"/>
          <w:color w:val="auto"/>
          <w:sz w:val="28"/>
          <w:szCs w:val="28"/>
          <w:highlight w:val="none"/>
          <w:lang w:val="en-US" w:eastAsia="zh-CN"/>
        </w:rPr>
        <w:t>性能局限性</w:t>
      </w:r>
      <w:bookmarkEnd w:id="163"/>
      <w:bookmarkEnd w:id="164"/>
      <w:bookmarkEnd w:id="165"/>
    </w:p>
    <w:p w14:paraId="6CD0A10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bookmarkStart w:id="166" w:name="_Toc1668272255"/>
      <w:r>
        <w:rPr>
          <w:rFonts w:hint="eastAsia" w:ascii="Times New Roman" w:hAnsi="Times New Roman" w:eastAsia="宋体" w:cs="Times New Roman"/>
          <w:color w:val="auto"/>
          <w:sz w:val="24"/>
          <w:highlight w:val="none"/>
          <w:lang w:val="en-US" w:eastAsia="zh-CN"/>
        </w:rPr>
        <w:t>系统的性能上限主要受限于机械悬丝的物理特性与动态响应范围。由于采用高灵敏度的扭转悬丝结构，系统在获得极低检测限的同时，不可避免地牺牲了量程宽度。当输入电流超过预设量程时，线圈偏转角过大可能导致反射光斑超出PSD探测器的有效感光区域，产生饱和失真。此外，机械谐振选频设计虽然提升了特定频率的增益，但也导致系统对非谐振频段信号的响应极度迟钝。由于机械系统的惯性较大，系统的阶跃响应时间较长，难以实现对高频瞬变信号的实时跟踪测量，其有效工作带宽较窄，主要局限于低频或准静态信号领域。</w:t>
      </w:r>
    </w:p>
    <w:p w14:paraId="42A9CB1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4FD81BF1">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67" w:name="_Toc122218134"/>
      <w:bookmarkStart w:id="168" w:name="_Toc1057362989"/>
      <w:r>
        <w:rPr>
          <w:rStyle w:val="31"/>
          <w:rFonts w:hint="eastAsia" w:ascii="Times New Roman" w:hAnsi="Times New Roman" w:eastAsia="黑体" w:cs="Times New Roman"/>
          <w:color w:val="auto"/>
          <w:sz w:val="28"/>
          <w:szCs w:val="28"/>
          <w:highlight w:val="none"/>
          <w:lang w:val="en-US" w:eastAsia="zh-CN"/>
        </w:rPr>
        <w:t>应用局限性</w:t>
      </w:r>
      <w:bookmarkEnd w:id="166"/>
      <w:bookmarkEnd w:id="167"/>
      <w:bookmarkEnd w:id="168"/>
    </w:p>
    <w:p w14:paraId="7405CE1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实际应用场景中，该系统对工作环境的苛刻要求限制了其便携化与工业化的普及。尽管设计中引入了电磁屏蔽与棉花团阻尼等物理防护措施，但系统对超低频地质振动与空气微扰动依然极其敏感，通常需要在配备气浮隔振台的实验室环境下才能达到理论精度。同时，光杠杆结构的准直过程较为</w:t>
      </w:r>
      <w:r>
        <w:rPr>
          <w:rFonts w:hint="eastAsia" w:cs="Times New Roman"/>
          <w:color w:val="auto"/>
          <w:sz w:val="24"/>
          <w:highlight w:val="none"/>
          <w:lang w:val="en-US" w:eastAsia="zh-CN"/>
        </w:rPr>
        <w:t>繁琐</w:t>
      </w:r>
      <w:r>
        <w:rPr>
          <w:rFonts w:hint="eastAsia" w:ascii="Times New Roman" w:hAnsi="Times New Roman" w:eastAsia="宋体" w:cs="Times New Roman"/>
          <w:color w:val="auto"/>
          <w:sz w:val="24"/>
          <w:highlight w:val="none"/>
          <w:lang w:val="en-US" w:eastAsia="zh-CN"/>
        </w:rPr>
        <w:t>，对镜面与探测器之间的几何位置关系要求极高，这使得系统在复杂工况或移动监测任务中的部署效率较低，主要适用于科研预研、教学演示等对环境可控性要求较高的静态实验场景。</w:t>
      </w:r>
    </w:p>
    <w:p w14:paraId="061D648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46E5CC45">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69" w:name="_Toc1125811606"/>
      <w:bookmarkStart w:id="170" w:name="_Toc1105294553"/>
      <w:bookmarkStart w:id="171" w:name="_Toc672577198"/>
      <w:r>
        <w:rPr>
          <w:rStyle w:val="31"/>
          <w:rFonts w:hint="eastAsia" w:ascii="Times New Roman" w:hAnsi="Times New Roman" w:eastAsia="黑体" w:cs="Times New Roman"/>
          <w:color w:val="auto"/>
          <w:sz w:val="28"/>
          <w:szCs w:val="28"/>
          <w:highlight w:val="none"/>
          <w:lang w:val="en-US" w:eastAsia="zh-CN"/>
        </w:rPr>
        <w:t>技术局限性</w:t>
      </w:r>
      <w:bookmarkEnd w:id="169"/>
      <w:bookmarkEnd w:id="170"/>
      <w:bookmarkEnd w:id="171"/>
    </w:p>
    <w:p w14:paraId="12C77F7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从技术架构来看，系统目前的采样与处理精度受限于控制器的运算能力与I2C总线的传输速率。在执行复杂的数字滤波算法或尝试更高采样率时UNO的处理器负载显著增大，限制了多通道扩展与更高级实时频谱分析的实现。此外，PSD传感器的暗电流与热噪声在高温环境下会显著上升，虽然归一化算法能对冲光强波动，但无法完全补偿半导体物理层面的热漂移。若要进一步提升技术指标，则需引入更高性能的32位处理平台（如STM32或高性能ARM架构主板）以及具备温控功能的探测器阵列。</w:t>
      </w:r>
    </w:p>
    <w:p w14:paraId="4DADA97E">
      <w:pPr>
        <w:rPr>
          <w:rFonts w:hint="eastAsia" w:ascii="Times New Roman" w:hAnsi="Times New Roman" w:eastAsia="宋体" w:cs="Times New Roman"/>
          <w:color w:val="auto"/>
          <w:sz w:val="24"/>
          <w:highlight w:val="none"/>
        </w:rPr>
      </w:pPr>
      <w:r>
        <w:rPr>
          <w:rFonts w:hint="eastAsia" w:ascii="Times New Roman" w:hAnsi="Times New Roman" w:eastAsia="宋体" w:cs="Times New Roman"/>
          <w:color w:val="auto"/>
          <w:sz w:val="24"/>
          <w:highlight w:val="none"/>
        </w:rPr>
        <w:br w:type="page"/>
      </w:r>
    </w:p>
    <w:p w14:paraId="716C060D">
      <w:pPr>
        <w:numPr>
          <w:ilvl w:val="0"/>
          <w:numId w:val="1"/>
        </w:numPr>
        <w:spacing w:line="360" w:lineRule="auto"/>
        <w:ind w:left="425" w:leftChars="0" w:hanging="425" w:firstLineChars="0"/>
        <w:jc w:val="left"/>
        <w:outlineLvl w:val="0"/>
        <w:rPr>
          <w:rStyle w:val="31"/>
          <w:rFonts w:hint="eastAsia" w:ascii="Times New Roman" w:hAnsi="Times New Roman" w:eastAsia="黑体" w:cs="Times New Roman"/>
          <w:color w:val="auto"/>
          <w:sz w:val="32"/>
          <w:szCs w:val="32"/>
          <w:highlight w:val="none"/>
          <w:lang w:val="en-US" w:eastAsia="zh-CN"/>
        </w:rPr>
      </w:pPr>
      <w:bookmarkStart w:id="172" w:name="_Toc815773726"/>
      <w:bookmarkStart w:id="173" w:name="_Toc952005721"/>
      <w:bookmarkStart w:id="174" w:name="_Toc37248325"/>
      <w:bookmarkStart w:id="175" w:name="_Toc1798532625"/>
      <w:r>
        <w:rPr>
          <w:rStyle w:val="31"/>
          <w:rFonts w:hint="eastAsia" w:ascii="Times New Roman" w:hAnsi="Times New Roman" w:eastAsia="黑体" w:cs="Times New Roman"/>
          <w:color w:val="auto"/>
          <w:sz w:val="32"/>
          <w:szCs w:val="32"/>
          <w:highlight w:val="none"/>
          <w:lang w:val="en-US" w:eastAsia="zh-CN"/>
        </w:rPr>
        <w:t>结论与展望</w:t>
      </w:r>
      <w:bookmarkEnd w:id="172"/>
      <w:bookmarkEnd w:id="173"/>
      <w:bookmarkEnd w:id="174"/>
      <w:bookmarkEnd w:id="175"/>
    </w:p>
    <w:p w14:paraId="18340864">
      <w:pPr>
        <w:numPr>
          <w:ilvl w:val="1"/>
          <w:numId w:val="1"/>
        </w:numPr>
        <w:spacing w:line="360" w:lineRule="auto"/>
        <w:ind w:left="567" w:leftChars="0" w:hanging="567" w:firstLineChars="0"/>
        <w:jc w:val="left"/>
        <w:outlineLvl w:val="1"/>
        <w:rPr>
          <w:rFonts w:hint="eastAsia" w:ascii="Times New Roman" w:hAnsi="Times New Roman" w:eastAsia="黑体" w:cs="Times New Roman"/>
          <w:bCs/>
          <w:color w:val="auto"/>
          <w:sz w:val="28"/>
          <w:szCs w:val="28"/>
          <w:highlight w:val="none"/>
          <w:shd w:val="clear" w:color="auto" w:fill="FFFFFF"/>
        </w:rPr>
      </w:pPr>
      <w:bookmarkStart w:id="176" w:name="_Toc2105496850"/>
      <w:bookmarkStart w:id="177" w:name="_Toc1606982697"/>
      <w:bookmarkStart w:id="178" w:name="_Toc1114856998"/>
      <w:r>
        <w:rPr>
          <w:rStyle w:val="31"/>
          <w:rFonts w:hint="eastAsia" w:ascii="Times New Roman" w:hAnsi="Times New Roman" w:eastAsia="黑体" w:cs="Times New Roman"/>
          <w:color w:val="auto"/>
          <w:sz w:val="28"/>
          <w:szCs w:val="28"/>
          <w:highlight w:val="none"/>
          <w:lang w:val="en-US" w:eastAsia="zh-CN"/>
        </w:rPr>
        <w:t>研究结论</w:t>
      </w:r>
      <w:bookmarkEnd w:id="176"/>
      <w:bookmarkEnd w:id="177"/>
      <w:bookmarkEnd w:id="178"/>
    </w:p>
    <w:p w14:paraId="02BB46F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本文设计并实现了一套基于Arduino嵌入式系统的微弱电信号测量平台，将传统磁电系检流计原理与现代光电传感技术相结合。通过构建“悬丝-线圈-反射镜”一体化力学放大结构，利用光杠杆原理</w:t>
      </w:r>
      <w:r>
        <w:rPr>
          <w:rFonts w:hint="eastAsia" w:cs="Times New Roman"/>
          <w:color w:val="auto"/>
          <w:sz w:val="24"/>
          <w:highlight w:val="none"/>
          <w:lang w:val="en-US" w:eastAsia="zh-CN"/>
        </w:rPr>
        <w:t>可以实现</w:t>
      </w:r>
      <w:r>
        <w:rPr>
          <w:rFonts w:hint="eastAsia" w:ascii="Times New Roman" w:hAnsi="Times New Roman" w:eastAsia="宋体" w:cs="Times New Roman"/>
          <w:color w:val="auto"/>
          <w:sz w:val="24"/>
          <w:highlight w:val="none"/>
          <w:lang w:val="en-US" w:eastAsia="zh-CN"/>
        </w:rPr>
        <w:t>物理层面的微小位移无损放大；在信号处理端，采用AD8628零漂移跨阻放大器与ADS1115高精度ADC解决了微弱信号的拾取与量化问题。实验测试表明，系统通过归一化算子</w:t>
      </w:r>
      <m:oMath>
        <m:r>
          <m:rPr>
            <m:sty m:val="p"/>
          </m:rPr>
          <w:rPr>
            <w:rFonts w:hint="eastAsia" w:ascii="Times New Roman" w:hAnsi="Times New Roman" w:eastAsia="宋体" w:cs="Times New Roman"/>
            <w:color w:val="auto"/>
            <w:sz w:val="24"/>
            <w:highlight w:val="none"/>
            <w:lang w:val="en-US" w:eastAsia="zh-CN"/>
          </w:rPr>
          <m:t>P</m:t>
        </m:r>
      </m:oMath>
      <w:r>
        <w:rPr>
          <w:rFonts w:hint="eastAsia" w:ascii="Times New Roman" w:hAnsi="Times New Roman" w:eastAsia="宋体" w:cs="Times New Roman"/>
          <w:color w:val="auto"/>
          <w:sz w:val="24"/>
          <w:highlight w:val="none"/>
          <w:lang w:val="en-US" w:eastAsia="zh-CN"/>
        </w:rPr>
        <w:t>的实时解调，有效抑制了光源波动及环境背景噪声</w:t>
      </w:r>
      <w:r>
        <w:rPr>
          <w:rFonts w:hint="eastAsia" w:cs="Times New Roman"/>
          <w:color w:val="auto"/>
          <w:sz w:val="24"/>
          <w:highlight w:val="none"/>
          <w:lang w:val="en-US" w:eastAsia="zh-CN"/>
        </w:rPr>
        <w:t>以</w:t>
      </w:r>
      <w:r>
        <w:rPr>
          <w:rFonts w:hint="eastAsia" w:ascii="Times New Roman" w:hAnsi="Times New Roman" w:eastAsia="宋体" w:cs="Times New Roman"/>
          <w:color w:val="auto"/>
          <w:sz w:val="24"/>
          <w:highlight w:val="none"/>
          <w:lang w:val="en-US" w:eastAsia="zh-CN"/>
        </w:rPr>
        <w:t>实现对纳安量级微弱电流的探测。本系统不仅在测量精度上达到了预期设计要求，且具备实时数字化输出与物理选频特性，为物理教学实验及低频微弱信号探测提供了一种低成本、高灵敏度的解决方案。</w:t>
      </w:r>
    </w:p>
    <w:p w14:paraId="2CDBCC0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74A088FF">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79" w:name="_Toc1803843807"/>
      <w:bookmarkStart w:id="180" w:name="_Toc606745311"/>
      <w:bookmarkStart w:id="181" w:name="_Toc850022684"/>
      <w:r>
        <w:rPr>
          <w:rStyle w:val="31"/>
          <w:rFonts w:hint="eastAsia" w:ascii="Times New Roman" w:hAnsi="Times New Roman" w:eastAsia="黑体" w:cs="Times New Roman"/>
          <w:color w:val="auto"/>
          <w:sz w:val="28"/>
          <w:szCs w:val="28"/>
          <w:highlight w:val="none"/>
          <w:lang w:val="en-US" w:eastAsia="zh-CN"/>
        </w:rPr>
        <w:t>研究创新点</w:t>
      </w:r>
      <w:bookmarkEnd w:id="179"/>
      <w:bookmarkEnd w:id="180"/>
      <w:bookmarkEnd w:id="181"/>
    </w:p>
    <w:p w14:paraId="0079A21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本研究在传统磁电系测量原理的基础上，结合现代微处理技术，其创新性主要体现在以下两个维度：</w:t>
      </w:r>
    </w:p>
    <w:p w14:paraId="7E65A57E">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r>
        <w:rPr>
          <w:rStyle w:val="31"/>
          <w:rFonts w:hint="eastAsia" w:ascii="宋体" w:hAnsi="宋体" w:eastAsia="宋体" w:cs="宋体"/>
          <w:b/>
          <w:bCs/>
          <w:color w:val="auto"/>
          <w:sz w:val="24"/>
          <w:szCs w:val="24"/>
          <w:highlight w:val="none"/>
          <w:lang w:val="en-US" w:eastAsia="zh-CN"/>
        </w:rPr>
        <w:t>跨学科融合的“力</w:t>
      </w:r>
      <w:r>
        <w:rPr>
          <w:rStyle w:val="31"/>
          <w:rFonts w:hint="eastAsia" w:ascii="宋体" w:hAnsi="宋体" w:cs="宋体"/>
          <w:b/>
          <w:bCs/>
          <w:color w:val="auto"/>
          <w:sz w:val="24"/>
          <w:szCs w:val="24"/>
          <w:highlight w:val="none"/>
          <w:lang w:val="en-US" w:eastAsia="zh-CN"/>
        </w:rPr>
        <w:t>－</w:t>
      </w:r>
      <w:r>
        <w:rPr>
          <w:rStyle w:val="31"/>
          <w:rFonts w:hint="eastAsia" w:ascii="宋体" w:hAnsi="宋体" w:eastAsia="宋体" w:cs="宋体"/>
          <w:b/>
          <w:bCs/>
          <w:color w:val="auto"/>
          <w:sz w:val="24"/>
          <w:szCs w:val="24"/>
          <w:highlight w:val="none"/>
          <w:lang w:val="en-US" w:eastAsia="zh-CN"/>
        </w:rPr>
        <w:t>光</w:t>
      </w:r>
      <w:r>
        <w:rPr>
          <w:rStyle w:val="31"/>
          <w:rFonts w:hint="eastAsia" w:ascii="宋体" w:hAnsi="宋体" w:cs="宋体"/>
          <w:b/>
          <w:bCs/>
          <w:color w:val="auto"/>
          <w:sz w:val="24"/>
          <w:szCs w:val="24"/>
          <w:highlight w:val="none"/>
          <w:lang w:val="en-US" w:eastAsia="zh-CN"/>
        </w:rPr>
        <w:t>－</w:t>
      </w:r>
      <w:r>
        <w:rPr>
          <w:rStyle w:val="31"/>
          <w:rFonts w:hint="eastAsia" w:ascii="宋体" w:hAnsi="宋体" w:eastAsia="宋体" w:cs="宋体"/>
          <w:b/>
          <w:bCs/>
          <w:color w:val="auto"/>
          <w:sz w:val="24"/>
          <w:szCs w:val="24"/>
          <w:highlight w:val="none"/>
          <w:lang w:val="en-US" w:eastAsia="zh-CN"/>
        </w:rPr>
        <w:t>电”多级级联检测装置设计</w:t>
      </w:r>
    </w:p>
    <w:p w14:paraId="08492E9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本研究打破了单一电学放大的局限，创新性地构建了物理层面的多级增益检测装置</w:t>
      </w:r>
    </w:p>
    <w:p w14:paraId="65061CC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物理增益链条：设计了“极细悬丝-轻质线圈</w:t>
      </w:r>
      <w:r>
        <w:rPr>
          <w:rFonts w:hint="eastAsia" w:cs="Times New Roman"/>
          <w:color w:val="auto"/>
          <w:sz w:val="24"/>
          <w:highlight w:val="none"/>
          <w:lang w:val="en-US" w:eastAsia="zh-CN"/>
        </w:rPr>
        <w:t>－</w:t>
      </w:r>
      <w:r>
        <w:rPr>
          <w:rFonts w:hint="eastAsia" w:ascii="Times New Roman" w:hAnsi="Times New Roman" w:eastAsia="宋体" w:cs="Times New Roman"/>
          <w:color w:val="auto"/>
          <w:sz w:val="24"/>
          <w:highlight w:val="none"/>
          <w:lang w:val="en-US" w:eastAsia="zh-CN"/>
        </w:rPr>
        <w:t>反射镜”一体化转动结构，利用扭转力学极高的灵敏度捕捉纳安级电信号激发的微弱力矩。配合光杠杆放大光路，将肉眼不可见的微小角位移转换为远端PSD感光面上的宏观毫米级位移。</w:t>
      </w:r>
    </w:p>
    <w:p w14:paraId="51181F9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物理滤波机制：通过精确计算线圈转动惯量与悬丝劲度系数，使检测装置具备特定的机械谐振频率。这种基于硬件结构的“物理带通滤波”相比传统的纯电子滤波，能够从源头上滤除高频电磁杂波和直流漂移，显著提升了信号在物理层面的信噪比。</w:t>
      </w:r>
    </w:p>
    <w:p w14:paraId="50EA14BC">
      <w:pPr>
        <w:numPr>
          <w:ilvl w:val="2"/>
          <w:numId w:val="1"/>
        </w:numPr>
        <w:spacing w:line="360" w:lineRule="auto"/>
        <w:ind w:left="709" w:leftChars="0" w:hanging="709" w:firstLineChars="0"/>
        <w:jc w:val="left"/>
        <w:outlineLvl w:val="2"/>
        <w:rPr>
          <w:rStyle w:val="31"/>
          <w:rFonts w:hint="eastAsia" w:ascii="宋体" w:hAnsi="宋体" w:eastAsia="宋体" w:cs="宋体"/>
          <w:b/>
          <w:bCs/>
          <w:color w:val="auto"/>
          <w:sz w:val="24"/>
          <w:szCs w:val="24"/>
          <w:highlight w:val="none"/>
          <w:lang w:val="en-US" w:eastAsia="zh-CN"/>
        </w:rPr>
      </w:pPr>
      <w:r>
        <w:rPr>
          <w:rStyle w:val="31"/>
          <w:rFonts w:hint="eastAsia" w:ascii="宋体" w:hAnsi="宋体" w:eastAsia="宋体" w:cs="宋体"/>
          <w:b/>
          <w:bCs/>
          <w:color w:val="auto"/>
          <w:sz w:val="24"/>
          <w:szCs w:val="24"/>
          <w:highlight w:val="none"/>
          <w:lang w:val="en-US" w:eastAsia="zh-CN"/>
        </w:rPr>
        <w:t>基于Arduino平台的嵌入式数字化解调与控制创新</w:t>
      </w:r>
    </w:p>
    <w:p w14:paraId="445AB5F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本研究充分发挥了Arduino嵌入式系统的灵活性，将传统的模拟测量仪器升级为具备自适应能力的数字化测量平台。</w:t>
      </w:r>
    </w:p>
    <w:p w14:paraId="58E244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归一化算子</w:t>
      </w:r>
      <m:oMath>
        <m:r>
          <m:rPr>
            <m:sty m:val="p"/>
          </m:rPr>
          <w:rPr>
            <w:rFonts w:hint="eastAsia" w:ascii="Times New Roman" w:hAnsi="Times New Roman" w:eastAsia="宋体" w:cs="Times New Roman"/>
            <w:color w:val="auto"/>
            <w:sz w:val="24"/>
            <w:highlight w:val="none"/>
            <w:lang w:val="en-US" w:eastAsia="zh-CN"/>
          </w:rPr>
          <m:t>P</m:t>
        </m:r>
      </m:oMath>
      <w:r>
        <w:rPr>
          <w:rFonts w:hint="eastAsia" w:ascii="Times New Roman" w:hAnsi="Times New Roman" w:eastAsia="宋体" w:cs="Times New Roman"/>
          <w:color w:val="auto"/>
          <w:sz w:val="24"/>
          <w:highlight w:val="none"/>
          <w:lang w:val="en-US" w:eastAsia="zh-CN"/>
        </w:rPr>
        <w:t>的软件算法实现：针对激光器功率波动这一行业难题，在Arduino固件层开发了位置解调算法。通过对两路模拟电压进行</w:t>
      </w:r>
      <m:oMath>
        <m:r>
          <m:rPr>
            <m:sty m:val="p"/>
          </m:rPr>
          <w:rPr>
            <w:rFonts w:hint="default" w:ascii="Times New Roman" w:hAnsi="Times New Roman" w:eastAsia="宋体" w:cs="Times New Roman"/>
            <w:color w:val="auto"/>
            <w:sz w:val="24"/>
            <w:highlight w:val="none"/>
            <w:lang w:val="en-US" w:eastAsia="zh-CN"/>
          </w:rPr>
          <m:t>P=</m:t>
        </m:r>
        <m:f>
          <m:fPr>
            <m:ctrlPr>
              <w:rPr>
                <w:rFonts w:hint="default" w:ascii="DejaVu Math TeX Gyre" w:hAnsi="DejaVu Math TeX Gyre" w:eastAsia="宋体" w:cs="Times New Roman"/>
                <w:color w:val="auto"/>
                <w:sz w:val="24"/>
                <w:highlight w:val="none"/>
                <w:lang w:val="en-US" w:eastAsia="zh-CN"/>
              </w:rPr>
            </m:ctrlPr>
          </m:fPr>
          <m:num>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V</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2</m:t>
                </m:r>
                <m:ctrlPr>
                  <w:rPr>
                    <w:rFonts w:hint="eastAsia" w:ascii="DejaVu Math TeX Gyre" w:hAnsi="DejaVu Math TeX Gyre" w:eastAsia="宋体" w:cs="Times New Roman"/>
                    <w:color w:val="auto"/>
                    <w:sz w:val="24"/>
                    <w:highlight w:val="none"/>
                    <w:lang w:val="en-US" w:eastAsia="zh-CN"/>
                  </w:rPr>
                </m:ctrlPr>
              </m:sub>
            </m:sSub>
            <m:r>
              <m:rPr>
                <m:sty m:val="p"/>
              </m:rPr>
              <w:rPr>
                <w:rFonts w:hint="default" w:ascii="Times New Roman" w:hAnsi="Times New Roman" w:eastAsia="宋体" w:cs="Times New Roman"/>
                <w:color w:val="auto"/>
                <w:sz w:val="24"/>
                <w:highlight w:val="none"/>
                <w:lang w:val="en-US" w:eastAsia="zh-CN"/>
              </w:rPr>
              <m:t>−</m:t>
            </m:r>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V</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1</m:t>
                </m:r>
                <m:ctrlPr>
                  <w:rPr>
                    <w:rFonts w:hint="eastAsia" w:ascii="DejaVu Math TeX Gyre" w:hAnsi="DejaVu Math TeX Gyre" w:eastAsia="宋体" w:cs="Times New Roman"/>
                    <w:color w:val="auto"/>
                    <w:sz w:val="24"/>
                    <w:highlight w:val="none"/>
                    <w:lang w:val="en-US" w:eastAsia="zh-CN"/>
                  </w:rPr>
                </m:ctrlPr>
              </m:sub>
            </m:sSub>
            <m:ctrlPr>
              <w:rPr>
                <w:rFonts w:hint="default" w:ascii="DejaVu Math TeX Gyre" w:hAnsi="DejaVu Math TeX Gyre" w:eastAsia="宋体" w:cs="Times New Roman"/>
                <w:color w:val="auto"/>
                <w:sz w:val="24"/>
                <w:highlight w:val="none"/>
                <w:lang w:val="en-US" w:eastAsia="zh-CN"/>
              </w:rPr>
            </m:ctrlPr>
          </m:num>
          <m:den>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V</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2</m:t>
                </m:r>
                <m:ctrlPr>
                  <w:rPr>
                    <w:rFonts w:hint="eastAsia" w:ascii="DejaVu Math TeX Gyre" w:hAnsi="DejaVu Math TeX Gyre" w:eastAsia="宋体" w:cs="Times New Roman"/>
                    <w:color w:val="auto"/>
                    <w:sz w:val="24"/>
                    <w:highlight w:val="none"/>
                    <w:lang w:val="en-US" w:eastAsia="zh-CN"/>
                  </w:rPr>
                </m:ctrlPr>
              </m:sub>
            </m:sSub>
            <m:r>
              <m:rPr>
                <m:sty m:val="p"/>
              </m:rPr>
              <w:rPr>
                <w:rFonts w:hint="default" w:ascii="Times New Roman" w:hAnsi="Times New Roman" w:eastAsia="宋体" w:cs="Times New Roman"/>
                <w:color w:val="auto"/>
                <w:sz w:val="24"/>
                <w:highlight w:val="none"/>
                <w:lang w:val="en-US" w:eastAsia="zh-CN"/>
              </w:rPr>
              <m:t>+</m:t>
            </m:r>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V</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1</m:t>
                </m:r>
                <m:ctrlPr>
                  <w:rPr>
                    <w:rFonts w:hint="eastAsia" w:ascii="DejaVu Math TeX Gyre" w:hAnsi="DejaVu Math TeX Gyre" w:eastAsia="宋体" w:cs="Times New Roman"/>
                    <w:color w:val="auto"/>
                    <w:sz w:val="24"/>
                    <w:highlight w:val="none"/>
                    <w:lang w:val="en-US" w:eastAsia="zh-CN"/>
                  </w:rPr>
                </m:ctrlPr>
              </m:sub>
            </m:sSub>
            <m:ctrlPr>
              <w:rPr>
                <w:rFonts w:hint="default" w:ascii="DejaVu Math TeX Gyre" w:hAnsi="DejaVu Math TeX Gyre" w:eastAsia="宋体" w:cs="Times New Roman"/>
                <w:color w:val="auto"/>
                <w:sz w:val="24"/>
                <w:highlight w:val="none"/>
                <w:lang w:val="en-US" w:eastAsia="zh-CN"/>
              </w:rPr>
            </m:ctrlPr>
          </m:den>
        </m:f>
      </m:oMath>
      <w:r>
        <w:rPr>
          <w:rFonts w:hint="eastAsia" w:ascii="Times New Roman" w:hAnsi="Times New Roman" w:eastAsia="宋体" w:cs="Times New Roman"/>
          <w:color w:val="auto"/>
          <w:sz w:val="24"/>
          <w:highlight w:val="none"/>
          <w:lang w:val="en-US" w:eastAsia="zh-CN"/>
        </w:rPr>
        <w:t>的实时差分比率运算，在软件逻辑中实现了共模噪声的自动对冲，使得测量系统不再依赖于恒定功率的激光源，增强了装置在复杂环境下的稳健性。</w:t>
      </w:r>
    </w:p>
    <w:p w14:paraId="2DC4C30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高精度嵌入式数据流处理：利用Arduino驱动16位高精度ADC配合零漂移跨阻放大技术，解决了微弱信号量化过程中的精度损失问题。系统实现了采集、滤波、量化、解调到实时OLED显示的完整嵌入式闭环处理，赋予了传统力学测量仪器智能化、可视化的特征，极大扩展了装置的工程应用价值。</w:t>
      </w:r>
    </w:p>
    <w:p w14:paraId="4BF7357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D7AB02F">
      <w:pPr>
        <w:numPr>
          <w:ilvl w:val="1"/>
          <w:numId w:val="1"/>
        </w:numPr>
        <w:spacing w:line="360" w:lineRule="auto"/>
        <w:ind w:left="567" w:leftChars="0" w:hanging="567" w:firstLineChars="0"/>
        <w:jc w:val="left"/>
        <w:outlineLvl w:val="1"/>
        <w:rPr>
          <w:rStyle w:val="31"/>
          <w:rFonts w:hint="eastAsia" w:ascii="Times New Roman" w:hAnsi="Times New Roman" w:eastAsia="黑体" w:cs="Times New Roman"/>
          <w:color w:val="auto"/>
          <w:sz w:val="28"/>
          <w:szCs w:val="28"/>
          <w:highlight w:val="none"/>
          <w:lang w:val="en-US" w:eastAsia="zh-CN"/>
        </w:rPr>
      </w:pPr>
      <w:bookmarkStart w:id="182" w:name="_Toc1270030144"/>
      <w:bookmarkStart w:id="183" w:name="_Toc1316086021"/>
      <w:bookmarkStart w:id="184" w:name="_Toc1176219550"/>
      <w:r>
        <w:rPr>
          <w:rStyle w:val="31"/>
          <w:rFonts w:hint="eastAsia" w:ascii="Times New Roman" w:hAnsi="Times New Roman" w:eastAsia="黑体" w:cs="Times New Roman"/>
          <w:color w:val="auto"/>
          <w:sz w:val="28"/>
          <w:szCs w:val="28"/>
          <w:highlight w:val="none"/>
          <w:lang w:val="en-US" w:eastAsia="zh-CN"/>
        </w:rPr>
        <w:t>未来展望</w:t>
      </w:r>
      <w:bookmarkEnd w:id="182"/>
      <w:bookmarkEnd w:id="183"/>
      <w:bookmarkEnd w:id="184"/>
    </w:p>
    <w:p w14:paraId="0E76CFB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尽管本系统已初步实现了微弱信号的精密测量，但仍存在优化空间，未来的研究可从以下方向展开：</w:t>
      </w:r>
    </w:p>
    <w:p w14:paraId="54BE8E2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系统集成化与便携化：目前系统对环境稳定性要求较高，未来可考虑引入主动隔振技术或开发一体化真空封装外壳，以减少空气微扰与声振噪声的影响，提升设备的场景适应性。</w:t>
      </w:r>
    </w:p>
    <w:p w14:paraId="6F370CE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处理性能的二次升级：受限于UNO的运算速度，目前采样率与复杂滤波算法之间存在瓶颈。后续可迁移至STM32或高性能ARM处理平台，引入FFT实时频谱分析功能，实现对宽频带信号的动态解析。</w:t>
      </w:r>
    </w:p>
    <w:p w14:paraId="168C5DA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多维感知与阵列扩展：尝试引入二维PSD传感器，探究多维偏转下的信号提取算法；或通过线圈阵列构建差分探测系统，进一步消除环境温漂及地磁波动带来的静态误差。</w:t>
      </w:r>
    </w:p>
    <w:p w14:paraId="2B420D1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1E07072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4E514E29">
      <w:pPr>
        <w:numPr>
          <w:ilvl w:val="0"/>
          <w:numId w:val="0"/>
        </w:numPr>
        <w:spacing w:line="360" w:lineRule="auto"/>
        <w:ind w:leftChars="0" w:firstLine="480" w:firstLineChars="200"/>
        <w:jc w:val="right"/>
        <w:outlineLvl w:val="2"/>
        <w:rPr>
          <w:rFonts w:hint="default"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——2026.4.19</w:t>
      </w:r>
    </w:p>
    <w:p w14:paraId="58B578B4">
      <w:pPr>
        <w:spacing w:line="360" w:lineRule="auto"/>
        <w:jc w:val="both"/>
        <w:rPr>
          <w:rFonts w:hint="eastAsia" w:eastAsia="黑体"/>
          <w:color w:val="auto"/>
          <w:sz w:val="32"/>
          <w:szCs w:val="32"/>
          <w:highlight w:val="none"/>
          <w:shd w:val="clear" w:color="auto" w:fill="FFFFFF"/>
        </w:rPr>
      </w:pPr>
    </w:p>
    <w:sectPr>
      <w:headerReference r:id="rId8" w:type="default"/>
      <w:footerReference r:id="rId9" w:type="default"/>
      <w:footnotePr>
        <w:numFmt w:val="decimalEnclosedCircleChinese"/>
        <w:numRestart w:val="eachPage"/>
      </w:footnotePr>
      <w:pgSz w:w="11906" w:h="16838"/>
      <w:pgMar w:top="1440" w:right="1083" w:bottom="1083" w:left="1440" w:header="850" w:footer="992" w:gutter="0"/>
      <w:pgBorders>
        <w:top w:val="none" w:sz="0" w:space="0"/>
        <w:left w:val="none" w:sz="0" w:space="0"/>
        <w:bottom w:val="none" w:sz="0" w:space="0"/>
        <w:right w:val="none" w:sz="0" w:space="0"/>
      </w:pgBorders>
      <w:pgNumType w:start="1"/>
      <w:cols w:space="720" w:num="1"/>
      <w:rtlGutter w:val="0"/>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仿宋_GB2312">
    <w:altName w:val="方正仿宋_GBK"/>
    <w:panose1 w:val="02010609030101010101"/>
    <w:charset w:val="00"/>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17BAF">
    <w:pPr>
      <w:pStyle w:val="14"/>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D4509C">
                          <w:pPr>
                            <w:pStyle w:val="14"/>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wps:txbx>
                    <wps:bodyPr wrap="none" lIns="0" tIns="0" rIns="0" bIns="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GNDkccBAACZAwAADgAAAGRycy9lMm9Eb2MueG1srVPNjtMwEL4j8Q6W&#10;79TZC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a+pISxy0O/PL92+XHr8vPr6TO&#10;8gwBGsy6D5iXxjd+xKVZ/IDOzHpU0eYv8iEYR3HPV3HlmIjIj+p1XVcYEhhbLojPHp6HCOmt9JZk&#10;o6URp1dE5af3kKbUJSVXc/5OG1MmaNxfDsTMHpZ7n3rMVhr340xo77sz8hlw8C11uOeUmHcOdc07&#10;shhxMfaLcQxRH/qyRLkehNfHhE2U3nKFCXYujBMr7Obtyivx571kPfxR2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2GNDkccBAACZAwAADgAAAAAAAAABACAAAAAeAQAAZHJzL2Uyb0RvYy54&#10;bWxQSwUGAAAAAAYABgBZAQAAVwUAAAAA&#10;">
              <v:fill on="f" focussize="0,0"/>
              <v:stroke on="f"/>
              <v:imagedata o:title=""/>
              <o:lock v:ext="edit" aspectratio="f"/>
              <v:textbox inset="0mm,0mm,0mm,0mm" style="mso-fit-shape-to-text:t;">
                <w:txbxContent>
                  <w:p w14:paraId="28D4509C">
                    <w:pPr>
                      <w:pStyle w:val="14"/>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ED21">
    <w:pPr>
      <w:pStyle w:val="14"/>
      <w:jc w:val="both"/>
      <w:rPr>
        <w:bCs/>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0" b="0"/>
              <wp:wrapNone/>
              <wp:docPr id="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0291D9DC">
                          <w:pPr>
                            <w:pStyle w:val="14"/>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22.25pt;height:0.75pt;width:167.25pt;mso-position-horizontal:right;mso-position-horizontal-relative:margin;mso-wrap-style:none;z-index:251659264;mso-width-relative:page;mso-height-relative:page;" filled="f" stroked="f" coordsize="21600,21600" o:gfxdata="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&#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zxRhDTAAAABgEAAA8AAAAAAAAAAQAgAAAAIgAAAGRy&#10;cy9kb3ducmV2LnhtbFBLAQIUABQAAAAIAIdO4kB1LPmdCgIAABMEAAAOAAAAAAAAAAEAIAAAACIB&#10;AABkcnMvZTJvRG9jLnhtbFBLBQYAAAAABgAGAFkBAACeBQAAAAA=&#10;">
              <v:fill on="f" focussize="0,0"/>
              <v:stroke on="f"/>
              <v:imagedata o:title=""/>
              <o:lock v:ext="edit" aspectratio="f"/>
              <v:textbox inset="0mm,0mm,0mm,0mm" style="mso-fit-shape-to-text:t;">
                <w:txbxContent>
                  <w:p w14:paraId="0291D9DC">
                    <w:pPr>
                      <w:pStyle w:val="14"/>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73C82">
    <w:pPr>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288290" cy="182880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88290" cy="1828800"/>
                      </a:xfrm>
                      <a:prstGeom prst="rect">
                        <a:avLst/>
                      </a:prstGeom>
                      <a:noFill/>
                      <a:ln>
                        <a:noFill/>
                      </a:ln>
                    </wps:spPr>
                    <wps:txbx>
                      <w:txbxContent>
                        <w:p w14:paraId="5C79EE95">
                          <w:pPr>
                            <w:pStyle w:val="14"/>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wps:txbx>
                    <wps:bodyPr vert="horz" wrap="square" lIns="0" tIns="0" rIns="0" bIns="0" anchor="t" anchorCtr="0" upright="0">
                      <a:spAutoFit/>
                    </wps:bodyPr>
                  </wps:wsp>
                </a:graphicData>
              </a:graphic>
            </wp:anchor>
          </w:drawing>
        </mc:Choice>
        <mc:Fallback>
          <w:pict>
            <v:shape id="文本框 9" o:spid="_x0000_s1026" o:spt="202" type="#_x0000_t202" style="position:absolute;left:0pt;margin-top:0pt;height:144pt;width:22.7pt;mso-position-horizontal:center;mso-position-horizontal-relative:margin;z-index:251661312;mso-width-relative:page;mso-height-relative:page;" filled="f" stroked="f" coordsize="21600,21600" o:gfxdata="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vx0r/TAAAABAEAAA8A&#10;AAAAAAAAAQAgAAAAIgAAAGRycy9kb3ducmV2LnhtbFBLAQIUABQAAAAIAIdO4kAkg8PG4wEAAL8D&#10;AAAOAAAAAAAAAAEAIAAAACIBAABkcnMvZTJvRG9jLnhtbFBLBQYAAAAABgAGAFkBAAB3BQAAAAA=&#10;">
              <v:fill on="f" focussize="0,0"/>
              <v:stroke on="f"/>
              <v:imagedata o:title=""/>
              <o:lock v:ext="edit" aspectratio="f"/>
              <v:textbox inset="0mm,0mm,0mm,0mm" style="mso-fit-shape-to-text:t;">
                <w:txbxContent>
                  <w:p w14:paraId="5C79EE95">
                    <w:pPr>
                      <w:pStyle w:val="14"/>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28AA8EA0">
      <w:pPr>
        <w:pStyle w:val="17"/>
        <w:snapToGrid w:val="0"/>
      </w:pPr>
      <w:r>
        <w:rPr>
          <w:rStyle w:val="32"/>
        </w:rPr>
        <w:footnoteRef/>
      </w:r>
      <w:r>
        <w:t xml:space="preserve"> </w:t>
      </w:r>
      <w:r>
        <w:rPr>
          <w:lang w:val="en-US" w:eastAsia="zh-CN"/>
        </w:rPr>
        <w:t>各模块边界以功能划分，实际电路中部分元件功能存在交叉，下文将按功能逻辑分别介绍</w:t>
      </w:r>
      <w:r>
        <w:rPr>
          <w:rFonts w:hint="eastAsia"/>
          <w:lang w:val="en-US" w:eastAsia="zh-CN"/>
        </w:rPr>
        <w:t>。</w:t>
      </w:r>
    </w:p>
    <w:p w14:paraId="4B491BC2">
      <w:pPr>
        <w:pStyle w:val="17"/>
        <w:snapToGrid w:val="0"/>
      </w:pPr>
    </w:p>
  </w:footnote>
  <w:footnote w:id="1">
    <w:p w14:paraId="21BC3908">
      <w:pPr>
        <w:pStyle w:val="17"/>
        <w:snapToGrid w:val="0"/>
        <w:rPr>
          <w:rFonts w:hint="default" w:hAnsi="DejaVu Math TeX Gyre" w:eastAsia="宋体" w:cs="Times New Roman"/>
          <w:i w:val="0"/>
          <w:kern w:val="2"/>
          <w:sz w:val="18"/>
          <w:szCs w:val="18"/>
          <w:lang w:val="en-US" w:eastAsia="zh-CN" w:bidi="ar-SA"/>
        </w:rPr>
      </w:pPr>
      <w:r>
        <w:rPr>
          <w:rStyle w:val="32"/>
        </w:rPr>
        <w:footnoteRef/>
      </w:r>
      <w:r>
        <w:t xml:space="preserve"> </w:t>
      </w:r>
      <w:r>
        <w:rPr>
          <w:rFonts w:hint="eastAsia"/>
          <w:lang w:val="en-US" w:eastAsia="zh-CN"/>
        </w:rPr>
        <w:t>实际操作时应保证</w:t>
      </w:r>
      <m:oMath>
        <m:r>
          <m:rPr/>
          <w:rPr>
            <w:rFonts w:hint="default" w:ascii="DejaVu Math TeX Gyre" w:hAnsi="DejaVu Math TeX Gyre"/>
            <w:sz w:val="18"/>
          </w:rPr>
          <m:t>θ&lt;=</m:t>
        </m:r>
        <m:sSup>
          <m:sSupPr>
            <m:ctrlPr>
              <w:rPr>
                <w:rFonts w:hint="default" w:ascii="DejaVu Math TeX Gyre" w:hAnsi="DejaVu Math TeX Gyre"/>
                <w:sz w:val="18"/>
              </w:rPr>
            </m:ctrlPr>
          </m:sSupPr>
          <m:e>
            <m:r>
              <m:rPr/>
              <w:rPr>
                <w:rFonts w:hint="default" w:ascii="DejaVu Math TeX Gyre" w:hAnsi="DejaVu Math TeX Gyre"/>
                <w:sz w:val="18"/>
              </w:rPr>
              <m:t>5</m:t>
            </m:r>
            <m:ctrlPr>
              <w:rPr>
                <w:rFonts w:ascii="DejaVu Math TeX Gyre" w:hAnsi="DejaVu Math TeX Gyre"/>
                <w:sz w:val="18"/>
              </w:rPr>
            </m:ctrlPr>
          </m:e>
          <m:sup>
            <m:r>
              <m:rPr/>
              <w:rPr>
                <w:rFonts w:hint="default" w:ascii="DejaVu Math TeX Gyre" w:hAnsi="DejaVu Math TeX Gyre"/>
                <w:sz w:val="18"/>
              </w:rPr>
              <m:t>∘</m:t>
            </m:r>
            <m:ctrlPr>
              <w:rPr>
                <w:rFonts w:ascii="DejaVu Math TeX Gyre" w:hAnsi="DejaVu Math TeX Gyre"/>
                <w:sz w:val="18"/>
              </w:rPr>
            </m:ctrlPr>
          </m:sup>
        </m:sSup>
      </m:oMath>
      <w:r>
        <w:rPr>
          <w:rFonts w:hint="eastAsia" w:hAnsi="DejaVu Math TeX Gyre"/>
          <w:i w:val="0"/>
          <w:sz w:val="18"/>
          <w:lang w:val="en-US" w:eastAsia="zh-CN"/>
        </w:rPr>
        <w:t>以控制非线性误差在</w:t>
      </w:r>
      <m:oMath>
        <m:r>
          <m:rPr>
            <m:sty m:val="p"/>
          </m:rPr>
          <w:rPr>
            <w:rFonts w:hint="eastAsia" w:ascii="DejaVu Math TeX Gyre" w:hAnsi="DejaVu Math TeX Gyre" w:cs="Times New Roman"/>
            <w:kern w:val="2"/>
            <w:sz w:val="18"/>
            <w:szCs w:val="18"/>
            <w:lang w:val="en-US" w:eastAsia="zh-CN" w:bidi="ar-SA"/>
          </w:rPr>
          <m:t>1%</m:t>
        </m:r>
      </m:oMath>
      <w:r>
        <w:rPr>
          <w:rFonts w:hint="eastAsia" w:hAnsi="DejaVu Math TeX Gyre"/>
          <w:i w:val="0"/>
          <w:sz w:val="18"/>
          <w:lang w:val="en-US" w:eastAsia="zh-CN"/>
        </w:rPr>
        <w:t>以内。</w:t>
      </w:r>
    </w:p>
  </w:footnote>
  <w:footnote w:id="2">
    <w:p w14:paraId="5EC43EFD">
      <w:pPr>
        <w:pStyle w:val="17"/>
        <w:snapToGrid w:val="0"/>
      </w:pPr>
      <w:r>
        <w:rPr>
          <w:rStyle w:val="32"/>
        </w:rPr>
        <w:footnoteRef/>
      </w:r>
      <w:r>
        <w:t xml:space="preserve"> </w:t>
      </w:r>
      <w:r>
        <w:rPr>
          <w:lang w:val="en-US" w:eastAsia="zh-CN"/>
        </w:rPr>
        <w:t>本系统采用</w:t>
      </w:r>
      <w:r>
        <w:rPr>
          <w:rFonts w:hint="default"/>
          <w:lang w:val="en-US" w:eastAsia="zh-CN"/>
        </w:rPr>
        <w:t xml:space="preserve"> </w:t>
      </w:r>
      <m:oMath>
        <m:r>
          <m:rPr/>
          <w:rPr>
            <w:rFonts w:hint="default" w:ascii="DejaVu Math TeX Gyre" w:hAnsi="DejaVu Math TeX Gyre"/>
            <w:sz w:val="18"/>
          </w:rPr>
          <m:t>U=I</m:t>
        </m:r>
        <m:r>
          <m:rPr/>
          <w:rPr>
            <w:rFonts w:hint="default" w:ascii="DejaVu Math TeX Gyre" w:hAnsi="DejaVu Math TeX Gyre"/>
            <w:sz w:val="24"/>
          </w:rPr>
          <m:t>⋅</m:t>
        </m:r>
        <m:r>
          <m:rPr/>
          <w:rPr>
            <w:rFonts w:hint="default" w:ascii="DejaVu Math TeX Gyre" w:hAnsi="DejaVu Math TeX Gyre"/>
            <w:sz w:val="18"/>
          </w:rPr>
          <m:t>Z</m:t>
        </m:r>
      </m:oMath>
      <w:r>
        <w:rPr>
          <w:rFonts w:hint="default" w:hAnsi="DejaVu Math TeX Gyre"/>
          <w:i w:val="0"/>
          <w:sz w:val="18"/>
          <w:lang w:val="en-US"/>
        </w:rPr>
        <w:t xml:space="preserve"> </w:t>
      </w:r>
      <w:r>
        <w:rPr>
          <w:lang w:val="en-US" w:eastAsia="zh-CN"/>
        </w:rPr>
        <w:t>反推电压时，</w:t>
      </w:r>
      <w:r>
        <w:rPr>
          <w:rFonts w:hint="default"/>
          <w:lang w:val="en-US" w:eastAsia="zh-CN"/>
        </w:rPr>
        <w:t>仅适用于待测信号为远场平面电磁波的情形。对于近场耦合源，该公式不适用，此时</w:t>
      </w:r>
      <w:r>
        <w:rPr>
          <w:rFonts w:hint="eastAsia"/>
          <w:lang w:val="en-US" w:eastAsia="zh-CN"/>
        </w:rPr>
        <w:t>不做电压值的计算，</w:t>
      </w:r>
      <w:r>
        <w:rPr>
          <w:rFonts w:hint="default"/>
          <w:lang w:val="en-US" w:eastAsia="zh-CN"/>
        </w:rPr>
        <w:t>仅输出电流值。</w:t>
      </w:r>
    </w:p>
    <w:p w14:paraId="6D9CB82A">
      <w:pPr>
        <w:pStyle w:val="17"/>
        <w:snapToGrid w:val="0"/>
      </w:pPr>
    </w:p>
  </w:footnote>
  <w:footnote w:id="3">
    <w:p w14:paraId="67ECBCB7">
      <w:pPr>
        <w:pStyle w:val="17"/>
        <w:snapToGrid w:val="0"/>
        <w:rPr>
          <w:rFonts w:hint="default" w:eastAsia="宋体"/>
          <w:lang w:val="en-US" w:eastAsia="zh-CN"/>
        </w:rPr>
      </w:pPr>
      <w:r>
        <w:rPr>
          <w:rStyle w:val="32"/>
        </w:rPr>
        <w:footnoteRef/>
      </w:r>
      <w:r>
        <w:t xml:space="preserve"> </w:t>
      </w:r>
      <w:r>
        <w:rPr>
          <w:rFonts w:hint="eastAsia"/>
          <w:lang w:val="en-US" w:eastAsia="zh-CN"/>
        </w:rPr>
        <w:t>本节中的占比采用“四舍六入五成双”的算法，占比仅供分析参考。</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07F3A">
    <w:pPr>
      <w:pStyle w:val="15"/>
      <w:pBdr>
        <w:bottom w:val="none" w:color="auto" w:sz="0" w:space="0"/>
      </w:pBdr>
      <w:rPr>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D4B9D">
    <w:pPr>
      <w:jc w:val="center"/>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2410">
    <w:pPr>
      <w:pBdr>
        <w:bottom w:val="single" w:color="auto" w:sz="4" w:space="0"/>
      </w:pBdr>
      <w:jc w:val="center"/>
      <w:rPr>
        <w:rFonts w:hint="default"/>
        <w:sz w:val="18"/>
        <w:szCs w:val="21"/>
        <w:lang w:val="en-US" w:eastAsia="zh-CN"/>
      </w:rPr>
    </w:pPr>
    <w:r>
      <w:rPr>
        <w:rFonts w:hint="eastAsia"/>
        <w:sz w:val="18"/>
        <w:szCs w:val="21"/>
        <w:lang w:val="en-US" w:eastAsia="zh-CN"/>
      </w:rPr>
      <w:t>基于Arduino嵌入式开发的微弱电信号测量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7E8884"/>
    <w:multiLevelType w:val="multilevel"/>
    <w:tmpl w:val="757E888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1"/>
    </o:shapelayout>
  </w:hdrShapeDefaults>
  <w:footnotePr>
    <w:footnote w:id="8"/>
    <w:footnote w:id="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2NDEzYjgzYmE5YWE1MjM4ODkyYTMxOTA1ZDI1NTkifQ=="/>
    <w:docVar w:name="KSO_WPS_MARK_KEY" w:val="736560f8-3333-485c-9b80-7ee864f47c17"/>
  </w:docVars>
  <w:rsids>
    <w:rsidRoot w:val="00C026EC"/>
    <w:rsid w:val="000227D6"/>
    <w:rsid w:val="000239E9"/>
    <w:rsid w:val="00042D0F"/>
    <w:rsid w:val="0008162C"/>
    <w:rsid w:val="000E27F5"/>
    <w:rsid w:val="001C0DCD"/>
    <w:rsid w:val="0021147C"/>
    <w:rsid w:val="002545B2"/>
    <w:rsid w:val="00263A59"/>
    <w:rsid w:val="00270FCB"/>
    <w:rsid w:val="00291C3D"/>
    <w:rsid w:val="0032065E"/>
    <w:rsid w:val="00324E65"/>
    <w:rsid w:val="003916FE"/>
    <w:rsid w:val="003A2AF9"/>
    <w:rsid w:val="003C5B2D"/>
    <w:rsid w:val="00422E98"/>
    <w:rsid w:val="004A263E"/>
    <w:rsid w:val="004D5C97"/>
    <w:rsid w:val="004E5A64"/>
    <w:rsid w:val="004E7B0A"/>
    <w:rsid w:val="004F3F53"/>
    <w:rsid w:val="005145B2"/>
    <w:rsid w:val="00550AEB"/>
    <w:rsid w:val="0057649D"/>
    <w:rsid w:val="00576CD3"/>
    <w:rsid w:val="00606B8C"/>
    <w:rsid w:val="00650AA1"/>
    <w:rsid w:val="006836EE"/>
    <w:rsid w:val="00700200"/>
    <w:rsid w:val="00705E4F"/>
    <w:rsid w:val="0079696E"/>
    <w:rsid w:val="008425D4"/>
    <w:rsid w:val="0085633F"/>
    <w:rsid w:val="0089754F"/>
    <w:rsid w:val="008D45B2"/>
    <w:rsid w:val="008F5A0E"/>
    <w:rsid w:val="00907EC8"/>
    <w:rsid w:val="00914732"/>
    <w:rsid w:val="00977CED"/>
    <w:rsid w:val="00987EC1"/>
    <w:rsid w:val="009A3D66"/>
    <w:rsid w:val="009E17DE"/>
    <w:rsid w:val="009F0A78"/>
    <w:rsid w:val="009F1BC3"/>
    <w:rsid w:val="00A42AA0"/>
    <w:rsid w:val="00B10A3B"/>
    <w:rsid w:val="00B13C4A"/>
    <w:rsid w:val="00B44DCF"/>
    <w:rsid w:val="00C026EC"/>
    <w:rsid w:val="00C10F5A"/>
    <w:rsid w:val="00C11204"/>
    <w:rsid w:val="00C124F8"/>
    <w:rsid w:val="00D17368"/>
    <w:rsid w:val="00D920D0"/>
    <w:rsid w:val="00DB648D"/>
    <w:rsid w:val="00DC7B5B"/>
    <w:rsid w:val="00DD23EB"/>
    <w:rsid w:val="00DD75C0"/>
    <w:rsid w:val="00E90321"/>
    <w:rsid w:val="00E9741C"/>
    <w:rsid w:val="00EE114B"/>
    <w:rsid w:val="00F90522"/>
    <w:rsid w:val="00FE6E5E"/>
    <w:rsid w:val="01D12D9D"/>
    <w:rsid w:val="02330762"/>
    <w:rsid w:val="03394EB3"/>
    <w:rsid w:val="04045AFD"/>
    <w:rsid w:val="04EB6681"/>
    <w:rsid w:val="05C84C14"/>
    <w:rsid w:val="05F37618"/>
    <w:rsid w:val="060E6ACB"/>
    <w:rsid w:val="06F061D0"/>
    <w:rsid w:val="089B30A9"/>
    <w:rsid w:val="0AF0679F"/>
    <w:rsid w:val="0B137EDB"/>
    <w:rsid w:val="0B4D1E43"/>
    <w:rsid w:val="0BA852CC"/>
    <w:rsid w:val="0BF5144B"/>
    <w:rsid w:val="0C79439C"/>
    <w:rsid w:val="0D5F5563"/>
    <w:rsid w:val="0F50023D"/>
    <w:rsid w:val="0F621EA1"/>
    <w:rsid w:val="104B091B"/>
    <w:rsid w:val="109124AE"/>
    <w:rsid w:val="10EA1EE2"/>
    <w:rsid w:val="10F16DCD"/>
    <w:rsid w:val="11203B56"/>
    <w:rsid w:val="11E15093"/>
    <w:rsid w:val="12172D2F"/>
    <w:rsid w:val="134A6C68"/>
    <w:rsid w:val="13581385"/>
    <w:rsid w:val="13985C26"/>
    <w:rsid w:val="13A11DD8"/>
    <w:rsid w:val="13BC47C3"/>
    <w:rsid w:val="14BC5944"/>
    <w:rsid w:val="14CF1B1B"/>
    <w:rsid w:val="15C72E2B"/>
    <w:rsid w:val="16414353"/>
    <w:rsid w:val="167D0A9B"/>
    <w:rsid w:val="174165D4"/>
    <w:rsid w:val="17C47B21"/>
    <w:rsid w:val="17EF6C2D"/>
    <w:rsid w:val="18114097"/>
    <w:rsid w:val="18552BF9"/>
    <w:rsid w:val="186E0AC5"/>
    <w:rsid w:val="1890511D"/>
    <w:rsid w:val="18B2778A"/>
    <w:rsid w:val="18B708FC"/>
    <w:rsid w:val="19485AA4"/>
    <w:rsid w:val="199C7AF2"/>
    <w:rsid w:val="19D06509"/>
    <w:rsid w:val="1A5C33F7"/>
    <w:rsid w:val="1AD35818"/>
    <w:rsid w:val="1B6603B7"/>
    <w:rsid w:val="1B6B2F26"/>
    <w:rsid w:val="1BBA40DB"/>
    <w:rsid w:val="1BE5BF8E"/>
    <w:rsid w:val="1BF02A4A"/>
    <w:rsid w:val="1C430EE2"/>
    <w:rsid w:val="1C485CC6"/>
    <w:rsid w:val="1D567904"/>
    <w:rsid w:val="1D8B7922"/>
    <w:rsid w:val="1DA358F3"/>
    <w:rsid w:val="1E8E626F"/>
    <w:rsid w:val="1FB2006F"/>
    <w:rsid w:val="1FF53678"/>
    <w:rsid w:val="20264584"/>
    <w:rsid w:val="206D3F96"/>
    <w:rsid w:val="22C150BE"/>
    <w:rsid w:val="2349661C"/>
    <w:rsid w:val="24DC002D"/>
    <w:rsid w:val="250550E5"/>
    <w:rsid w:val="257D2EE0"/>
    <w:rsid w:val="260E32C1"/>
    <w:rsid w:val="262D1039"/>
    <w:rsid w:val="267A07BB"/>
    <w:rsid w:val="2691044A"/>
    <w:rsid w:val="26A155D5"/>
    <w:rsid w:val="26B108E1"/>
    <w:rsid w:val="26D1527F"/>
    <w:rsid w:val="27040BBF"/>
    <w:rsid w:val="27117A06"/>
    <w:rsid w:val="278E3170"/>
    <w:rsid w:val="27FA6A57"/>
    <w:rsid w:val="28924EE2"/>
    <w:rsid w:val="2909280B"/>
    <w:rsid w:val="293B7327"/>
    <w:rsid w:val="2A3C6EB3"/>
    <w:rsid w:val="2AB47391"/>
    <w:rsid w:val="2B7F7CCB"/>
    <w:rsid w:val="2CEC4736"/>
    <w:rsid w:val="2D0F6B01"/>
    <w:rsid w:val="2D60735C"/>
    <w:rsid w:val="2DB136EA"/>
    <w:rsid w:val="2DDD0CD0"/>
    <w:rsid w:val="2E04418C"/>
    <w:rsid w:val="2E3600BD"/>
    <w:rsid w:val="2E991F42"/>
    <w:rsid w:val="2EBB4C0D"/>
    <w:rsid w:val="2F3BAA95"/>
    <w:rsid w:val="2FA31233"/>
    <w:rsid w:val="308137FA"/>
    <w:rsid w:val="30BD6874"/>
    <w:rsid w:val="30C52B1A"/>
    <w:rsid w:val="30D05AAB"/>
    <w:rsid w:val="30ED53AB"/>
    <w:rsid w:val="319B05CB"/>
    <w:rsid w:val="31F75DB5"/>
    <w:rsid w:val="32A95302"/>
    <w:rsid w:val="32F10A57"/>
    <w:rsid w:val="33DC5263"/>
    <w:rsid w:val="343D64AC"/>
    <w:rsid w:val="3597568F"/>
    <w:rsid w:val="36174C78"/>
    <w:rsid w:val="36646E51"/>
    <w:rsid w:val="36911E30"/>
    <w:rsid w:val="382673F4"/>
    <w:rsid w:val="397373D6"/>
    <w:rsid w:val="39F77BB3"/>
    <w:rsid w:val="3A824DB6"/>
    <w:rsid w:val="3AFED092"/>
    <w:rsid w:val="3B87743C"/>
    <w:rsid w:val="3BCE5DD9"/>
    <w:rsid w:val="3BEF96CC"/>
    <w:rsid w:val="3CE84C78"/>
    <w:rsid w:val="3D6F7148"/>
    <w:rsid w:val="3E247F32"/>
    <w:rsid w:val="3E3A55FA"/>
    <w:rsid w:val="3ECF45DB"/>
    <w:rsid w:val="3F0A6721"/>
    <w:rsid w:val="3F7153F9"/>
    <w:rsid w:val="3F7A2500"/>
    <w:rsid w:val="3FEF3A30"/>
    <w:rsid w:val="4034093F"/>
    <w:rsid w:val="407F58F4"/>
    <w:rsid w:val="41C912ED"/>
    <w:rsid w:val="426B25D4"/>
    <w:rsid w:val="42A15FF5"/>
    <w:rsid w:val="43A10CDC"/>
    <w:rsid w:val="44976BAA"/>
    <w:rsid w:val="44B57B36"/>
    <w:rsid w:val="44DF4BB3"/>
    <w:rsid w:val="44F6229C"/>
    <w:rsid w:val="45C02C36"/>
    <w:rsid w:val="461F5BAF"/>
    <w:rsid w:val="46345C8C"/>
    <w:rsid w:val="46B502C1"/>
    <w:rsid w:val="47D91D8D"/>
    <w:rsid w:val="47F37E90"/>
    <w:rsid w:val="482E4459"/>
    <w:rsid w:val="487658C6"/>
    <w:rsid w:val="4A0B1FA6"/>
    <w:rsid w:val="4AE64EED"/>
    <w:rsid w:val="4B0F7D5B"/>
    <w:rsid w:val="4B6F7712"/>
    <w:rsid w:val="4B7F0E9E"/>
    <w:rsid w:val="4BEA4569"/>
    <w:rsid w:val="4C67342E"/>
    <w:rsid w:val="4E3E38F4"/>
    <w:rsid w:val="4E7A3031"/>
    <w:rsid w:val="4EBDE052"/>
    <w:rsid w:val="4F49248E"/>
    <w:rsid w:val="500A204E"/>
    <w:rsid w:val="50780BF8"/>
    <w:rsid w:val="512509BB"/>
    <w:rsid w:val="524E0A41"/>
    <w:rsid w:val="52903990"/>
    <w:rsid w:val="53023F62"/>
    <w:rsid w:val="53890B0C"/>
    <w:rsid w:val="53E56F94"/>
    <w:rsid w:val="546073CE"/>
    <w:rsid w:val="54BA568B"/>
    <w:rsid w:val="559B68D4"/>
    <w:rsid w:val="562F2D5D"/>
    <w:rsid w:val="56685649"/>
    <w:rsid w:val="56FF7DD0"/>
    <w:rsid w:val="57790B90"/>
    <w:rsid w:val="577A669A"/>
    <w:rsid w:val="57FA395A"/>
    <w:rsid w:val="583A6878"/>
    <w:rsid w:val="58F307D5"/>
    <w:rsid w:val="58FFC179"/>
    <w:rsid w:val="591846FB"/>
    <w:rsid w:val="591E1CF6"/>
    <w:rsid w:val="5960314C"/>
    <w:rsid w:val="599C29D1"/>
    <w:rsid w:val="59C4289D"/>
    <w:rsid w:val="59F90D5A"/>
    <w:rsid w:val="5A2C4A4A"/>
    <w:rsid w:val="5AFFD171"/>
    <w:rsid w:val="5CB91629"/>
    <w:rsid w:val="5CCE57E1"/>
    <w:rsid w:val="5D213B63"/>
    <w:rsid w:val="5DB03139"/>
    <w:rsid w:val="5DB51FB5"/>
    <w:rsid w:val="5E3E5D45"/>
    <w:rsid w:val="5E431D24"/>
    <w:rsid w:val="5E706FF3"/>
    <w:rsid w:val="5E7D301B"/>
    <w:rsid w:val="5EFF2B66"/>
    <w:rsid w:val="5F8D54E0"/>
    <w:rsid w:val="5FDBC303"/>
    <w:rsid w:val="5FEEBD0A"/>
    <w:rsid w:val="60AF0565"/>
    <w:rsid w:val="61581B1D"/>
    <w:rsid w:val="616C17AB"/>
    <w:rsid w:val="61706E67"/>
    <w:rsid w:val="61B56F70"/>
    <w:rsid w:val="61E17D65"/>
    <w:rsid w:val="64E7519D"/>
    <w:rsid w:val="652561BA"/>
    <w:rsid w:val="65AD2FA3"/>
    <w:rsid w:val="65CA232C"/>
    <w:rsid w:val="67E94861"/>
    <w:rsid w:val="68096B6D"/>
    <w:rsid w:val="690F51B7"/>
    <w:rsid w:val="69194288"/>
    <w:rsid w:val="69D12C3E"/>
    <w:rsid w:val="6ADE171E"/>
    <w:rsid w:val="6BFF5055"/>
    <w:rsid w:val="6CC935A7"/>
    <w:rsid w:val="6CFC3CA5"/>
    <w:rsid w:val="6D1972F2"/>
    <w:rsid w:val="6D5C6E91"/>
    <w:rsid w:val="6DDF8ABC"/>
    <w:rsid w:val="6EBE163B"/>
    <w:rsid w:val="6EFCBF19"/>
    <w:rsid w:val="6F3ECA08"/>
    <w:rsid w:val="6FDF6DF5"/>
    <w:rsid w:val="6FF70753"/>
    <w:rsid w:val="7064403B"/>
    <w:rsid w:val="70EC3D9C"/>
    <w:rsid w:val="71752277"/>
    <w:rsid w:val="72556025"/>
    <w:rsid w:val="73770529"/>
    <w:rsid w:val="73887C53"/>
    <w:rsid w:val="73BA0AB9"/>
    <w:rsid w:val="73CC3BDC"/>
    <w:rsid w:val="73DF0D78"/>
    <w:rsid w:val="73EFD508"/>
    <w:rsid w:val="749B3DA3"/>
    <w:rsid w:val="74B3052B"/>
    <w:rsid w:val="74BD640F"/>
    <w:rsid w:val="753EF303"/>
    <w:rsid w:val="75C031C0"/>
    <w:rsid w:val="75E6150B"/>
    <w:rsid w:val="75FEA998"/>
    <w:rsid w:val="76A41635"/>
    <w:rsid w:val="76E2215D"/>
    <w:rsid w:val="76EE3962"/>
    <w:rsid w:val="76F5F055"/>
    <w:rsid w:val="76FF2DDA"/>
    <w:rsid w:val="77A411C1"/>
    <w:rsid w:val="77B68494"/>
    <w:rsid w:val="77B7B9A9"/>
    <w:rsid w:val="77BEC255"/>
    <w:rsid w:val="77DD684C"/>
    <w:rsid w:val="77F72AB2"/>
    <w:rsid w:val="77F928C8"/>
    <w:rsid w:val="7907CAF0"/>
    <w:rsid w:val="79FDE841"/>
    <w:rsid w:val="79FF1627"/>
    <w:rsid w:val="7A3E4282"/>
    <w:rsid w:val="7A875E89"/>
    <w:rsid w:val="7AD50EC2"/>
    <w:rsid w:val="7B4A02D1"/>
    <w:rsid w:val="7B4A7639"/>
    <w:rsid w:val="7B615D46"/>
    <w:rsid w:val="7B67E1A2"/>
    <w:rsid w:val="7B7FF4BC"/>
    <w:rsid w:val="7BC65C0B"/>
    <w:rsid w:val="7BDB001A"/>
    <w:rsid w:val="7BFF445E"/>
    <w:rsid w:val="7C64405D"/>
    <w:rsid w:val="7CD460A4"/>
    <w:rsid w:val="7CFC55FB"/>
    <w:rsid w:val="7D52DC92"/>
    <w:rsid w:val="7D578BDC"/>
    <w:rsid w:val="7EAA7A04"/>
    <w:rsid w:val="7F044EA0"/>
    <w:rsid w:val="7F297394"/>
    <w:rsid w:val="7F3B5F12"/>
    <w:rsid w:val="7F575045"/>
    <w:rsid w:val="7F736048"/>
    <w:rsid w:val="7FAFFA49"/>
    <w:rsid w:val="7FCE327F"/>
    <w:rsid w:val="7FD36AE7"/>
    <w:rsid w:val="7FD9DEB0"/>
    <w:rsid w:val="7FDA98FD"/>
    <w:rsid w:val="7FDBA07B"/>
    <w:rsid w:val="7FE523EC"/>
    <w:rsid w:val="7FF9524F"/>
    <w:rsid w:val="7FFF2F0E"/>
    <w:rsid w:val="87DEE696"/>
    <w:rsid w:val="9949C0CC"/>
    <w:rsid w:val="9DFF5510"/>
    <w:rsid w:val="9FFF9360"/>
    <w:rsid w:val="A6F95266"/>
    <w:rsid w:val="AFC78B51"/>
    <w:rsid w:val="BD7F7F6C"/>
    <w:rsid w:val="BDBEC654"/>
    <w:rsid w:val="BEEE7C50"/>
    <w:rsid w:val="BF6F63CE"/>
    <w:rsid w:val="BF7E4F3B"/>
    <w:rsid w:val="BFB362E0"/>
    <w:rsid w:val="BFDDCE43"/>
    <w:rsid w:val="BFFDB3E9"/>
    <w:rsid w:val="BFFF41C0"/>
    <w:rsid w:val="CFD7F2ED"/>
    <w:rsid w:val="CFFEB582"/>
    <w:rsid w:val="D1FE34B6"/>
    <w:rsid w:val="D733FE4D"/>
    <w:rsid w:val="D7F7AD74"/>
    <w:rsid w:val="DAFC87D5"/>
    <w:rsid w:val="DCDB69D0"/>
    <w:rsid w:val="DE594E46"/>
    <w:rsid w:val="DEF1BEAF"/>
    <w:rsid w:val="DFF2DD1E"/>
    <w:rsid w:val="E2F7DCC0"/>
    <w:rsid w:val="E5FF73CA"/>
    <w:rsid w:val="E78F8FE3"/>
    <w:rsid w:val="EBEC3FF1"/>
    <w:rsid w:val="EFF6C11D"/>
    <w:rsid w:val="EFFB1289"/>
    <w:rsid w:val="F1CB0E5B"/>
    <w:rsid w:val="F2F97B8D"/>
    <w:rsid w:val="F4F47B3F"/>
    <w:rsid w:val="F79D1578"/>
    <w:rsid w:val="F7A7319B"/>
    <w:rsid w:val="F7BFE17C"/>
    <w:rsid w:val="F7EE869E"/>
    <w:rsid w:val="F8F7FE62"/>
    <w:rsid w:val="FAFE0B21"/>
    <w:rsid w:val="FB3FA16D"/>
    <w:rsid w:val="FBFEFC53"/>
    <w:rsid w:val="FD5F0FDD"/>
    <w:rsid w:val="FDBF1C21"/>
    <w:rsid w:val="FEBCCAC3"/>
    <w:rsid w:val="FED72916"/>
    <w:rsid w:val="FF631DED"/>
    <w:rsid w:val="FF6FBAB9"/>
    <w:rsid w:val="FFEB38A9"/>
    <w:rsid w:val="FFEF0665"/>
    <w:rsid w:val="FFF40753"/>
    <w:rsid w:val="FFFD111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3">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4">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6">
    <w:name w:val="Default Paragraph Font"/>
    <w:unhideWhenUsed/>
    <w:uiPriority w:val="1"/>
  </w:style>
  <w:style w:type="table" w:default="1" w:styleId="24">
    <w:name w:val="Normal Table"/>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link w:val="36"/>
    <w:qFormat/>
    <w:uiPriority w:val="0"/>
    <w:pPr>
      <w:jc w:val="left"/>
    </w:pPr>
  </w:style>
  <w:style w:type="paragraph" w:styleId="7">
    <w:name w:val="Body Text"/>
    <w:basedOn w:val="1"/>
    <w:link w:val="37"/>
    <w:qFormat/>
    <w:uiPriority w:val="0"/>
    <w:pPr>
      <w:jc w:val="center"/>
    </w:pPr>
  </w:style>
  <w:style w:type="paragraph" w:styleId="8">
    <w:name w:val="Body Text Indent"/>
    <w:basedOn w:val="1"/>
    <w:link w:val="38"/>
    <w:qFormat/>
    <w:uiPriority w:val="0"/>
    <w:pPr>
      <w:widowControl/>
      <w:spacing w:after="120"/>
      <w:ind w:left="420" w:leftChars="200"/>
      <w:jc w:val="left"/>
    </w:pPr>
  </w:style>
  <w:style w:type="paragraph" w:styleId="9">
    <w:name w:val="toc 3"/>
    <w:basedOn w:val="1"/>
    <w:next w:val="1"/>
    <w:qFormat/>
    <w:uiPriority w:val="39"/>
    <w:pPr>
      <w:ind w:left="840" w:leftChars="400"/>
    </w:pPr>
  </w:style>
  <w:style w:type="paragraph" w:styleId="10">
    <w:name w:val="Plain Text"/>
    <w:basedOn w:val="1"/>
    <w:link w:val="39"/>
    <w:qFormat/>
    <w:uiPriority w:val="0"/>
    <w:rPr>
      <w:rFonts w:ascii="等线" w:hAnsi="等线"/>
    </w:rPr>
  </w:style>
  <w:style w:type="paragraph" w:styleId="11">
    <w:name w:val="Date"/>
    <w:basedOn w:val="1"/>
    <w:next w:val="1"/>
    <w:link w:val="40"/>
    <w:qFormat/>
    <w:uiPriority w:val="0"/>
    <w:pPr>
      <w:widowControl/>
    </w:pPr>
  </w:style>
  <w:style w:type="paragraph" w:styleId="12">
    <w:name w:val="Body Text Indent 2"/>
    <w:basedOn w:val="1"/>
    <w:link w:val="41"/>
    <w:qFormat/>
    <w:uiPriority w:val="0"/>
    <w:pPr>
      <w:spacing w:after="120" w:line="480" w:lineRule="auto"/>
      <w:ind w:left="420" w:leftChars="200"/>
    </w:pPr>
  </w:style>
  <w:style w:type="paragraph" w:styleId="13">
    <w:name w:val="Balloon Text"/>
    <w:basedOn w:val="1"/>
    <w:link w:val="42"/>
    <w:qFormat/>
    <w:uiPriority w:val="0"/>
    <w:rPr>
      <w:sz w:val="18"/>
      <w:szCs w:val="18"/>
    </w:rPr>
  </w:style>
  <w:style w:type="paragraph" w:styleId="14">
    <w:name w:val="footer"/>
    <w:basedOn w:val="1"/>
    <w:link w:val="43"/>
    <w:qFormat/>
    <w:uiPriority w:val="0"/>
    <w:pPr>
      <w:tabs>
        <w:tab w:val="center" w:pos="4153"/>
        <w:tab w:val="right" w:pos="8306"/>
      </w:tabs>
      <w:snapToGrid w:val="0"/>
      <w:jc w:val="left"/>
    </w:pPr>
    <w:rPr>
      <w:sz w:val="18"/>
      <w:szCs w:val="18"/>
    </w:rPr>
  </w:style>
  <w:style w:type="paragraph" w:styleId="15">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style>
  <w:style w:type="paragraph" w:styleId="17">
    <w:name w:val="footnote text"/>
    <w:basedOn w:val="1"/>
    <w:link w:val="45"/>
    <w:qFormat/>
    <w:uiPriority w:val="0"/>
    <w:pPr>
      <w:snapToGrid w:val="0"/>
      <w:jc w:val="left"/>
    </w:pPr>
    <w:rPr>
      <w:sz w:val="18"/>
      <w:szCs w:val="18"/>
    </w:rPr>
  </w:style>
  <w:style w:type="paragraph" w:styleId="18">
    <w:name w:val="Body Text Indent 3"/>
    <w:basedOn w:val="1"/>
    <w:link w:val="46"/>
    <w:qFormat/>
    <w:uiPriority w:val="0"/>
    <w:pPr>
      <w:adjustRightInd w:val="0"/>
      <w:snapToGrid w:val="0"/>
      <w:spacing w:line="300" w:lineRule="auto"/>
      <w:ind w:firstLine="540"/>
    </w:pPr>
    <w:rPr>
      <w:sz w:val="16"/>
      <w:szCs w:val="16"/>
    </w:rPr>
  </w:style>
  <w:style w:type="paragraph" w:styleId="19">
    <w:name w:val="toc 2"/>
    <w:basedOn w:val="1"/>
    <w:next w:val="1"/>
    <w:qFormat/>
    <w:uiPriority w:val="39"/>
    <w:pPr>
      <w:ind w:left="420" w:leftChars="200"/>
    </w:p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2">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3">
    <w:name w:val="annotation subject"/>
    <w:basedOn w:val="6"/>
    <w:next w:val="6"/>
    <w:link w:val="48"/>
    <w:qFormat/>
    <w:uiPriority w:val="0"/>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FollowedHyperlink"/>
    <w:qFormat/>
    <w:uiPriority w:val="0"/>
    <w:rPr>
      <w:color w:val="954F72"/>
      <w:u w:val="single"/>
    </w:rPr>
  </w:style>
  <w:style w:type="character" w:styleId="29">
    <w:name w:val="Hyperlink"/>
    <w:qFormat/>
    <w:uiPriority w:val="99"/>
    <w:rPr>
      <w:color w:val="0000FF"/>
      <w:u w:val="single"/>
    </w:rPr>
  </w:style>
  <w:style w:type="character" w:styleId="30">
    <w:name w:val="HTML Code"/>
    <w:basedOn w:val="26"/>
    <w:qFormat/>
    <w:uiPriority w:val="0"/>
    <w:rPr>
      <w:rFonts w:ascii="Courier New" w:hAnsi="Courier New"/>
      <w:sz w:val="20"/>
    </w:rPr>
  </w:style>
  <w:style w:type="character" w:styleId="31">
    <w:name w:val="annotation reference"/>
    <w:qFormat/>
    <w:uiPriority w:val="0"/>
    <w:rPr>
      <w:sz w:val="21"/>
      <w:szCs w:val="21"/>
    </w:rPr>
  </w:style>
  <w:style w:type="character" w:styleId="32">
    <w:name w:val="footnote reference"/>
    <w:qFormat/>
    <w:uiPriority w:val="0"/>
    <w:rPr>
      <w:vertAlign w:val="superscript"/>
    </w:rPr>
  </w:style>
  <w:style w:type="character" w:customStyle="1" w:styleId="33">
    <w:name w:val="标题 3 Char"/>
    <w:link w:val="2"/>
    <w:qFormat/>
    <w:uiPriority w:val="0"/>
    <w:rPr>
      <w:b/>
      <w:bCs/>
      <w:sz w:val="32"/>
      <w:szCs w:val="32"/>
    </w:rPr>
  </w:style>
  <w:style w:type="character" w:customStyle="1" w:styleId="34">
    <w:name w:val="标题 4 Char"/>
    <w:link w:val="3"/>
    <w:qFormat/>
    <w:uiPriority w:val="0"/>
    <w:rPr>
      <w:rFonts w:ascii="等线 Light" w:hAnsi="等线 Light" w:eastAsia="等线 Light" w:cs="Times New Roman"/>
      <w:b/>
      <w:bCs/>
      <w:kern w:val="2"/>
      <w:sz w:val="28"/>
      <w:szCs w:val="28"/>
    </w:rPr>
  </w:style>
  <w:style w:type="character" w:customStyle="1" w:styleId="35">
    <w:name w:val="标题 6 Char"/>
    <w:link w:val="4"/>
    <w:qFormat/>
    <w:uiPriority w:val="0"/>
    <w:rPr>
      <w:rFonts w:ascii="等线 Light" w:hAnsi="等线 Light" w:eastAsia="等线 Light" w:cs="Times New Roman"/>
      <w:b/>
      <w:bCs/>
      <w:kern w:val="2"/>
      <w:sz w:val="24"/>
      <w:szCs w:val="24"/>
    </w:rPr>
  </w:style>
  <w:style w:type="character" w:customStyle="1" w:styleId="36">
    <w:name w:val="批注文字 Char"/>
    <w:link w:val="6"/>
    <w:qFormat/>
    <w:uiPriority w:val="0"/>
    <w:rPr>
      <w:kern w:val="2"/>
      <w:sz w:val="21"/>
      <w:szCs w:val="24"/>
    </w:rPr>
  </w:style>
  <w:style w:type="character" w:customStyle="1" w:styleId="37">
    <w:name w:val="正文文本 Char"/>
    <w:link w:val="7"/>
    <w:qFormat/>
    <w:uiPriority w:val="0"/>
    <w:rPr>
      <w:kern w:val="2"/>
      <w:sz w:val="21"/>
      <w:szCs w:val="24"/>
    </w:rPr>
  </w:style>
  <w:style w:type="character" w:customStyle="1" w:styleId="38">
    <w:name w:val="正文文本缩进 Char"/>
    <w:link w:val="8"/>
    <w:qFormat/>
    <w:uiPriority w:val="0"/>
    <w:rPr>
      <w:kern w:val="2"/>
      <w:sz w:val="21"/>
      <w:szCs w:val="24"/>
    </w:rPr>
  </w:style>
  <w:style w:type="character" w:customStyle="1" w:styleId="39">
    <w:name w:val="纯文本 Char"/>
    <w:link w:val="10"/>
    <w:qFormat/>
    <w:uiPriority w:val="0"/>
    <w:rPr>
      <w:rFonts w:ascii="等线" w:hAnsi="等线" w:cs="等线"/>
      <w:kern w:val="2"/>
      <w:sz w:val="21"/>
      <w:szCs w:val="24"/>
    </w:rPr>
  </w:style>
  <w:style w:type="character" w:customStyle="1" w:styleId="40">
    <w:name w:val="日期 Char"/>
    <w:link w:val="11"/>
    <w:qFormat/>
    <w:uiPriority w:val="0"/>
    <w:rPr>
      <w:kern w:val="2"/>
      <w:sz w:val="21"/>
      <w:szCs w:val="24"/>
    </w:rPr>
  </w:style>
  <w:style w:type="character" w:customStyle="1" w:styleId="41">
    <w:name w:val="正文文本缩进 2 Char"/>
    <w:link w:val="12"/>
    <w:qFormat/>
    <w:uiPriority w:val="0"/>
    <w:rPr>
      <w:kern w:val="2"/>
      <w:sz w:val="21"/>
      <w:szCs w:val="24"/>
    </w:rPr>
  </w:style>
  <w:style w:type="character" w:customStyle="1" w:styleId="42">
    <w:name w:val="批注框文本 Char"/>
    <w:link w:val="13"/>
    <w:qFormat/>
    <w:uiPriority w:val="0"/>
    <w:rPr>
      <w:kern w:val="2"/>
      <w:sz w:val="18"/>
      <w:szCs w:val="18"/>
    </w:rPr>
  </w:style>
  <w:style w:type="character" w:customStyle="1" w:styleId="43">
    <w:name w:val="页脚 Char"/>
    <w:link w:val="14"/>
    <w:qFormat/>
    <w:uiPriority w:val="0"/>
    <w:rPr>
      <w:kern w:val="2"/>
      <w:sz w:val="18"/>
      <w:szCs w:val="18"/>
    </w:rPr>
  </w:style>
  <w:style w:type="character" w:customStyle="1" w:styleId="44">
    <w:name w:val="页眉 Char"/>
    <w:link w:val="15"/>
    <w:qFormat/>
    <w:uiPriority w:val="0"/>
    <w:rPr>
      <w:kern w:val="2"/>
      <w:sz w:val="18"/>
      <w:szCs w:val="18"/>
    </w:rPr>
  </w:style>
  <w:style w:type="character" w:customStyle="1" w:styleId="45">
    <w:name w:val="脚注文本 Char"/>
    <w:link w:val="17"/>
    <w:qFormat/>
    <w:uiPriority w:val="0"/>
    <w:rPr>
      <w:kern w:val="2"/>
      <w:sz w:val="18"/>
      <w:szCs w:val="18"/>
    </w:rPr>
  </w:style>
  <w:style w:type="character" w:customStyle="1" w:styleId="46">
    <w:name w:val="正文文本缩进 3 Char"/>
    <w:link w:val="18"/>
    <w:qFormat/>
    <w:uiPriority w:val="0"/>
    <w:rPr>
      <w:kern w:val="2"/>
      <w:sz w:val="16"/>
      <w:szCs w:val="16"/>
    </w:rPr>
  </w:style>
  <w:style w:type="character" w:customStyle="1" w:styleId="47">
    <w:name w:val="标题 Char"/>
    <w:link w:val="22"/>
    <w:qFormat/>
    <w:uiPriority w:val="0"/>
    <w:rPr>
      <w:rFonts w:ascii="等线 Light" w:hAnsi="等线 Light" w:eastAsia="等线 Light" w:cs="Times New Roman"/>
      <w:b/>
      <w:bCs/>
      <w:kern w:val="2"/>
      <w:sz w:val="32"/>
      <w:szCs w:val="32"/>
    </w:rPr>
  </w:style>
  <w:style w:type="character" w:customStyle="1" w:styleId="48">
    <w:name w:val="批注主题 Char"/>
    <w:link w:val="23"/>
    <w:qFormat/>
    <w:uiPriority w:val="0"/>
    <w:rPr>
      <w:b/>
      <w:bCs/>
      <w:kern w:val="2"/>
      <w:sz w:val="21"/>
      <w:szCs w:val="24"/>
    </w:rPr>
  </w:style>
  <w:style w:type="paragraph" w:customStyle="1" w:styleId="49">
    <w:name w:val="Title"/>
    <w:basedOn w:val="22"/>
    <w:qFormat/>
    <w:uiPriority w:val="0"/>
    <w:pPr>
      <w:widowControl/>
      <w:adjustRightInd w:val="0"/>
      <w:spacing w:after="360" w:line="420" w:lineRule="exact"/>
      <w:outlineLvl w:val="9"/>
    </w:pPr>
    <w:rPr>
      <w:rFonts w:cs="Times New Roman"/>
      <w:b w:val="0"/>
      <w:bCs w:val="0"/>
      <w:kern w:val="0"/>
      <w:sz w:val="30"/>
      <w:szCs w:val="20"/>
    </w:rPr>
  </w:style>
  <w:style w:type="paragraph" w:customStyle="1" w:styleId="50">
    <w:name w:val="缩写表"/>
    <w:basedOn w:val="16"/>
    <w:qFormat/>
    <w:uiPriority w:val="0"/>
    <w:pPr>
      <w:adjustRightInd w:val="0"/>
      <w:spacing w:after="120" w:line="400" w:lineRule="exact"/>
      <w:jc w:val="left"/>
    </w:pPr>
    <w:rPr>
      <w:spacing w:val="10"/>
      <w:kern w:val="0"/>
      <w:sz w:val="24"/>
      <w:szCs w:val="20"/>
    </w:rPr>
  </w:style>
  <w:style w:type="paragraph" w:customStyle="1" w:styleId="51">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2">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3">
    <w:name w:val="Char"/>
    <w:basedOn w:val="1"/>
    <w:qFormat/>
    <w:uiPriority w:val="0"/>
  </w:style>
  <w:style w:type="paragraph" w:customStyle="1" w:styleId="54">
    <w:name w:val="_Style 2"/>
    <w:basedOn w:val="1"/>
    <w:qFormat/>
    <w:uiPriority w:val="99"/>
    <w:pPr>
      <w:spacing w:line="400" w:lineRule="exact"/>
      <w:ind w:firstLine="420" w:firstLineChars="200"/>
    </w:pPr>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raychen/Documents/&#22522;&#20110;Arduino&#23884;&#20837;&#24335;&#24320;&#21457;&#30340;&#24494;&#24369;&#30005;&#20449;&#21495;&#27979;&#37327;_&#36890;&#20449;25-1_&#38472;&#26771;&#30591;-&#32918;&#26195;&#21644;-&#20219;&#37329;&#26842;/4&#23454;&#39564;&#39044;&#31639;&#2463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实验总预算分析</a:t>
            </a:r>
            <a:endParaRPr lang="en-US" altLang="zh-CN"/>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dLbl>
              <c:idx val="0"/>
              <c:layout>
                <c:manualLayout>
                  <c:x val="-0.0130965593784684"/>
                  <c:y val="0"/>
                </c:manualLayout>
              </c:layout>
              <c:dLblPos val="bestFit"/>
              <c:showLegendKey val="0"/>
              <c:showVal val="1"/>
              <c:showCatName val="0"/>
              <c:showSerName val="0"/>
              <c:showPercent val="0"/>
              <c:showBubbleSize val="0"/>
              <c:extLst>
                <c:ext xmlns:c15="http://schemas.microsoft.com/office/drawing/2012/chart" uri="{CE6537A1-D6FC-4f65-9D91-7224C49458BB}">
                  <c15:layout>
                    <c:manualLayout>
                      <c:w val="0.246392896781354"/>
                      <c:h val="0.194734944103859"/>
                    </c:manualLayout>
                  </c15:layout>
                </c:ext>
              </c:extLst>
            </c:dLbl>
            <c:dLbl>
              <c:idx val="1"/>
              <c:layout>
                <c:manualLayout>
                  <c:x val="-0.0366593774857636"/>
                  <c:y val="-0.00432744320230797"/>
                </c:manualLayout>
              </c:layout>
              <c:dLblPos val="bestFit"/>
              <c:showLegendKey val="0"/>
              <c:showVal val="1"/>
              <c:showCatName val="0"/>
              <c:showSerName val="0"/>
              <c:showPercent val="0"/>
              <c:showBubbleSize val="0"/>
              <c:extLst>
                <c:ext xmlns:c15="http://schemas.microsoft.com/office/drawing/2012/chart" uri="{CE6537A1-D6FC-4f65-9D91-7224C49458BB}">
                  <c15:layout>
                    <c:manualLayout>
                      <c:w val="0.276137624861265"/>
                      <c:h val="0.194734944103859"/>
                    </c:manualLayout>
                  </c15:layout>
                </c:ext>
              </c:extLst>
            </c:dLbl>
            <c:dLbl>
              <c:idx val="2"/>
              <c:layout>
                <c:manualLayout>
                  <c:x val="0"/>
                  <c:y val="-0.00432744320230797"/>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[4实验预算总表.xlsx]Sheet1!$F$3:$F$5</c:f>
              <c:strCache>
                <c:ptCount val="3"/>
                <c:pt idx="0">
                  <c:v>机械与光学结构</c:v>
                </c:pt>
                <c:pt idx="1">
                  <c:v>电子元器件</c:v>
                </c:pt>
                <c:pt idx="2">
                  <c:v>电磁屏蔽与抗干扰模块</c:v>
                </c:pt>
              </c:strCache>
            </c:strRef>
          </c:cat>
          <c:val>
            <c:numRef>
              <c:f>[4实验预算总表.xlsx]Sheet1!$G$3:$G$5</c:f>
              <c:numCache>
                <c:formatCode>"￥"#,##0.00_);[Red]\("￥"#,##0.00\)</c:formatCode>
                <c:ptCount val="3"/>
                <c:pt idx="0">
                  <c:v>134</c:v>
                </c:pt>
                <c:pt idx="1">
                  <c:v>356</c:v>
                </c:pt>
                <c:pt idx="2">
                  <c:v>58</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b957589-e838-4a02-b05c-f772cc20dabb}"/>
      </c:ext>
    </c:extLst>
  </c:chart>
  <c:spPr>
    <a:pattFill prst="pct10">
      <a:fgClr>
        <a:schemeClr val="accent1"/>
      </a:fgClr>
      <a:bgClr>
        <a:schemeClr val="bg1"/>
      </a:bgClr>
    </a:patt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11947</Words>
  <Characters>13686</Characters>
  <Lines>77</Lines>
  <Paragraphs>21</Paragraphs>
  <TotalTime>35</TotalTime>
  <ScaleCrop>false</ScaleCrop>
  <LinksUpToDate>false</LinksUpToDate>
  <CharactersWithSpaces>19438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2022-11-27T22:54:00Z</dcterms:created>
  <dc:creator>ICBC</dc:creator>
  <cp:lastModifiedBy>陈梓睿</cp:lastModifiedBy>
  <cp:lastPrinted>2009-09-09T22:51:00Z</cp:lastPrinted>
  <dcterms:modified xsi:type="dcterms:W3CDTF">2026-04-19T22:52:20Z</dcterms:modified>
  <dc:title>_x0001_</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KSORubyTemplateID">
    <vt:lpwstr>6</vt:lpwstr>
  </property>
  <property fmtid="{D5CDD505-2E9C-101B-9397-08002B2CF9AE}" pid="4" name="ICV">
    <vt:lpwstr>93C8E05BC9BC0B118FA4E169E7392FDB_43</vt:lpwstr>
  </property>
  <property fmtid="{D5CDD505-2E9C-101B-9397-08002B2CF9AE}" pid="5" name="KSOTemplateDocerSaveRecord">
    <vt:lpwstr>eyJoZGlkIjoiYjY0ZTk2OGU2MDc3YjRiMjZjZmNkOWNjNGE3N2VlZDMiLCJ1c2VySWQiOiIxNzQ5ODg4NTkyIn0=</vt:lpwstr>
  </property>
</Properties>
</file>