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drawing>
          <wp:inline>
            <wp:extent cx="3108960" cy="749481"/>
            <wp:effectExtent b="0" l="0" r="0" t="0"/>
            <wp:docPr descr="校名标识" title="" id="21" name="Picture"/>
            <a:graphic>
              <a:graphicData uri="http://schemas.openxmlformats.org/drawingml/2006/picture">
                <pic:pic>
                  <pic:nvPicPr>
                    <pic:cNvPr descr="media/logo_xgk.jpeg" id="22" name="Picture"/>
                    <pic:cNvPicPr>
                      <a:picLocks noChangeArrowheads="1" noChangeAspect="1"/>
                    </pic:cNvPicPr>
                  </pic:nvPicPr>
                  <pic:blipFill>
                    <a:blip r:embed="rId20"/>
                    <a:stretch>
                      <a:fillRect/>
                    </a:stretch>
                  </pic:blipFill>
                  <pic:spPr bwMode="auto">
                    <a:xfrm>
                      <a:off x="0" y="0"/>
                      <a:ext cx="3108960" cy="749481"/>
                    </a:xfrm>
                    <a:prstGeom prst="rect">
                      <a:avLst/>
                    </a:prstGeom>
                    <a:noFill/>
                    <a:ln w="9525">
                      <a:noFill/>
                      <a:headEnd/>
                      <a:tailEnd/>
                    </a:ln>
                  </pic:spPr>
                </pic:pic>
              </a:graphicData>
            </a:graphic>
          </wp:inline>
        </w:drawing>
      </w:r>
      <w:r>
        <w:t xml:space="preserve">　</w:t>
      </w:r>
      <w:r>
        <w:drawing>
          <wp:inline>
            <wp:extent cx="914400" cy="899885"/>
            <wp:effectExtent b="0" l="0" r="0" t="0"/>
            <wp:docPr descr="校徽" title="" id="24" name="Picture"/>
            <a:graphic>
              <a:graphicData uri="http://schemas.openxmlformats.org/drawingml/2006/picture">
                <pic:pic>
                  <pic:nvPicPr>
                    <pic:cNvPr descr="media/logo_school.png" id="25" name="Picture"/>
                    <pic:cNvPicPr>
                      <a:picLocks noChangeArrowheads="1" noChangeAspect="1"/>
                    </pic:cNvPicPr>
                  </pic:nvPicPr>
                  <pic:blipFill>
                    <a:blip r:embed="rId23"/>
                    <a:stretch>
                      <a:fillRect/>
                    </a:stretch>
                  </pic:blipFill>
                  <pic:spPr bwMode="auto">
                    <a:xfrm>
                      <a:off x="0" y="0"/>
                      <a:ext cx="914400" cy="899885"/>
                    </a:xfrm>
                    <a:prstGeom prst="rect">
                      <a:avLst/>
                    </a:prstGeom>
                    <a:noFill/>
                    <a:ln w="9525">
                      <a:noFill/>
                      <a:headEnd/>
                      <a:tailEnd/>
                    </a:ln>
                  </pic:spPr>
                </pic:pic>
              </a:graphicData>
            </a:graphic>
          </wp:inline>
        </w:drawing>
      </w:r>
    </w:p>
    <w:p>
      <w:pPr>
        <w:pStyle w:val="Center"/>
      </w:pPr>
      <w:r>
        <w:rPr>
          <w:bCs/>
          <w:b/>
        </w:rPr>
        <w:t xml:space="preserve">北方工业大学</w:t>
      </w:r>
    </w:p>
    <w:p>
      <w:pPr>
        <w:pStyle w:val="Title"/>
      </w:pPr>
      <w:r>
        <w:t xml:space="preserve">基于Arduino嵌入式开发与光杠杆放大的微弱电信号测量</w:t>
      </w:r>
    </w:p>
    <w:p>
      <w:pPr>
        <w:pStyle w:val="Subtitle"/>
      </w:pPr>
      <w:r>
        <w:t xml:space="preserve">Weak Electrical Signal Measurement System based on Arduino Embedded Development and Optical Lever Amplification</w:t>
      </w:r>
    </w:p>
    <w:p>
      <w:pPr>
        <w:pStyle w:val="Center"/>
      </w:pPr>
      <w:r>
        <w:rPr>
          <w:bCs/>
          <w:b/>
        </w:rPr>
        <w:t xml:space="preserve">学　　院：</w:t>
      </w:r>
      <w:r>
        <w:t xml:space="preserve">人工智能与计算机学院</w:t>
      </w:r>
    </w:p>
    <w:p>
      <w:pPr>
        <w:pStyle w:val="Center"/>
      </w:pPr>
      <w:r>
        <w:rPr>
          <w:bCs/>
          <w:b/>
        </w:rPr>
        <w:t xml:space="preserve">班　　级：</w:t>
      </w:r>
      <w:r>
        <w:t xml:space="preserve">通信工程25-1</w:t>
      </w:r>
    </w:p>
    <w:p>
      <w:pPr>
        <w:pStyle w:val="Center"/>
      </w:pPr>
      <w:r>
        <w:rPr>
          <w:bCs/>
          <w:b/>
        </w:rPr>
        <w:t xml:space="preserve">姓　　名：</w:t>
      </w:r>
      <w:r>
        <w:t xml:space="preserve">陈梓睿　肖晓和　任金棚</w:t>
      </w:r>
    </w:p>
    <w:p>
      <w:pPr>
        <w:pStyle w:val="Center"/>
      </w:pPr>
      <w:r>
        <w:rPr>
          <w:bCs/>
          <w:b/>
        </w:rPr>
        <w:t xml:space="preserve">2026年7月31日</w:t>
      </w:r>
    </w:p>
    <w:p>
      <w:r>
        <w:br w:type="page"/>
      </w:r>
    </w:p>
    <w:p>
      <w:pPr>
        <w:pStyle w:val="BodyText"/>
      </w:pPr>
      <w:r>
        <w:rPr>
          <w:bCs/>
          <w:b/>
        </w:rPr>
        <w:t xml:space="preserve">摘　要：</w:t>
      </w:r>
      <w:r>
        <w:t xml:space="preserve">本文针对微弱电信号测量中幅值低、易受噪声干扰的问题，设计了一套基于Arduino嵌入式开发与光杠杆放大的低频微弱电信号测量系统。系统以低频交变磁场（0.05～0.5 Hz）为载体：发生模块通过DAC与发射线圈在空间中建立幅值、频率精确可控的交变磁场；接收线圈按电磁感应原理将其转换为感应电流；悬吊式偏转线圈在恒定磁场中受安培力矩作用产生机械偏转；反射镜与一维PSD传感器构成光杠杆，把微小角位移放大为光斑位移；最后由Arduino结合ADS1115高精度ADC完成采样、滑动平均滤波与归一化运算，实现从磁场强度到数字读数的全链路定量测量。论文建立了”电—磁—力—光—电”的完整量化模型，给出了灵敏度、机械固有频率、工作频带、噪声底与探测极限的理论计算，设计了两级标定流程（后端”电流—归一化算子”标定与前端”磁场—电流”标定），并按GUM方法给出了端到端不确定度预算。基于示例参数的全链路数值仿真表明：电流灵敏度约8000 m/A（1 µA对应光斑位移8 mm），机械固有频率约0.5 Hz，工作频带0.1 Hz内幅值误差小于5%；归一化标定线性度优于0.01%；单次采样检测极限约0.2 nA，经约8 s最优平均可降至约13 pA；合成标准不确定度约2.65%（扩展不确定度约5.3%，k=2）。上述量化结果为后续实验验证提供了可直接检验的预期值。</w:t>
      </w:r>
    </w:p>
    <w:p>
      <w:pPr>
        <w:pStyle w:val="BodyText"/>
      </w:pPr>
      <w:r>
        <w:rPr>
          <w:bCs/>
          <w:b/>
        </w:rPr>
        <w:t xml:space="preserve">关键词：</w:t>
      </w:r>
      <w:r>
        <w:t xml:space="preserve">微弱电信号；Arduino；光杠杆；PSD传感器；电磁感应；低频磁场源</w:t>
      </w:r>
    </w:p>
    <w:p>
      <w:r>
        <w:br w:type="page"/>
      </w:r>
    </w:p>
    <w:p>
      <w:pPr>
        <w:pStyle w:val="BodyText"/>
      </w:pPr>
      <w:r>
        <w:rPr>
          <w:bCs/>
          <w:b/>
        </w:rPr>
        <w:t xml:space="preserve">Abstract:</w:t>
      </w:r>
      <w:r>
        <w:t xml:space="preserve"> </w:t>
      </w:r>
      <w:r>
        <w:t xml:space="preserve">To address the issues of low amplitude and high susceptibility to noise in weak electrical signal measurement, this paper designs a low-frequency weak electrical signal measurement system based on Arduino embedded development and optical lever amplification. A low-frequency alternating magnetic field (0.05–0.5 Hz) serves as the signal carrier: a generation module establishes a precisely controlled alternating field through a DAC and a transmitter coil; a receiving coil converts it into an induced current by electromagnetic induction; a suspended deflection coil subjected to Ampere torque in a constant magnetic field produces mechanical deflection; a mirror together with a one-dimensional PSD sensor forms an optical lever that amplifies the small angular deflection into a beam-spot displacement; finally, an Arduino together with a high-precision ADS1115 ADC performs sampling, moving-average filtering and normalized computation. A complete quantitative model of the</w:t>
      </w:r>
      <w:r>
        <w:t xml:space="preserve"> </w:t>
      </w:r>
      <w:r>
        <w:t xml:space="preserve">“</w:t>
      </w:r>
      <w:r>
        <w:t xml:space="preserve">electric–magnetic–force–optical–electric</w:t>
      </w:r>
      <w:r>
        <w:t xml:space="preserve">”</w:t>
      </w:r>
      <w:r>
        <w:t xml:space="preserve"> </w:t>
      </w:r>
      <w:r>
        <w:t xml:space="preserve">chain is established, with theoretical estimates of sensitivity, mechanical resonance frequency, working band, noise floor and detection limit. A two-stage calibration procedure (back-end</w:t>
      </w:r>
      <w:r>
        <w:t xml:space="preserve"> </w:t>
      </w:r>
      <w:r>
        <w:t xml:space="preserve">“</w:t>
      </w:r>
      <w:r>
        <w:t xml:space="preserve">current–normalized operator</w:t>
      </w:r>
      <w:r>
        <w:t xml:space="preserve">”</w:t>
      </w:r>
      <w:r>
        <w:t xml:space="preserve"> </w:t>
      </w:r>
      <w:r>
        <w:t xml:space="preserve">calibration and front-end</w:t>
      </w:r>
      <w:r>
        <w:t xml:space="preserve"> </w:t>
      </w:r>
      <w:r>
        <w:t xml:space="preserve">“</w:t>
      </w:r>
      <w:r>
        <w:t xml:space="preserve">field–current</w:t>
      </w:r>
      <w:r>
        <w:t xml:space="preserve">”</w:t>
      </w:r>
      <w:r>
        <w:t xml:space="preserve"> </w:t>
      </w:r>
      <w:r>
        <w:t xml:space="preserve">calibration) and a GUM-based end-to-end uncertainty budget are presented. With the example parameters, full-chain numerical simulation shows a current sensitivity of about 8000 m/A, a mechanical resonance frequency of about 0.5 Hz, an amplitude error below 5% within the 0.1 Hz working band, a calibration linearity better than 0.01%, a single-shot detection limit of about 0.2 nA (reducible to about 13 pA after ~8 s optimal averaging), and a combined standard uncertainty of about 2.65% (expanded uncertainty about 5.3%, k=2). These quantitative results provide testable expectations for subsequent experimental verification.</w:t>
      </w:r>
    </w:p>
    <w:p>
      <w:pPr>
        <w:pStyle w:val="BodyText"/>
      </w:pPr>
      <w:r>
        <w:rPr>
          <w:bCs/>
          <w:b/>
        </w:rPr>
        <w:t xml:space="preserve">Keywords:</w:t>
      </w:r>
      <w:r>
        <w:t xml:space="preserve"> </w:t>
      </w:r>
      <w:r>
        <w:t xml:space="preserve">Weak electrical signal; Arduino; Optical lever; PSD sensor; Electromagnetic induction; Low-frequency magnetic field source</w:t>
      </w:r>
    </w:p>
    <w:sdt>
      <w:sdtPr>
        <w:docPartObj>
          <w:docPartGallery w:val="Table of Contents"/>
          <w:docPartUnique/>
        </w:docPartObj>
      </w:sdtPr>
      <w:sdtContent>
        <w:p>
          <w:pPr>
            <w:pStyle w:val="TOCHeading"/>
          </w:pPr>
          <w:r>
            <w:t xml:space="preserve">目　录</w:t>
          </w:r>
        </w:p>
        <w:p>
          <w:r>
            <w:fldChar w:fldCharType="begin" w:dirty="true"/>
            <w:instrText xml:space="preserve"> TOC \o "1-3" \h \z \u </w:instrText>
            <w:fldChar w:fldCharType="separate"/>
          </w:r>
        </w:p>
        <w:p>
          <w:pPr>
            <w:pStyle w:val="TOC1"/>
          </w:pPr>
          <w:r>
            <w:t xml:space="preserve">1 引言</w:t>
          </w:r>
          <w:r>
            <w:tab/>
          </w:r>
          <w:r>
            <w:t xml:space="preserve">6</w:t>
          </w:r>
        </w:p>
        <w:p>
          <w:pPr>
            <w:pStyle w:val="TOC1"/>
          </w:pPr>
          <w:r>
            <w:t xml:space="preserve">2 系统总体设计</w:t>
          </w:r>
          <w:r>
            <w:tab/>
          </w:r>
          <w:r>
            <w:t xml:space="preserve">7</w:t>
          </w:r>
        </w:p>
        <w:p>
          <w:pPr>
            <w:pStyle w:val="TOC1"/>
          </w:pPr>
          <w:r>
            <w:t xml:space="preserve">3 微弱电信号发生模块</w:t>
          </w:r>
          <w:r>
            <w:tab/>
          </w:r>
          <w:r>
            <w:t xml:space="preserve">10</w:t>
          </w:r>
        </w:p>
        <w:p>
          <w:pPr>
            <w:pStyle w:val="TOC1"/>
          </w:pPr>
          <w:r>
            <w:t xml:space="preserve">4 信号接收模块</w:t>
          </w:r>
          <w:r>
            <w:tab/>
          </w:r>
          <w:r>
            <w:t xml:space="preserve">12</w:t>
          </w:r>
        </w:p>
        <w:p>
          <w:pPr>
            <w:pStyle w:val="TOC1"/>
          </w:pPr>
          <w:r>
            <w:t xml:space="preserve">5 偏转模块</w:t>
          </w:r>
          <w:r>
            <w:tab/>
          </w:r>
          <w:r>
            <w:t xml:space="preserve">14</w:t>
          </w:r>
        </w:p>
        <w:p>
          <w:pPr>
            <w:pStyle w:val="TOC1"/>
          </w:pPr>
          <w:r>
            <w:t xml:space="preserve">6 数据处理模块</w:t>
          </w:r>
          <w:r>
            <w:tab/>
          </w:r>
          <w:r>
            <w:t xml:space="preserve">17</w:t>
          </w:r>
        </w:p>
        <w:p>
          <w:pPr>
            <w:pStyle w:val="TOC1"/>
          </w:pPr>
          <w:r>
            <w:t xml:space="preserve">7 系统标定与量化模型</w:t>
          </w:r>
          <w:r>
            <w:tab/>
          </w:r>
          <w:r>
            <w:t xml:space="preserve">24</w:t>
          </w:r>
        </w:p>
        <w:p>
          <w:pPr>
            <w:pStyle w:val="TOC1"/>
          </w:pPr>
          <w:r>
            <w:t xml:space="preserve">8 误差分析</w:t>
          </w:r>
          <w:r>
            <w:tab/>
          </w:r>
          <w:r>
            <w:t xml:space="preserve">27</w:t>
          </w:r>
        </w:p>
        <w:p>
          <w:pPr>
            <w:pStyle w:val="TOC1"/>
          </w:pPr>
          <w:r>
            <w:t xml:space="preserve">9 应用案例与效果分析</w:t>
          </w:r>
          <w:r>
            <w:tab/>
          </w:r>
          <w:r>
            <w:t xml:space="preserve">31</w:t>
          </w:r>
        </w:p>
        <w:p>
          <w:pPr>
            <w:pStyle w:val="TOC1"/>
          </w:pPr>
          <w:r>
            <w:t xml:space="preserve">10 系统局限性讨论</w:t>
          </w:r>
          <w:r>
            <w:tab/>
          </w:r>
          <w:r>
            <w:t xml:space="preserve">34</w:t>
          </w:r>
        </w:p>
        <w:p>
          <w:pPr>
            <w:pStyle w:val="TOC1"/>
          </w:pPr>
          <w:r>
            <w:t xml:space="preserve">11 结论与展望</w:t>
          </w:r>
          <w:r>
            <w:tab/>
          </w:r>
          <w:r>
            <w:t xml:space="preserve">36</w:t>
          </w:r>
        </w:p>
        <w:p>
          <w:pPr>
            <w:pStyle w:val="TOC1"/>
          </w:pPr>
          <w:r>
            <w:t xml:space="preserve">参考文献</w:t>
          </w:r>
          <w:r>
            <w:tab/>
          </w:r>
          <w:r>
            <w:t xml:space="preserve">40</w:t>
          </w:r>
        </w:p>
        <w:p>
          <w:pPr>
            <w:pStyle w:val="TOC1"/>
          </w:pPr>
          <w:r>
            <w:t xml:space="preserve">致 谢</w:t>
          </w:r>
          <w:r>
            <w:tab/>
          </w:r>
          <w:r>
            <w:t xml:space="preserve">42</w:t>
          </w:r>
        </w:p>
        <w:p>
          <w:pPr>
            <w:pStyle w:val="TOC1"/>
          </w:pPr>
          <w:r>
            <w:t xml:space="preserve">附录 A 词汇对照表</w:t>
          </w:r>
          <w:r>
            <w:tab/>
          </w:r>
          <w:r>
            <w:t xml:space="preserve">43</w:t>
          </w:r>
        </w:p>
        <w:p>
          <w:pPr>
            <w:pStyle w:val="TOC2"/>
          </w:pPr>
          <w:r>
            <w:t xml:space="preserve">3.1 电路设计与实现</w:t>
          </w:r>
          <w:r>
            <w:tab/>
          </w:r>
          <w:r>
            <w:t xml:space="preserve">10</w:t>
          </w:r>
        </w:p>
        <w:p>
          <w:pPr>
            <w:pStyle w:val="TOC2"/>
          </w:pPr>
          <w:r>
            <w:t xml:space="preserve">3.2 程序设计与实现</w:t>
          </w:r>
          <w:r>
            <w:tab/>
          </w:r>
          <w:r>
            <w:t xml:space="preserve">11</w:t>
          </w:r>
        </w:p>
        <w:p>
          <w:pPr>
            <w:pStyle w:val="TOC2"/>
          </w:pPr>
          <w:r>
            <w:t xml:space="preserve">5.1 安培力矩与平衡方程</w:t>
          </w:r>
          <w:r>
            <w:tab/>
          </w:r>
          <w:r>
            <w:t xml:space="preserve">14</w:t>
          </w:r>
        </w:p>
        <w:p>
          <w:pPr>
            <w:pStyle w:val="TOC2"/>
          </w:pPr>
          <w:r>
            <w:t xml:space="preserve">5.2 光杠杆放大</w:t>
          </w:r>
          <w:r>
            <w:tab/>
          </w:r>
          <w:r>
            <w:t xml:space="preserve">14</w:t>
          </w:r>
        </w:p>
        <w:p>
          <w:pPr>
            <w:pStyle w:val="TOC2"/>
          </w:pPr>
          <w:r>
            <w:t xml:space="preserve">5.3 机械动力学与工作频带</w:t>
          </w:r>
          <w:r>
            <w:tab/>
          </w:r>
          <w:r>
            <w:t xml:space="preserve">15</w:t>
          </w:r>
        </w:p>
        <w:p>
          <w:pPr>
            <w:pStyle w:val="TOC2"/>
          </w:pPr>
          <w:r>
            <w:t xml:space="preserve">6.1 数据计算原理</w:t>
          </w:r>
          <w:r>
            <w:tab/>
          </w:r>
          <w:r>
            <w:t xml:space="preserve">17</w:t>
          </w:r>
        </w:p>
        <w:p>
          <w:pPr>
            <w:pStyle w:val="TOC2"/>
          </w:pPr>
          <w:r>
            <w:t xml:space="preserve">6.2 电路设计与实现</w:t>
          </w:r>
          <w:r>
            <w:tab/>
          </w:r>
          <w:r>
            <w:t xml:space="preserve">18</w:t>
          </w:r>
        </w:p>
        <w:p>
          <w:pPr>
            <w:pStyle w:val="TOC2"/>
          </w:pPr>
          <w:r>
            <w:t xml:space="preserve">6.3 程序设计与实现</w:t>
          </w:r>
          <w:r>
            <w:tab/>
          </w:r>
          <w:r>
            <w:t xml:space="preserve">21</w:t>
          </w:r>
        </w:p>
        <w:p>
          <w:pPr>
            <w:pStyle w:val="TOC2"/>
          </w:pPr>
          <w:r>
            <w:t xml:space="preserve">7.1 后端标定：电流—归一化算子</w:t>
          </w:r>
          <w:r>
            <w:tab/>
          </w:r>
          <w:r>
            <w:t xml:space="preserve">24</w:t>
          </w:r>
        </w:p>
        <w:p>
          <w:pPr>
            <w:pStyle w:val="TOC2"/>
          </w:pPr>
          <w:r>
            <w:t xml:space="preserve">7.2 前端标定：磁场—电流</w:t>
          </w:r>
          <w:r>
            <w:tab/>
          </w:r>
          <w:r>
            <w:t xml:space="preserve">25</w:t>
          </w:r>
        </w:p>
        <w:p>
          <w:pPr>
            <w:pStyle w:val="TOC2"/>
          </w:pPr>
          <w:r>
            <w:t xml:space="preserve">7.3 系统综合校准与线性度验证</w:t>
          </w:r>
          <w:r>
            <w:tab/>
          </w:r>
          <w:r>
            <w:t xml:space="preserve">26</w:t>
          </w:r>
        </w:p>
        <w:p>
          <w:pPr>
            <w:pStyle w:val="TOC2"/>
          </w:pPr>
          <w:r>
            <w:t xml:space="preserve">8.1 误差来源分析</w:t>
          </w:r>
          <w:r>
            <w:tab/>
          </w:r>
          <w:r>
            <w:t xml:space="preserve">27</w:t>
          </w:r>
        </w:p>
        <w:p>
          <w:pPr>
            <w:pStyle w:val="TOC2"/>
          </w:pPr>
          <w:r>
            <w:t xml:space="preserve">8.2 不确定度计算模型</w:t>
          </w:r>
          <w:r>
            <w:tab/>
          </w:r>
          <w:r>
            <w:t xml:space="preserve">28</w:t>
          </w:r>
        </w:p>
        <w:p>
          <w:pPr>
            <w:pStyle w:val="TOC2"/>
          </w:pPr>
          <w:r>
            <w:t xml:space="preserve">8.3 测量精度提升策略</w:t>
          </w:r>
          <w:r>
            <w:tab/>
          </w:r>
          <w:r>
            <w:t xml:space="preserve">30</w:t>
          </w:r>
        </w:p>
        <w:p>
          <w:pPr>
            <w:pStyle w:val="TOC2"/>
          </w:pPr>
          <w:r>
            <w:t xml:space="preserve">9.1 光电效应实验</w:t>
          </w:r>
          <w:r>
            <w:tab/>
          </w:r>
          <w:r>
            <w:t xml:space="preserve">31</w:t>
          </w:r>
        </w:p>
        <w:p>
          <w:pPr>
            <w:pStyle w:val="TOC2"/>
          </w:pPr>
          <w:r>
            <w:t xml:space="preserve">9.2 微弱光电信号检测</w:t>
          </w:r>
          <w:r>
            <w:tab/>
          </w:r>
          <w:r>
            <w:t xml:space="preserve">32</w:t>
          </w:r>
        </w:p>
        <w:p>
          <w:pPr>
            <w:pStyle w:val="TOC2"/>
          </w:pPr>
          <w:r>
            <w:t xml:space="preserve">9.3 材料光电特性测试</w:t>
          </w:r>
          <w:r>
            <w:tab/>
          </w:r>
          <w:r>
            <w:t xml:space="preserve">34</w:t>
          </w:r>
        </w:p>
        <w:p>
          <w:pPr>
            <w:pStyle w:val="TOC2"/>
          </w:pPr>
          <w:r>
            <w:t xml:space="preserve">10.1 性能局限性</w:t>
          </w:r>
          <w:r>
            <w:tab/>
          </w:r>
          <w:r>
            <w:t xml:space="preserve">35</w:t>
          </w:r>
        </w:p>
        <w:p>
          <w:pPr>
            <w:pStyle w:val="TOC2"/>
          </w:pPr>
          <w:r>
            <w:t xml:space="preserve">10.2 应用环境局限性</w:t>
          </w:r>
          <w:r>
            <w:tab/>
          </w:r>
          <w:r>
            <w:t xml:space="preserve">35</w:t>
          </w:r>
        </w:p>
        <w:p>
          <w:pPr>
            <w:pStyle w:val="TOC2"/>
          </w:pPr>
          <w:r>
            <w:t xml:space="preserve">10.3 技术局限性</w:t>
          </w:r>
          <w:r>
            <w:tab/>
          </w:r>
          <w:r>
            <w:t xml:space="preserve">36</w:t>
          </w:r>
        </w:p>
        <w:p>
          <w:pPr>
            <w:pStyle w:val="TOC2"/>
          </w:pPr>
          <w:r>
            <w:t xml:space="preserve">11.1 研究结论</w:t>
          </w:r>
          <w:r>
            <w:tab/>
          </w:r>
          <w:r>
            <w:t xml:space="preserve">36</w:t>
          </w:r>
        </w:p>
        <w:p>
          <w:pPr>
            <w:pStyle w:val="TOC2"/>
          </w:pPr>
          <w:r>
            <w:t xml:space="preserve">11.2 研究创新点</w:t>
          </w:r>
          <w:r>
            <w:tab/>
          </w:r>
          <w:r>
            <w:t xml:space="preserve">37</w:t>
          </w:r>
        </w:p>
        <w:p>
          <w:pPr>
            <w:pStyle w:val="TOC2"/>
          </w:pPr>
          <w:r>
            <w:t xml:space="preserve">11.3 未来展望</w:t>
          </w:r>
          <w:r>
            <w:tab/>
          </w:r>
          <w:r>
            <w:t xml:space="preserve">38</w:t>
          </w:r>
        </w:p>
        <w:p>
          <w:pPr>
            <w:pStyle w:val="TOC3"/>
          </w:pPr>
          <w:r>
            <w:t xml:space="preserve">6.1.1 归一化位置算子</w:t>
          </w:r>
          <w:r>
            <w:tab/>
          </w:r>
          <w:r>
            <w:t xml:space="preserve">17</w:t>
          </w:r>
        </w:p>
        <w:p>
          <w:pPr>
            <w:pStyle w:val="TOC3"/>
          </w:pPr>
          <w:r>
            <w:t xml:space="preserve">6.1.2 感应电流</w:t>
          </w:r>
          <w:r>
            <w:tab/>
          </w:r>
          <w:r>
            <w:t xml:space="preserve">17</w:t>
          </w:r>
        </w:p>
        <w:p>
          <w:pPr>
            <w:pStyle w:val="TOC3"/>
          </w:pPr>
          <w:r>
            <w:t xml:space="preserve">6.1.3 等效感应电压幅值</w:t>
          </w:r>
          <w:r>
            <w:tab/>
          </w:r>
          <w:r>
            <w:t xml:space="preserve">18</w:t>
          </w:r>
        </w:p>
        <w:p>
          <w:pPr>
            <w:pStyle w:val="TOC3"/>
          </w:pPr>
          <w:r>
            <w:t xml:space="preserve">6.1.4 信号频率</w:t>
          </w:r>
          <w:r>
            <w:tab/>
          </w:r>
          <w:r>
            <w:t xml:space="preserve">18</w:t>
          </w:r>
        </w:p>
        <w:p>
          <w:pPr>
            <w:pStyle w:val="TOC3"/>
          </w:pPr>
          <w:r>
            <w:t xml:space="preserve">6.3.1 数据转换输出代码</w:t>
          </w:r>
          <w:r>
            <w:tab/>
          </w:r>
          <w:r>
            <w:t xml:space="preserve">21</w:t>
          </w:r>
        </w:p>
        <w:p>
          <w:pPr>
            <w:pStyle w:val="TOC3"/>
          </w:pPr>
          <w:r>
            <w:t xml:space="preserve">6.3.2 数字降噪算法代码</w:t>
          </w:r>
          <w:r>
            <w:tab/>
          </w:r>
          <w:r>
            <w:t xml:space="preserve">22</w:t>
          </w:r>
        </w:p>
        <w:p>
          <w:pPr>
            <w:pStyle w:val="TOC3"/>
          </w:pPr>
          <w:r>
            <w:t xml:space="preserve">9.1.1 实验设置</w:t>
          </w:r>
          <w:r>
            <w:tab/>
          </w:r>
          <w:r>
            <w:t xml:space="preserve">31</w:t>
          </w:r>
        </w:p>
        <w:p>
          <w:pPr>
            <w:pStyle w:val="TOC3"/>
          </w:pPr>
          <w:r>
            <w:t xml:space="preserve">9.1.2 实验结果分析</w:t>
          </w:r>
          <w:r>
            <w:tab/>
          </w:r>
          <w:r>
            <w:t xml:space="preserve">31</w:t>
          </w:r>
        </w:p>
        <w:p>
          <w:pPr>
            <w:pStyle w:val="TOC3"/>
          </w:pPr>
          <w:r>
            <w:t xml:space="preserve">9.2.1 探测能力测试</w:t>
          </w:r>
          <w:r>
            <w:tab/>
          </w:r>
          <w:r>
            <w:t xml:space="preserve">32</w:t>
          </w:r>
        </w:p>
        <w:p>
          <w:pPr>
            <w:pStyle w:val="TOC3"/>
          </w:pPr>
          <w:r>
            <w:t xml:space="preserve">9.2.2 弱信号检测应用分析</w:t>
          </w:r>
          <w:r>
            <w:tab/>
          </w:r>
          <w:r>
            <w:t xml:space="preserve">33</w:t>
          </w:r>
        </w:p>
        <w:p>
          <w:pPr>
            <w:pStyle w:val="TOC3"/>
          </w:pPr>
          <w:r>
            <w:t xml:space="preserve">9.3.1 测试方法</w:t>
          </w:r>
          <w:r>
            <w:tab/>
          </w:r>
          <w:r>
            <w:t xml:space="preserve">34</w:t>
          </w:r>
        </w:p>
        <w:p>
          <w:pPr>
            <w:pStyle w:val="TOC3"/>
          </w:pPr>
          <w:r>
            <w:t xml:space="preserve">9.3.2 应用价值</w:t>
          </w:r>
          <w:r>
            <w:tab/>
          </w:r>
          <w:r>
            <w:t xml:space="preserve">34</w:t>
          </w:r>
        </w:p>
        <w:p>
          <w:r>
            <w:fldChar w:fldCharType="end"/>
          </w:r>
        </w:p>
      </w:sdtContent>
    </w:sdt>
    <w:p>
      <w:r>
        <w:br w:type="page"/>
      </w:r>
    </w:p>
    <w:bookmarkStart w:id="26" w:name="引言"/>
    <w:p>
      <w:pPr>
        <w:pStyle w:val="Heading1"/>
      </w:pPr>
      <w:r>
        <w:t xml:space="preserve">1　引言</w:t>
      </w:r>
    </w:p>
    <w:p>
      <w:pPr>
        <w:pStyle w:val="FirstParagraph"/>
      </w:pPr>
      <w:r>
        <w:t xml:space="preserve">在工程实践与物理实验中，纳安及以下量级的微弱电信号稳定测量始终面临困难。传统检测仪器极易受到环境噪声干扰，且单纯依赖高增益电子放大电路会同步放大前置电学噪声，难以有效提升系统信噪比。锁相放大等方法通过相敏检测与窄带滤波从噪声中提取被淹没信号，是微弱信号测量的主流平台，但其对参考信号与相位同步的要求限制了其在准静态、无参考场景下的直接应用 [1]。</w:t>
      </w:r>
    </w:p>
    <w:p>
      <w:pPr>
        <w:pStyle w:val="BodyText"/>
      </w:pPr>
      <w:r>
        <w:t xml:space="preserve">将物理放大机制与电子测量技术结合，是解决前置噪声瓶颈的另一条有效路径。物理放大在信号转换前段不引入额外电学噪声，可将微小电学变化转化为可观测的力学与光学位移，从原理上规避电子放大器的噪声限制。这一思路有深厚的先例：1858年开尔文（W. Thomson）为跨大西洋电缆通信发明的镜像检流计，即采用”悬吊线圈 + 反射镜 + 光杠杆”结构，把微弱电流驱动的微小角偏转放大为远处光斑位移，动圈式检流计的灵敏度可达25000 mm/µA（1 m标尺），可检测约4×10⁻¹¹ A的电流 [2]。光杠杆作为悬臂偏转检测的标准方法，至今仍是原子力显微镜（AFM）光学读出的基础 [3]。</w:t>
      </w:r>
    </w:p>
    <w:p>
      <w:pPr>
        <w:pStyle w:val="BodyText"/>
      </w:pPr>
      <w:r>
        <w:t xml:space="preserve">基于上述思路，本文设计并实现了一套基于Arduino UNO（后文简称Arduino）嵌入式开发的微弱电信号测量系统。本系统是经典镜像检流计思路的数字化重构：保留”悬吊线圈 + 光杠杆”的物理放大路径，用一维PSD位置传感器与Arduino数字处理替代传统指针与目视读数。针对悬吊式机械结构的低带宽特性，系统将信号载体设计为0.05～0.5 Hz的低频交变磁场，并显式给出工作频带；数据处理采用归一化位置算子，对激光功率波动一阶不敏感；标定采用”磁场—电流—归一化算子”的两级闭合流程；测量结果按GUM方法给出端到端不确定度。本文以示例装置参数完成全链路数值仿真，给出了灵敏度、探测极限与不确定度等量化预期值，供后续实验验证与比对。系统采用开源嵌入式平台 [8]，结构简单、成本较低、原理透明，适合作为高校物理实验、创新实验与基础研究中的教学测量平台。</w:t>
      </w:r>
    </w:p>
    <w:p>
      <w:pPr>
        <w:pStyle w:val="BodyText"/>
      </w:pPr>
      <w:r>
        <w:t xml:space="preserve">本文后续章节安排如下：</w:t>
      </w:r>
    </w:p>
    <w:p>
      <w:pPr>
        <w:numPr>
          <w:ilvl w:val="0"/>
          <w:numId w:val="1001"/>
        </w:numPr>
        <w:pStyle w:val="Compact"/>
      </w:pPr>
      <w:r>
        <w:t xml:space="preserve">第2章简要介绍系统总体设计；</w:t>
      </w:r>
    </w:p>
    <w:p>
      <w:pPr>
        <w:numPr>
          <w:ilvl w:val="0"/>
          <w:numId w:val="1001"/>
        </w:numPr>
        <w:pStyle w:val="Compact"/>
      </w:pPr>
      <w:r>
        <w:t xml:space="preserve">第3至第6章详细介绍微弱电信号发生模块、信号接收模块、偏转模块与数据处理模块的设计与实现；</w:t>
      </w:r>
    </w:p>
    <w:p>
      <w:pPr>
        <w:numPr>
          <w:ilvl w:val="0"/>
          <w:numId w:val="1001"/>
        </w:numPr>
        <w:pStyle w:val="Compact"/>
      </w:pPr>
      <w:r>
        <w:t xml:space="preserve">第7至第8章介绍两级标定方法、系统校准、线性度验证与误差、不确定度分析；</w:t>
      </w:r>
    </w:p>
    <w:p>
      <w:pPr>
        <w:numPr>
          <w:ilvl w:val="0"/>
          <w:numId w:val="1001"/>
        </w:numPr>
        <w:pStyle w:val="Compact"/>
      </w:pPr>
      <w:r>
        <w:t xml:space="preserve">第9至第10章介绍系统应用与局限性；</w:t>
      </w:r>
    </w:p>
    <w:p>
      <w:pPr>
        <w:numPr>
          <w:ilvl w:val="0"/>
          <w:numId w:val="1001"/>
        </w:numPr>
        <w:pStyle w:val="Compact"/>
      </w:pPr>
      <w:r>
        <w:t xml:space="preserve">第11章进行结论总结与展望。</w:t>
      </w:r>
    </w:p>
    <w:bookmarkEnd w:id="26"/>
    <w:bookmarkStart w:id="33" w:name="系统总体设计"/>
    <w:p>
      <w:pPr>
        <w:pStyle w:val="Heading1"/>
      </w:pPr>
      <w:r>
        <w:t xml:space="preserve">2　系统总体设计</w:t>
      </w:r>
    </w:p>
    <w:p>
      <w:pPr>
        <w:pStyle w:val="FirstParagraph"/>
      </w:pPr>
      <w:r>
        <w:t xml:space="preserve">本系统以长方体框架作为整体机械支撑结构，其架构如图1所示。系统采用模块化设计思想，将整个装置划分为微弱电信号发生模块、信号接收模块、偏转模块以及数据处理模块。装置框架长度方向作为信号转换与光学检测的主要路径，其中左侧安装悬吊式偏转结构，右侧布置激光发射、光斑位置检测以及数据处理电路。信号接收模块与偏转模块采用一体化线圈结构，由同一根连续铜线绕制形成，接收部分位于悬吊结构上方，可根据实验需求调整空间位置。微弱电信号发生模块位于装置外部，用于产生可控的微弱信号源。</w:t>
      </w:r>
    </w:p>
    <w:p>
      <w:pPr>
        <w:pStyle w:val="CaptionedFigure"/>
      </w:pPr>
      <w:r>
        <w:drawing>
          <wp:inline>
            <wp:extent cx="5303520" cy="3330353"/>
            <wp:effectExtent b="0" l="0" r="0" t="0"/>
            <wp:docPr descr="图 1　系统架构示意图" title="" id="28" name="Picture"/>
            <a:graphic>
              <a:graphicData uri="http://schemas.openxmlformats.org/drawingml/2006/picture">
                <pic:pic>
                  <pic:nvPicPr>
                    <pic:cNvPr descr="media/fig_arch.png" id="29" name="Picture"/>
                    <pic:cNvPicPr>
                      <a:picLocks noChangeArrowheads="1" noChangeAspect="1"/>
                    </pic:cNvPicPr>
                  </pic:nvPicPr>
                  <pic:blipFill>
                    <a:blip r:embed="rId27"/>
                    <a:stretch>
                      <a:fillRect/>
                    </a:stretch>
                  </pic:blipFill>
                  <pic:spPr bwMode="auto">
                    <a:xfrm>
                      <a:off x="0" y="0"/>
                      <a:ext cx="5303520" cy="3330353"/>
                    </a:xfrm>
                    <a:prstGeom prst="rect">
                      <a:avLst/>
                    </a:prstGeom>
                    <a:noFill/>
                    <a:ln w="9525">
                      <a:noFill/>
                      <a:headEnd/>
                      <a:tailEnd/>
                    </a:ln>
                  </pic:spPr>
                </pic:pic>
              </a:graphicData>
            </a:graphic>
          </wp:inline>
        </w:drawing>
      </w:r>
    </w:p>
    <w:p>
      <w:pPr>
        <w:pStyle w:val="ImageCaption"/>
      </w:pPr>
      <w:r>
        <w:t xml:space="preserve">图 1　系统架构示意图</w:t>
      </w:r>
    </w:p>
    <w:p>
      <w:pPr>
        <w:pStyle w:val="BodyText"/>
      </w:pPr>
      <w:r>
        <w:t xml:space="preserve">微弱电信号发生模块的本质相当于一个已知微弱信号源。该模块通过DAC与发射线圈在空间中建立幅值和频率精确可控的交变磁场，频率取0.05～0.5 Hz，处于偏转结构的机械带宽之内。</w:t>
      </w:r>
    </w:p>
    <w:p>
      <w:pPr>
        <w:pStyle w:val="BodyText"/>
      </w:pPr>
      <w:r>
        <w:t xml:space="preserve">信号接收模块由密绕接收线圈和永磁体组成。永磁体在接收区域形成近似均匀的偏置磁场，当交变磁场作用于接收线圈时，线圈中产生感应电流。接收线圈产生的感应电流直接通过铜线流入偏转线圈。</w:t>
      </w:r>
    </w:p>
    <w:p>
      <w:pPr>
        <w:pStyle w:val="BodyText"/>
      </w:pPr>
      <w:r>
        <w:t xml:space="preserve">偏转模块由悬吊式偏转线圈、永磁体、反射镜及传感器组成。感应电流流经偏转线圈后，载流线圈在磁场中受到安培力作用产生转动力矩，使线圈发生微小偏转。反射镜固定于偏转线圈上并同步转动，改变激光反射方向，使远端PSD检测到光斑位置变化，实现微小位移的光学放大。</w:t>
      </w:r>
    </w:p>
    <w:p>
      <w:pPr>
        <w:pStyle w:val="BodyText"/>
      </w:pPr>
      <w:r>
        <w:t xml:space="preserve">数据处理模块负责完成光斑信号采集、转换与计算。PSD检测反射光斑变化，其输出的微弱光电信号经模拟调理电路放大处理后，由ADS1115高精度ADC完成采样，并传输至Arduino进行数字滤波与归一化计算。系统根据预先建立的两级标定关系，计算得到对应的感应电流、等效感应电压与信号频率。为降低环境干扰对测量结果的影响，装置整体采用电磁屏蔽结构，数据处理部分采用金属屏蔽罩进行隔离，提高系统稳定性。</w:t>
      </w:r>
    </w:p>
    <w:p>
      <w:pPr>
        <w:pStyle w:val="BodyText"/>
      </w:pPr>
      <w:r>
        <w:t xml:space="preserve">系统架构流程如图2所示，通过”微弱电信号产生—电磁感应转换—磁电转换—机械偏转—光学检测—数据处理”的转换过程，实现对微弱电信号的间接测量。</w:t>
      </w:r>
    </w:p>
    <w:p>
      <w:pPr>
        <w:pStyle w:val="CaptionedFigure"/>
      </w:pPr>
      <w:r>
        <w:drawing>
          <wp:inline>
            <wp:extent cx="3566160" cy="3509653"/>
            <wp:effectExtent b="0" l="0" r="0" t="0"/>
            <wp:docPr descr="图 2　系统架构流程图" title="" id="31" name="Picture"/>
            <a:graphic>
              <a:graphicData uri="http://schemas.openxmlformats.org/drawingml/2006/picture">
                <pic:pic>
                  <pic:nvPicPr>
                    <pic:cNvPr descr="media/fig_flow.png" id="32" name="Picture"/>
                    <pic:cNvPicPr>
                      <a:picLocks noChangeArrowheads="1" noChangeAspect="1"/>
                    </pic:cNvPicPr>
                  </pic:nvPicPr>
                  <pic:blipFill>
                    <a:blip r:embed="rId30"/>
                    <a:stretch>
                      <a:fillRect/>
                    </a:stretch>
                  </pic:blipFill>
                  <pic:spPr bwMode="auto">
                    <a:xfrm>
                      <a:off x="0" y="0"/>
                      <a:ext cx="3566160" cy="3509653"/>
                    </a:xfrm>
                    <a:prstGeom prst="rect">
                      <a:avLst/>
                    </a:prstGeom>
                    <a:noFill/>
                    <a:ln w="9525">
                      <a:noFill/>
                      <a:headEnd/>
                      <a:tailEnd/>
                    </a:ln>
                  </pic:spPr>
                </pic:pic>
              </a:graphicData>
            </a:graphic>
          </wp:inline>
        </w:drawing>
      </w:r>
    </w:p>
    <w:p>
      <w:pPr>
        <w:pStyle w:val="ImageCaption"/>
      </w:pPr>
      <w:r>
        <w:t xml:space="preserve">图 2　系统架构流程图</w:t>
      </w:r>
    </w:p>
    <w:p>
      <w:pPr>
        <w:pStyle w:val="BodyText"/>
      </w:pPr>
      <w:r>
        <w:t xml:space="preserve">系统的设计参数（示例值）如表1所示，本文第5、7、8章的量化计算均以该组参数为依据。</w:t>
      </w:r>
    </w:p>
    <w:p>
      <w:pPr>
        <w:pStyle w:val="TableCaption"/>
      </w:pPr>
      <w:r>
        <w:t xml:space="preserve">表 1　系统设计参数（示例值）</w:t>
      </w:r>
    </w:p>
    <w:tbl>
      <w:tblPr>
        <w:tblStyle w:val="Table"/>
        <w:tblW w:type="auto" w:w="0"/>
        <w:tblLook w:firstRow="1" w:lastRow="0" w:firstColumn="0" w:lastColumn="0" w:noHBand="0" w:noVBand="0" w:val="0020"/>
        <w:jc w:val="start"/>
        <w:tblCaption w:val="表 1　系统设计参数（示例值）"/>
      </w:tblPr>
      <w:tblGrid>
        <w:gridCol w:w="1980"/>
        <w:gridCol w:w="1980"/>
        <w:gridCol w:w="1980"/>
        <w:gridCol w:w="1980"/>
      </w:tblGrid>
      <w:tr>
        <w:trPr>
          <w:tblHeader w:val="true"/>
        </w:trPr>
        <w:tc>
          <w:tcPr/>
          <w:p>
            <w:pPr>
              <w:pStyle w:val="Compact"/>
              <w:jc w:val="left"/>
            </w:pPr>
            <w:r>
              <w:t xml:space="preserve">参数</w:t>
            </w:r>
          </w:p>
        </w:tc>
        <w:tc>
          <w:tcPr/>
          <w:p>
            <w:pPr>
              <w:pStyle w:val="Compact"/>
              <w:jc w:val="right"/>
            </w:pPr>
            <w:r>
              <w:t xml:space="preserve">符号</w:t>
            </w:r>
          </w:p>
        </w:tc>
        <w:tc>
          <w:tcPr/>
          <w:p>
            <w:pPr>
              <w:pStyle w:val="Compact"/>
              <w:jc w:val="right"/>
            </w:pPr>
            <w:r>
              <w:t xml:space="preserve">数值</w:t>
            </w:r>
          </w:p>
        </w:tc>
        <w:tc>
          <w:tcPr/>
          <w:p>
            <w:pPr>
              <w:pStyle w:val="Compact"/>
              <w:jc w:val="left"/>
            </w:pPr>
            <w:r>
              <w:t xml:space="preserve">说明</w:t>
            </w:r>
          </w:p>
        </w:tc>
      </w:tr>
      <w:tr>
        <w:tc>
          <w:tcPr/>
          <w:p>
            <w:pPr>
              <w:pStyle w:val="Compact"/>
              <w:jc w:val="left"/>
            </w:pPr>
            <w:r>
              <w:t xml:space="preserve">接收线圈匝数</w:t>
            </w:r>
          </w:p>
        </w:tc>
        <w:tc>
          <w:tcPr/>
          <w:p>
            <w:pPr>
              <w:pStyle w:val="Compact"/>
              <w:jc w:val="right"/>
            </w:pPr>
            <m:oMath>
              <m:sSub>
                <m:e>
                  <m:r>
                    <m:t>N</m:t>
                  </m:r>
                </m:e>
                <m:sub>
                  <m:r>
                    <m:t>1</m:t>
                  </m:r>
                </m:sub>
              </m:sSub>
            </m:oMath>
          </w:p>
        </w:tc>
        <w:tc>
          <w:tcPr/>
          <w:p>
            <w:pPr>
              <w:pStyle w:val="Compact"/>
              <w:jc w:val="right"/>
            </w:pPr>
            <w:r>
              <w:t xml:space="preserve">50</w:t>
            </w:r>
          </w:p>
        </w:tc>
        <w:tc>
          <w:tcPr/>
          <w:p>
            <w:pPr>
              <w:pStyle w:val="Compact"/>
              <w:jc w:val="left"/>
            </w:pPr>
            <w:r>
              <w:t xml:space="preserve">密绕</w:t>
            </w:r>
          </w:p>
        </w:tc>
      </w:tr>
      <w:tr>
        <w:tc>
          <w:tcPr/>
          <w:p>
            <w:pPr>
              <w:pStyle w:val="Compact"/>
              <w:jc w:val="left"/>
            </w:pPr>
            <w:r>
              <w:t xml:space="preserve">接收线圈面积</w:t>
            </w:r>
          </w:p>
        </w:tc>
        <w:tc>
          <w:tcPr/>
          <w:p>
            <w:pPr>
              <w:pStyle w:val="Compact"/>
              <w:jc w:val="right"/>
            </w:pPr>
            <m:oMath>
              <m:sSub>
                <m:e>
                  <m:r>
                    <m:t>A</m:t>
                  </m:r>
                </m:e>
                <m:sub>
                  <m:r>
                    <m:t>1</m:t>
                  </m:r>
                </m:sub>
              </m:sSub>
            </m:oMath>
          </w:p>
        </w:tc>
        <w:tc>
          <w:tcPr/>
          <w:p>
            <w:pPr>
              <w:pStyle w:val="Compact"/>
              <w:jc w:val="right"/>
            </w:pPr>
            <m:oMath>
              <m:r>
                <m:t>1.0</m:t>
              </m:r>
              <m:r>
                <m:rPr>
                  <m:sty m:val="p"/>
                </m:rPr>
                <m:t>×</m:t>
              </m:r>
              <m:sSup>
                <m:e>
                  <m:r>
                    <m:t>10</m:t>
                  </m:r>
                </m:e>
                <m:sup>
                  <m:r>
                    <m:rPr>
                      <m:sty m:val="p"/>
                    </m:rPr>
                    <m:t>−</m:t>
                  </m:r>
                  <m:r>
                    <m:t>4</m:t>
                  </m:r>
                </m:sup>
              </m:sSup>
            </m:oMath>
            <w:r>
              <w:t xml:space="preserve"> </w:t>
            </w:r>
            <w:r>
              <w:t xml:space="preserve">m²</w:t>
            </w:r>
          </w:p>
        </w:tc>
        <w:tc>
          <w:tcPr/>
          <w:p>
            <w:pPr>
              <w:pStyle w:val="Compact"/>
              <w:jc w:val="left"/>
            </w:pPr>
            <w:r>
              <w:t xml:space="preserve">1 cm × 1 cm</w:t>
            </w:r>
          </w:p>
        </w:tc>
      </w:tr>
      <w:tr>
        <w:tc>
          <w:tcPr/>
          <w:p>
            <w:pPr>
              <w:pStyle w:val="Compact"/>
              <w:jc w:val="left"/>
            </w:pPr>
            <w:r>
              <w:t xml:space="preserve">偏转线圈匝数</w:t>
            </w:r>
          </w:p>
        </w:tc>
        <w:tc>
          <w:tcPr/>
          <w:p>
            <w:pPr>
              <w:pStyle w:val="Compact"/>
              <w:jc w:val="right"/>
            </w:pPr>
            <m:oMath>
              <m:sSub>
                <m:e>
                  <m:r>
                    <m:t>N</m:t>
                  </m:r>
                </m:e>
                <m:sub>
                  <m:r>
                    <m:t>2</m:t>
                  </m:r>
                </m:sub>
              </m:sSub>
            </m:oMath>
          </w:p>
        </w:tc>
        <w:tc>
          <w:tcPr/>
          <w:p>
            <w:pPr>
              <w:pStyle w:val="Compact"/>
              <w:jc w:val="right"/>
            </w:pPr>
            <w:r>
              <w:t xml:space="preserve">100</w:t>
            </w:r>
          </w:p>
        </w:tc>
        <w:tc>
          <w:tcPr/>
          <w:p>
            <w:pPr>
              <w:pStyle w:val="Compact"/>
            </w:pPr>
          </w:p>
        </w:tc>
      </w:tr>
      <w:tr>
        <w:tc>
          <w:tcPr/>
          <w:p>
            <w:pPr>
              <w:pStyle w:val="Compact"/>
              <w:jc w:val="left"/>
            </w:pPr>
            <w:r>
              <w:t xml:space="preserve">偏转线圈面积</w:t>
            </w:r>
          </w:p>
        </w:tc>
        <w:tc>
          <w:tcPr/>
          <w:p>
            <w:pPr>
              <w:pStyle w:val="Compact"/>
              <w:jc w:val="right"/>
            </w:pPr>
            <m:oMath>
              <m:sSub>
                <m:e>
                  <m:r>
                    <m:t>A</m:t>
                  </m:r>
                </m:e>
                <m:sub>
                  <m:r>
                    <m:t>2</m:t>
                  </m:r>
                </m:sub>
              </m:sSub>
            </m:oMath>
          </w:p>
        </w:tc>
        <w:tc>
          <w:tcPr/>
          <w:p>
            <w:pPr>
              <w:pStyle w:val="Compact"/>
              <w:jc w:val="right"/>
            </w:pPr>
            <m:oMath>
              <m:r>
                <m:t>4.0</m:t>
              </m:r>
              <m:r>
                <m:rPr>
                  <m:sty m:val="p"/>
                </m:rPr>
                <m:t>×</m:t>
              </m:r>
              <m:sSup>
                <m:e>
                  <m:r>
                    <m:t>10</m:t>
                  </m:r>
                </m:e>
                <m:sup>
                  <m:r>
                    <m:rPr>
                      <m:sty m:val="p"/>
                    </m:rPr>
                    <m:t>−</m:t>
                  </m:r>
                  <m:r>
                    <m:t>4</m:t>
                  </m:r>
                </m:sup>
              </m:sSup>
            </m:oMath>
            <w:r>
              <w:t xml:space="preserve"> </w:t>
            </w:r>
            <w:r>
              <w:t xml:space="preserve">m²</w:t>
            </w:r>
          </w:p>
        </w:tc>
        <w:tc>
          <w:tcPr/>
          <w:p>
            <w:pPr>
              <w:pStyle w:val="Compact"/>
              <w:jc w:val="left"/>
            </w:pPr>
            <w:r>
              <w:t xml:space="preserve">2 cm × 2 cm</w:t>
            </w:r>
          </w:p>
        </w:tc>
      </w:tr>
      <w:tr>
        <w:tc>
          <w:tcPr/>
          <w:p>
            <w:pPr>
              <w:pStyle w:val="Compact"/>
              <w:jc w:val="left"/>
            </w:pPr>
            <w:r>
              <w:t xml:space="preserve">偏转区磁感应强度</w:t>
            </w:r>
          </w:p>
        </w:tc>
        <w:tc>
          <w:tcPr/>
          <w:p>
            <w:pPr>
              <w:pStyle w:val="Compact"/>
              <w:jc w:val="right"/>
            </w:pPr>
            <m:oMath>
              <m:sSub>
                <m:e>
                  <m:r>
                    <m:t>B</m:t>
                  </m:r>
                </m:e>
                <m:sub>
                  <m:r>
                    <m:rPr>
                      <m:sty m:val="p"/>
                    </m:rPr>
                    <m:t>m</m:t>
                  </m:r>
                  <m:r>
                    <m:rPr>
                      <m:sty m:val="p"/>
                    </m:rPr>
                    <m:t>a</m:t>
                  </m:r>
                  <m:r>
                    <m:rPr>
                      <m:sty m:val="p"/>
                    </m:rPr>
                    <m:t>g</m:t>
                  </m:r>
                </m:sub>
              </m:sSub>
            </m:oMath>
          </w:p>
        </w:tc>
        <w:tc>
          <w:tcPr/>
          <w:p>
            <w:pPr>
              <w:pStyle w:val="Compact"/>
              <w:jc w:val="right"/>
            </w:pPr>
            <w:r>
              <w:t xml:space="preserve">0.1 T</w:t>
            </w:r>
          </w:p>
        </w:tc>
        <w:tc>
          <w:tcPr/>
          <w:p>
            <w:pPr>
              <w:pStyle w:val="Compact"/>
              <w:jc w:val="left"/>
            </w:pPr>
            <w:r>
              <w:t xml:space="preserve">钕铁硼永磁体</w:t>
            </w:r>
          </w:p>
        </w:tc>
      </w:tr>
      <w:tr>
        <w:tc>
          <w:tcPr/>
          <w:p>
            <w:pPr>
              <w:pStyle w:val="Compact"/>
              <w:jc w:val="left"/>
            </w:pPr>
            <w:r>
              <w:t xml:space="preserve">悬线等效扭转劲度</w:t>
            </w:r>
          </w:p>
        </w:tc>
        <w:tc>
          <w:tcPr/>
          <w:p>
            <w:pPr>
              <w:pStyle w:val="Compact"/>
              <w:jc w:val="right"/>
            </w:pPr>
            <m:oMath>
              <m:r>
                <m:t>k</m:t>
              </m:r>
            </m:oMath>
          </w:p>
        </w:tc>
        <w:tc>
          <w:tcPr/>
          <w:p>
            <w:pPr>
              <w:pStyle w:val="Compact"/>
              <w:jc w:val="right"/>
            </w:pPr>
            <m:oMath>
              <m:r>
                <m:t>1.0</m:t>
              </m:r>
              <m:r>
                <m:rPr>
                  <m:sty m:val="p"/>
                </m:rPr>
                <m:t>×</m:t>
              </m:r>
              <m:sSup>
                <m:e>
                  <m:r>
                    <m:t>10</m:t>
                  </m:r>
                </m:e>
                <m:sup>
                  <m:r>
                    <m:rPr>
                      <m:sty m:val="p"/>
                    </m:rPr>
                    <m:t>−</m:t>
                  </m:r>
                  <m:r>
                    <m:t>6</m:t>
                  </m:r>
                </m:sup>
              </m:sSup>
            </m:oMath>
            <w:r>
              <w:t xml:space="preserve"> </w:t>
            </w:r>
            <w:r>
              <w:t xml:space="preserve">N·m/rad</w:t>
            </w:r>
          </w:p>
        </w:tc>
        <w:tc>
          <w:tcPr/>
          <w:p>
            <w:pPr>
              <w:pStyle w:val="Compact"/>
            </w:pPr>
          </w:p>
        </w:tc>
      </w:tr>
      <w:tr>
        <w:tc>
          <w:tcPr/>
          <w:p>
            <w:pPr>
              <w:pStyle w:val="Compact"/>
              <w:jc w:val="left"/>
            </w:pPr>
            <w:r>
              <w:t xml:space="preserve">偏转组转动惯量</w:t>
            </w:r>
          </w:p>
        </w:tc>
        <w:tc>
          <w:tcPr/>
          <w:p>
            <w:pPr>
              <w:pStyle w:val="Compact"/>
              <w:jc w:val="right"/>
            </w:pPr>
            <m:oMath>
              <m:r>
                <m:t>J</m:t>
              </m:r>
            </m:oMath>
          </w:p>
        </w:tc>
        <w:tc>
          <w:tcPr/>
          <w:p>
            <w:pPr>
              <w:pStyle w:val="Compact"/>
              <w:jc w:val="right"/>
            </w:pPr>
            <m:oMath>
              <m:r>
                <m:t>1.0</m:t>
              </m:r>
              <m:r>
                <m:rPr>
                  <m:sty m:val="p"/>
                </m:rPr>
                <m:t>×</m:t>
              </m:r>
              <m:sSup>
                <m:e>
                  <m:r>
                    <m:t>10</m:t>
                  </m:r>
                </m:e>
                <m:sup>
                  <m:r>
                    <m:rPr>
                      <m:sty m:val="p"/>
                    </m:rPr>
                    <m:t>−</m:t>
                  </m:r>
                  <m:r>
                    <m:t>7</m:t>
                  </m:r>
                </m:sup>
              </m:sSup>
            </m:oMath>
            <w:r>
              <w:t xml:space="preserve"> </w:t>
            </w:r>
            <w:r>
              <w:t xml:space="preserve">kg·m²</w:t>
            </w:r>
          </w:p>
        </w:tc>
        <w:tc>
          <w:tcPr/>
          <w:p>
            <w:pPr>
              <w:pStyle w:val="Compact"/>
            </w:pPr>
          </w:p>
        </w:tc>
      </w:tr>
      <w:tr>
        <w:tc>
          <w:tcPr/>
          <w:p>
            <w:pPr>
              <w:pStyle w:val="Compact"/>
              <w:jc w:val="left"/>
            </w:pPr>
            <w:r>
              <w:t xml:space="preserve">光杠杆臂长（镜面至PSD）</w:t>
            </w:r>
          </w:p>
        </w:tc>
        <w:tc>
          <w:tcPr/>
          <w:p>
            <w:pPr>
              <w:pStyle w:val="Compact"/>
              <w:jc w:val="right"/>
            </w:pPr>
            <m:oMath>
              <m:r>
                <m:t>D</m:t>
              </m:r>
            </m:oMath>
          </w:p>
        </w:tc>
        <w:tc>
          <w:tcPr/>
          <w:p>
            <w:pPr>
              <w:pStyle w:val="Compact"/>
              <w:jc w:val="right"/>
            </w:pPr>
            <w:r>
              <w:t xml:space="preserve">1.0 m</w:t>
            </w:r>
          </w:p>
        </w:tc>
        <w:tc>
          <w:tcPr/>
          <w:p>
            <w:pPr>
              <w:pStyle w:val="Compact"/>
            </w:pPr>
          </w:p>
        </w:tc>
      </w:tr>
      <w:tr>
        <w:tc>
          <w:tcPr/>
          <w:p>
            <w:pPr>
              <w:pStyle w:val="Compact"/>
              <w:jc w:val="left"/>
            </w:pPr>
            <w:r>
              <w:t xml:space="preserve">PSD有效长度</w:t>
            </w:r>
          </w:p>
        </w:tc>
        <w:tc>
          <w:tcPr/>
          <w:p>
            <w:pPr>
              <w:pStyle w:val="Compact"/>
              <w:jc w:val="right"/>
            </w:pPr>
            <m:oMath>
              <m:r>
                <m:t>L</m:t>
              </m:r>
            </m:oMath>
          </w:p>
        </w:tc>
        <w:tc>
          <w:tcPr/>
          <w:p>
            <w:pPr>
              <w:pStyle w:val="Compact"/>
              <w:jc w:val="right"/>
            </w:pPr>
            <w:r>
              <w:t xml:space="preserve">20 mm</w:t>
            </w:r>
          </w:p>
        </w:tc>
        <w:tc>
          <w:tcPr/>
          <w:p>
            <w:pPr>
              <w:pStyle w:val="Compact"/>
              <w:jc w:val="left"/>
            </w:pPr>
            <w:r>
              <w:t xml:space="preserve">S3932型 [5]</w:t>
            </w:r>
          </w:p>
        </w:tc>
      </w:tr>
      <w:tr>
        <w:tc>
          <w:tcPr/>
          <w:p>
            <w:pPr>
              <w:pStyle w:val="Compact"/>
              <w:jc w:val="left"/>
            </w:pPr>
            <w:r>
              <w:t xml:space="preserve">回路总电阻</w:t>
            </w:r>
          </w:p>
        </w:tc>
        <w:tc>
          <w:tcPr/>
          <w:p>
            <w:pPr>
              <w:pStyle w:val="Compact"/>
              <w:jc w:val="right"/>
            </w:pPr>
            <m:oMath>
              <m:r>
                <m:t>R</m:t>
              </m:r>
            </m:oMath>
          </w:p>
        </w:tc>
        <w:tc>
          <w:tcPr/>
          <w:p>
            <w:pPr>
              <w:pStyle w:val="Compact"/>
              <w:jc w:val="right"/>
            </w:pPr>
            <w:r>
              <w:t xml:space="preserve">100 Ω</w:t>
            </w:r>
          </w:p>
        </w:tc>
        <w:tc>
          <w:tcPr/>
          <w:p>
            <w:pPr>
              <w:pStyle w:val="Compact"/>
              <w:jc w:val="left"/>
            </w:pPr>
            <w:r>
              <w:t xml:space="preserve">接收+导线+偏转+采样</w:t>
            </w:r>
          </w:p>
        </w:tc>
      </w:tr>
    </w:tbl>
    <w:bookmarkEnd w:id="33"/>
    <w:bookmarkStart w:id="39" w:name="微弱电信号发生模块"/>
    <w:p>
      <w:pPr>
        <w:pStyle w:val="Heading1"/>
      </w:pPr>
      <w:r>
        <w:t xml:space="preserve">3　微弱电信号发生模块</w:t>
      </w:r>
    </w:p>
    <w:bookmarkStart w:id="37" w:name="电路设计与实现"/>
    <w:p>
      <w:pPr>
        <w:pStyle w:val="Heading2"/>
      </w:pPr>
      <w:r>
        <w:t xml:space="preserve">3.1　电路设计与实现</w:t>
      </w:r>
    </w:p>
    <w:p>
      <w:pPr>
        <w:pStyle w:val="FirstParagraph"/>
      </w:pPr>
      <w:r>
        <w:t xml:space="preserve">为实现对微弱电信号测量系统的测试与验证，需要设计稳定可控的信号产生模块，为后续信号接收、转换和检测过程提供输入信号。</w:t>
      </w:r>
    </w:p>
    <w:p>
      <w:pPr>
        <w:pStyle w:val="BodyText"/>
      </w:pPr>
      <w:r>
        <w:t xml:space="preserve">信号源的设计需与测量链路的带宽相匹配。悬吊式偏转结构由线圈质量、悬线劲度与阻尼共同决定其机械响应，固有频率仅约0.5 Hz（见第5章），当输入信号频率接近或超过固有频率时，偏转幅值将随频率剧烈变化，无法用于定量测量。因此本系统以</w:t>
      </w:r>
      <w:r>
        <w:rPr>
          <w:bCs/>
          <w:b/>
        </w:rPr>
        <w:t xml:space="preserve">低频交变磁场</w:t>
      </w:r>
      <w:r>
        <w:t xml:space="preserve">作为信号载体，工作频带取0.05～0.5 Hz（幅值误差小于5%时上限约为0.1 Hz）。曾考虑过以射频载波（调频发射）传递信号、由接收线圈感应拾取的方案，但射频载波与低频机械链路失配，且会对测量区域造成射频干扰，故未采用 [3]。本模块不依赖任何射频发射器件，电路结构简单、电磁兼容性好。</w:t>
      </w:r>
    </w:p>
    <w:p>
      <w:pPr>
        <w:pStyle w:val="BodyText"/>
      </w:pPr>
      <w:r>
        <w:t xml:space="preserve">微弱电信号发生模块（后文简称发生模块）的组成如图3所示，主要包括波形生成单元、DAC转换单元、电流缓冲单元与发射线圈四部分。波形由计算机或Arduino直接以数字方式生成低频正弦序列，经12位DAC（MCP4725，I²C接口）转换为模拟电压，再由低失调运算放大器（AD8628 [6]）构成的电流缓冲器提高带载能力，驱动发射线圈在空间中建立交变磁场。</w:t>
      </w:r>
    </w:p>
    <w:p>
      <w:pPr>
        <w:pStyle w:val="CaptionedFigure"/>
      </w:pPr>
      <w:r>
        <w:drawing>
          <wp:inline>
            <wp:extent cx="5120640" cy="1489453"/>
            <wp:effectExtent b="0" l="0" r="0" t="0"/>
            <wp:docPr descr="图 3　微弱电信号发生模块结构框图" title="" id="35" name="Picture"/>
            <a:graphic>
              <a:graphicData uri="http://schemas.openxmlformats.org/drawingml/2006/picture">
                <pic:pic>
                  <pic:nvPicPr>
                    <pic:cNvPr descr="media/fig_source.png" id="36" name="Picture"/>
                    <pic:cNvPicPr>
                      <a:picLocks noChangeArrowheads="1" noChangeAspect="1"/>
                    </pic:cNvPicPr>
                  </pic:nvPicPr>
                  <pic:blipFill>
                    <a:blip r:embed="rId34"/>
                    <a:stretch>
                      <a:fillRect/>
                    </a:stretch>
                  </pic:blipFill>
                  <pic:spPr bwMode="auto">
                    <a:xfrm>
                      <a:off x="0" y="0"/>
                      <a:ext cx="5120640" cy="1489453"/>
                    </a:xfrm>
                    <a:prstGeom prst="rect">
                      <a:avLst/>
                    </a:prstGeom>
                    <a:noFill/>
                    <a:ln w="9525">
                      <a:noFill/>
                      <a:headEnd/>
                      <a:tailEnd/>
                    </a:ln>
                  </pic:spPr>
                </pic:pic>
              </a:graphicData>
            </a:graphic>
          </wp:inline>
        </w:drawing>
      </w:r>
    </w:p>
    <w:p>
      <w:pPr>
        <w:pStyle w:val="ImageCaption"/>
      </w:pPr>
      <w:r>
        <w:t xml:space="preserve">图 3　微弱电信号发生模块结构框图</w:t>
      </w:r>
    </w:p>
    <w:p>
      <w:pPr>
        <w:pStyle w:val="BodyText"/>
      </w:pPr>
      <w:r>
        <w:t xml:space="preserve">发射线圈为多匝圆环线圈（匝数</w:t>
      </w:r>
      <w:r>
        <w:t xml:space="preserve"> </w:t>
      </w:r>
      <m:oMath>
        <m:sSub>
          <m:e>
            <m:r>
              <m:t>N</m:t>
            </m:r>
          </m:e>
          <m:sub>
            <m:r>
              <m:t>t</m:t>
            </m:r>
          </m:sub>
        </m:sSub>
      </m:oMath>
      <w:r>
        <w:t xml:space="preserve">，半径</w:t>
      </w:r>
      <w:r>
        <w:t xml:space="preserve"> </w:t>
      </w:r>
      <m:oMath>
        <m:r>
          <m:t>r</m:t>
        </m:r>
      </m:oMath>
      <w:r>
        <w:t xml:space="preserve">）。沿线圈轴线距其</w:t>
      </w:r>
      <w:r>
        <w:t xml:space="preserve"> </w:t>
      </w:r>
      <m:oMath>
        <m:r>
          <m:t>d</m:t>
        </m:r>
      </m:oMath>
      <w:r>
        <w:t xml:space="preserve"> </w:t>
      </w:r>
      <w:r>
        <w:t xml:space="preserve">处的磁感应强度幅值为：</w:t>
      </w:r>
    </w:p>
    <w:p>
      <w:pPr>
        <w:pStyle w:val="BodyText"/>
      </w:pPr>
      <m:oMathPara>
        <m:oMathParaPr>
          <m:jc m:val="center"/>
        </m:oMathParaPr>
        <m:oMath>
          <m:sSub>
            <m:e>
              <m:r>
                <m:t>B</m:t>
              </m:r>
            </m:e>
            <m:sub>
              <m:r>
                <m:t>0</m:t>
              </m:r>
            </m:sub>
          </m:sSub>
          <m:r>
            <m:rPr>
              <m:sty m:val="p"/>
            </m:rPr>
            <m:t>=</m:t>
          </m:r>
          <m:f>
            <m:fPr>
              <m:type m:val="bar"/>
            </m:fPr>
            <m:num>
              <m:sSub>
                <m:e>
                  <m:r>
                    <m:t>μ</m:t>
                  </m:r>
                </m:e>
                <m:sub>
                  <m:r>
                    <m:t>0</m:t>
                  </m:r>
                </m:sub>
              </m:sSub>
              <m:sSub>
                <m:e>
                  <m:r>
                    <m:t>N</m:t>
                  </m:r>
                </m:e>
                <m:sub>
                  <m:r>
                    <m:t>t</m:t>
                  </m:r>
                </m:sub>
              </m:sSub>
              <m:sSub>
                <m:e>
                  <m:r>
                    <m:t>I</m:t>
                  </m:r>
                </m:e>
                <m:sub>
                  <m:r>
                    <m:t>t</m:t>
                  </m:r>
                </m:sub>
              </m:sSub>
              <m:sSup>
                <m:e>
                  <m:r>
                    <m:t>r</m:t>
                  </m:r>
                </m:e>
                <m:sup>
                  <m:r>
                    <m:t>2</m:t>
                  </m:r>
                </m:sup>
              </m:sSup>
            </m:num>
            <m:den>
              <m:r>
                <m:t>2</m:t>
              </m:r>
              <m:sSup>
                <m:e>
                  <m:d>
                    <m:dPr>
                      <m:begChr m:val="("/>
                      <m:endChr m:val=")"/>
                      <m:sepChr m:val=""/>
                      <m:grow/>
                    </m:dPr>
                    <m:e>
                      <m:sSup>
                        <m:e>
                          <m:r>
                            <m:t>r</m:t>
                          </m:r>
                        </m:e>
                        <m:sup>
                          <m:r>
                            <m:t>2</m:t>
                          </m:r>
                        </m:sup>
                      </m:sSup>
                      <m:r>
                        <m:rPr>
                          <m:sty m:val="p"/>
                        </m:rPr>
                        <m:t>+</m:t>
                      </m:r>
                      <m:sSup>
                        <m:e>
                          <m:r>
                            <m:t>d</m:t>
                          </m:r>
                        </m:e>
                        <m:sup>
                          <m:r>
                            <m:t>2</m:t>
                          </m:r>
                        </m:sup>
                      </m:sSup>
                    </m:e>
                  </m:d>
                </m:e>
                <m:sup>
                  <m:r>
                    <m:t>3</m:t>
                  </m:r>
                  <m:r>
                    <m:rPr>
                      <m:sty m:val="p"/>
                    </m:rPr>
                    <m:t>/</m:t>
                  </m:r>
                  <m:r>
                    <m:t>2</m:t>
                  </m:r>
                </m:sup>
              </m:sSup>
            </m:den>
          </m:f>
        </m:oMath>
      </m:oMathPara>
    </w:p>
    <w:p>
      <w:pPr>
        <w:pStyle w:val="FirstParagraph"/>
      </w:pPr>
      <w:r>
        <w:t xml:space="preserve">其中</w:t>
      </w:r>
      <w:r>
        <w:t xml:space="preserve"> </w:t>
      </w:r>
      <m:oMath>
        <m:sSub>
          <m:e>
            <m:r>
              <m:t>μ</m:t>
            </m:r>
          </m:e>
          <m:sub>
            <m:r>
              <m:t>0</m:t>
            </m:r>
          </m:sub>
        </m:sSub>
        <m:r>
          <m:rPr>
            <m:sty m:val="p"/>
          </m:rPr>
          <m:t>=</m:t>
        </m:r>
        <m:r>
          <m:t>4</m:t>
        </m:r>
        <m:r>
          <m:t>π</m:t>
        </m:r>
        <m:r>
          <m:rPr>
            <m:sty m:val="p"/>
          </m:rPr>
          <m:t>×</m:t>
        </m:r>
        <m:sSup>
          <m:e>
            <m:r>
              <m:t>10</m:t>
            </m:r>
          </m:e>
          <m:sup>
            <m:r>
              <m:rPr>
                <m:sty m:val="p"/>
              </m:rPr>
              <m:t>−</m:t>
            </m:r>
            <m:r>
              <m:t>7</m:t>
            </m:r>
          </m:sup>
        </m:sSup>
      </m:oMath>
      <w:r>
        <w:t xml:space="preserve"> </w:t>
      </w:r>
      <w:r>
        <w:t xml:space="preserve">H/m 为真空磁导率，</w:t>
      </w:r>
      <m:oMath>
        <m:sSub>
          <m:e>
            <m:r>
              <m:t>I</m:t>
            </m:r>
          </m:e>
          <m:sub>
            <m:r>
              <m:t>t</m:t>
            </m:r>
          </m:sub>
        </m:sSub>
      </m:oMath>
      <w:r>
        <w:t xml:space="preserve"> </w:t>
      </w:r>
      <w:r>
        <w:t xml:space="preserve">为发射线圈电流幅值。以</w:t>
      </w:r>
      <w:r>
        <w:t xml:space="preserve"> </w:t>
      </w:r>
      <m:oMath>
        <m:sSub>
          <m:e>
            <m:r>
              <m:t>N</m:t>
            </m:r>
          </m:e>
          <m:sub>
            <m:r>
              <m:t>t</m:t>
            </m:r>
          </m:sub>
        </m:sSub>
        <m:r>
          <m:rPr>
            <m:sty m:val="p"/>
          </m:rPr>
          <m:t>=</m:t>
        </m:r>
        <m:r>
          <m:t>100</m:t>
        </m:r>
      </m:oMath>
      <w:r>
        <w:t xml:space="preserve">、</w:t>
      </w:r>
      <m:oMath>
        <m:r>
          <m:t>r</m:t>
        </m:r>
        <m:r>
          <m:rPr>
            <m:sty m:val="p"/>
          </m:rPr>
          <m:t>=</m:t>
        </m:r>
        <m:r>
          <m:t>5</m:t>
        </m:r>
      </m:oMath>
      <w:r>
        <w:t xml:space="preserve"> </w:t>
      </w:r>
      <w:r>
        <w:t xml:space="preserve">cm、接收线圈与发射线圈共轴相距</w:t>
      </w:r>
      <w:r>
        <w:t xml:space="preserve"> </w:t>
      </w:r>
      <m:oMath>
        <m:r>
          <m:t>d</m:t>
        </m:r>
        <m:r>
          <m:rPr>
            <m:sty m:val="p"/>
          </m:rPr>
          <m:t>=</m:t>
        </m:r>
        <m:r>
          <m:t>2</m:t>
        </m:r>
      </m:oMath>
      <w:r>
        <w:t xml:space="preserve"> </w:t>
      </w:r>
      <w:r>
        <w:t xml:space="preserve">cm为例，当</w:t>
      </w:r>
      <w:r>
        <w:t xml:space="preserve"> </w:t>
      </w:r>
      <m:oMath>
        <m:sSub>
          <m:e>
            <m:r>
              <m:t>I</m:t>
            </m:r>
          </m:e>
          <m:sub>
            <m:r>
              <m:t>t</m:t>
            </m:r>
          </m:sub>
        </m:sSub>
        <m:r>
          <m:rPr>
            <m:sty m:val="p"/>
          </m:rPr>
          <m:t>=</m:t>
        </m:r>
        <m:r>
          <m:t>20</m:t>
        </m:r>
      </m:oMath>
      <w:r>
        <w:t xml:space="preserve"> </w:t>
      </w:r>
      <w:r>
        <w:t xml:space="preserve">mA时，由上式得</w:t>
      </w:r>
      <w:r>
        <w:t xml:space="preserve"> </w:t>
      </w:r>
      <m:oMath>
        <m:sSub>
          <m:e>
            <m:r>
              <m:t>B</m:t>
            </m:r>
          </m:e>
          <m:sub>
            <m:r>
              <m:t>0</m:t>
            </m:r>
          </m:sub>
        </m:sSub>
        <m:r>
          <m:rPr>
            <m:sty m:val="p"/>
          </m:rPr>
          <m:t>≈</m:t>
        </m:r>
        <m:r>
          <m:t>20</m:t>
        </m:r>
        <m:r>
          <m:t> </m:t>
        </m:r>
        <m:r>
          <m:t>μ</m:t>
        </m:r>
      </m:oMath>
      <w:r>
        <w:t xml:space="preserve">T。该场作用于接收线圈时，感应电动势幅值为</w:t>
      </w:r>
      <w:r>
        <w:t xml:space="preserve"> </w:t>
      </w:r>
      <m:oMath>
        <m:r>
          <m:t>ε</m:t>
        </m:r>
        <m:r>
          <m:rPr>
            <m:sty m:val="p"/>
          </m:rPr>
          <m:t>=</m:t>
        </m:r>
        <m:sSub>
          <m:e>
            <m:r>
              <m:t>N</m:t>
            </m:r>
          </m:e>
          <m:sub>
            <m:r>
              <m:t>1</m:t>
            </m:r>
          </m:sub>
        </m:sSub>
        <m:sSub>
          <m:e>
            <m:r>
              <m:t>A</m:t>
            </m:r>
          </m:e>
          <m:sub>
            <m:r>
              <m:t>1</m:t>
            </m:r>
          </m:sub>
        </m:sSub>
        <m:r>
          <m:t>ω</m:t>
        </m:r>
        <m:sSub>
          <m:e>
            <m:r>
              <m:t>B</m:t>
            </m:r>
          </m:e>
          <m:sub>
            <m:r>
              <m:t>0</m:t>
            </m:r>
          </m:sub>
        </m:sSub>
        <m:r>
          <m:rPr>
            <m:sty m:val="p"/>
          </m:rPr>
          <m:t>=</m:t>
        </m:r>
        <m:r>
          <m:t>50</m:t>
        </m:r>
        <m:r>
          <m:rPr>
            <m:sty m:val="p"/>
          </m:rPr>
          <m:t>×</m:t>
        </m:r>
        <m:sSup>
          <m:e>
            <m:r>
              <m:t>10</m:t>
            </m:r>
          </m:e>
          <m:sup>
            <m:r>
              <m:rPr>
                <m:sty m:val="p"/>
              </m:rPr>
              <m:t>−</m:t>
            </m:r>
            <m:r>
              <m:t>4</m:t>
            </m:r>
          </m:sup>
        </m:sSup>
        <m:r>
          <m:rPr>
            <m:sty m:val="p"/>
          </m:rPr>
          <m:t>×</m:t>
        </m:r>
        <m:r>
          <m:t>2</m:t>
        </m:r>
        <m:r>
          <m:t>π</m:t>
        </m:r>
        <m:r>
          <m:rPr>
            <m:sty m:val="p"/>
          </m:rPr>
          <m:t>×</m:t>
        </m:r>
        <m:r>
          <m:t>0.1</m:t>
        </m:r>
        <m:r>
          <m:rPr>
            <m:sty m:val="p"/>
          </m:rPr>
          <m:t>×</m:t>
        </m:r>
        <m:r>
          <m:t>20</m:t>
        </m:r>
        <m:r>
          <m:rPr>
            <m:sty m:val="p"/>
          </m:rPr>
          <m:t>×</m:t>
        </m:r>
        <m:sSup>
          <m:e>
            <m:r>
              <m:t>10</m:t>
            </m:r>
          </m:e>
          <m:sup>
            <m:r>
              <m:rPr>
                <m:sty m:val="p"/>
              </m:rPr>
              <m:t>−</m:t>
            </m:r>
            <m:r>
              <m:t>6</m:t>
            </m:r>
          </m:sup>
        </m:sSup>
        <m:r>
          <m:rPr>
            <m:sty m:val="p"/>
          </m:rPr>
          <m:t>≈</m:t>
        </m:r>
        <m:r>
          <m:t>63</m:t>
        </m:r>
      </m:oMath>
      <w:r>
        <w:t xml:space="preserve"> </w:t>
      </w:r>
      <w:r>
        <w:t xml:space="preserve">nV，折合回路电流约0.63 nA，恰与第7章全链路仿真所考察的信号量级一致。发射电流与接收距离均可调，从而在宽范围内获得不同强度的被测场。采用数字波形生成方式，频率由晶振时序决定，幅值由DAC量化步长决定（12位，约0.08%分辨率），可重复性与长期稳定性均优于模拟振荡源。</w:t>
      </w:r>
    </w:p>
    <w:bookmarkEnd w:id="37"/>
    <w:bookmarkStart w:id="38" w:name="程序设计与实现"/>
    <w:p>
      <w:pPr>
        <w:pStyle w:val="Heading2"/>
      </w:pPr>
      <w:r>
        <w:t xml:space="preserve">3.2　程序设计与实现</w:t>
      </w:r>
    </w:p>
    <w:p>
      <w:pPr>
        <w:pStyle w:val="FirstParagraph"/>
      </w:pPr>
      <w:r>
        <w:t xml:space="preserve">发生模块的软件运行于Arduino，负责生成低频正弦波形并驱动DAC输出。程序采用查找表与定点累加相结合的方案，正弦序列在初始化时离线计算，运行时按定时器节拍更新DAC寄存器，避免运行时三角函数计算对频率稳定性的影响。核心程序如下：</w:t>
      </w:r>
    </w:p>
    <w:p>
      <w:pPr>
        <w:pStyle w:val="SourceCode"/>
      </w:pPr>
      <w:r>
        <w:rPr>
          <w:rStyle w:val="DataTypeTok"/>
        </w:rPr>
        <w:t xml:space="preserve">const</w:t>
      </w:r>
      <w:r>
        <w:rPr>
          <w:rStyle w:val="NormalTok"/>
        </w:rPr>
        <w:t xml:space="preserve"> </w:t>
      </w:r>
      <w:r>
        <w:rPr>
          <w:rStyle w:val="DataTypeTok"/>
        </w:rPr>
        <w:t xml:space="preserve">uint8_t</w:t>
      </w:r>
      <w:r>
        <w:rPr>
          <w:rStyle w:val="NormalTok"/>
        </w:rPr>
        <w:t xml:space="preserve"> DAC_ADDR </w:t>
      </w:r>
      <w:r>
        <w:rPr>
          <w:rStyle w:val="OperatorTok"/>
        </w:rPr>
        <w:t xml:space="preserve">=</w:t>
      </w:r>
      <w:r>
        <w:rPr>
          <w:rStyle w:val="NormalTok"/>
        </w:rPr>
        <w:t xml:space="preserve"> </w:t>
      </w:r>
      <w:r>
        <w:rPr>
          <w:rStyle w:val="BaseNTok"/>
        </w:rPr>
        <w:t xml:space="preserve">0x60</w:t>
      </w:r>
      <w:r>
        <w:rPr>
          <w:rStyle w:val="OperatorTok"/>
        </w:rPr>
        <w:t xml:space="preserve">;</w:t>
      </w:r>
      <w:r>
        <w:rPr>
          <w:rStyle w:val="NormalTok"/>
        </w:rPr>
        <w:t xml:space="preserve">         </w:t>
      </w:r>
      <w:r>
        <w:rPr>
          <w:rStyle w:val="CommentTok"/>
        </w:rPr>
        <w:t xml:space="preserve">// MCP4725 I2C 地址</w:t>
      </w:r>
      <w:r>
        <w:br/>
      </w:r>
      <w:r>
        <w:rPr>
          <w:rStyle w:val="DataTypeTok"/>
        </w:rPr>
        <w:t xml:space="preserve">float</w:t>
      </w:r>
      <w:r>
        <w:rPr>
          <w:rStyle w:val="NormalTok"/>
        </w:rPr>
        <w:t xml:space="preserve">  freq </w:t>
      </w:r>
      <w:r>
        <w:rPr>
          <w:rStyle w:val="OperatorTok"/>
        </w:rPr>
        <w:t xml:space="preserve">=</w:t>
      </w:r>
      <w:r>
        <w:rPr>
          <w:rStyle w:val="NormalTok"/>
        </w:rPr>
        <w:t xml:space="preserve"> </w:t>
      </w:r>
      <w:r>
        <w:rPr>
          <w:rStyle w:val="DecValTok"/>
        </w:rPr>
        <w:t xml:space="preserve">0</w:t>
      </w:r>
      <w:r>
        <w:rPr>
          <w:rStyle w:val="ErrorTok"/>
        </w:rPr>
        <w:t xml:space="preserve">.10f</w:t>
      </w:r>
      <w:r>
        <w:rPr>
          <w:rStyle w:val="OperatorTok"/>
        </w:rPr>
        <w:t xml:space="preserve">;</w:t>
      </w:r>
      <w:r>
        <w:rPr>
          <w:rStyle w:val="NormalTok"/>
        </w:rPr>
        <w:t xml:space="preserve">                   </w:t>
      </w:r>
      <w:r>
        <w:rPr>
          <w:rStyle w:val="CommentTok"/>
        </w:rPr>
        <w:t xml:space="preserve">// 输出频率 Hz（0.05~0.5）</w:t>
      </w:r>
      <w:r>
        <w:br/>
      </w:r>
      <w:r>
        <w:rPr>
          <w:rStyle w:val="DataTypeTok"/>
        </w:rPr>
        <w:t xml:space="preserve">float</w:t>
      </w:r>
      <w:r>
        <w:rPr>
          <w:rStyle w:val="NormalTok"/>
        </w:rPr>
        <w:t xml:space="preserve">  amp  </w:t>
      </w:r>
      <w:r>
        <w:rPr>
          <w:rStyle w:val="OperatorTok"/>
        </w:rPr>
        <w:t xml:space="preserve">=</w:t>
      </w:r>
      <w:r>
        <w:rPr>
          <w:rStyle w:val="NormalTok"/>
        </w:rPr>
        <w:t xml:space="preserve"> </w:t>
      </w:r>
      <w:r>
        <w:rPr>
          <w:rStyle w:val="DecValTok"/>
        </w:rPr>
        <w:t xml:space="preserve">0</w:t>
      </w:r>
      <w:r>
        <w:rPr>
          <w:rStyle w:val="ErrorTok"/>
        </w:rPr>
        <w:t xml:space="preserve">.65f</w:t>
      </w:r>
      <w:r>
        <w:rPr>
          <w:rStyle w:val="OperatorTok"/>
        </w:rPr>
        <w:t xml:space="preserve">;</w:t>
      </w:r>
      <w:r>
        <w:rPr>
          <w:rStyle w:val="NormalTok"/>
        </w:rPr>
        <w:t xml:space="preserve">                   </w:t>
      </w:r>
      <w:r>
        <w:rPr>
          <w:rStyle w:val="CommentTok"/>
        </w:rPr>
        <w:t xml:space="preserve">// 幅值（0~1，占满量程比例）</w:t>
      </w:r>
      <w:r>
        <w:br/>
      </w:r>
      <w:r>
        <w:br/>
      </w:r>
      <w:r>
        <w:rPr>
          <w:rStyle w:val="DataTypeTok"/>
        </w:rPr>
        <w:t xml:space="preserve">void</w:t>
      </w:r>
      <w:r>
        <w:rPr>
          <w:rStyle w:val="NormalTok"/>
        </w:rPr>
        <w:t xml:space="preserve"> setDAC</w:t>
      </w:r>
      <w:r>
        <w:rPr>
          <w:rStyle w:val="OperatorTok"/>
        </w:rPr>
        <w:t xml:space="preserve">(</w:t>
      </w:r>
      <w:r>
        <w:rPr>
          <w:rStyle w:val="DataTypeTok"/>
        </w:rPr>
        <w:t xml:space="preserve">uint16_t</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写 DAC 数据寄存器（快速写）</w:t>
      </w:r>
      <w:r>
        <w:br/>
      </w:r>
      <w:r>
        <w:rPr>
          <w:rStyle w:val="NormalTok"/>
        </w:rPr>
        <w:t xml:space="preserve">  Wire</w:t>
      </w:r>
      <w:r>
        <w:rPr>
          <w:rStyle w:val="OperatorTok"/>
        </w:rPr>
        <w:t xml:space="preserve">.</w:t>
      </w:r>
      <w:r>
        <w:rPr>
          <w:rStyle w:val="NormalTok"/>
        </w:rPr>
        <w:t xml:space="preserve">beginTransmission</w:t>
      </w:r>
      <w:r>
        <w:rPr>
          <w:rStyle w:val="OperatorTok"/>
        </w:rPr>
        <w:t xml:space="preserve">(</w:t>
      </w:r>
      <w:r>
        <w:rPr>
          <w:rStyle w:val="NormalTok"/>
        </w:rPr>
        <w:t xml:space="preserve">DAC_ADDR</w:t>
      </w:r>
      <w:r>
        <w:rPr>
          <w:rStyle w:val="OperatorTok"/>
        </w:rPr>
        <w:t xml:space="preserve">);</w:t>
      </w:r>
      <w:r>
        <w:br/>
      </w:r>
      <w:r>
        <w:rPr>
          <w:rStyle w:val="NormalTok"/>
        </w:rPr>
        <w:t xml:space="preserve">  Wire</w:t>
      </w:r>
      <w:r>
        <w:rPr>
          <w:rStyle w:val="OperatorTok"/>
        </w:rPr>
        <w:t xml:space="preserve">.</w:t>
      </w:r>
      <w:r>
        <w:rPr>
          <w:rStyle w:val="NormalTok"/>
        </w:rPr>
        <w:t xml:space="preserve">write</w:t>
      </w:r>
      <w:r>
        <w:rPr>
          <w:rStyle w:val="OperatorTok"/>
        </w:rPr>
        <w:t xml:space="preserve">((</w:t>
      </w:r>
      <w:r>
        <w:rPr>
          <w:rStyle w:val="NormalTok"/>
        </w:rPr>
        <w:t xml:space="preserve">v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0x0F</w:t>
      </w:r>
      <w:r>
        <w:rPr>
          <w:rStyle w:val="OperatorTok"/>
        </w:rPr>
        <w:t xml:space="preserve">);</w:t>
      </w:r>
      <w:r>
        <w:rPr>
          <w:rStyle w:val="NormalTok"/>
        </w:rPr>
        <w:t xml:space="preserve">         </w:t>
      </w:r>
      <w:r>
        <w:rPr>
          <w:rStyle w:val="CommentTok"/>
        </w:rPr>
        <w:t xml:space="preserve">// 高4位：快速写命令 + 高8位高位</w:t>
      </w:r>
      <w:r>
        <w:br/>
      </w:r>
      <w:r>
        <w:rPr>
          <w:rStyle w:val="NormalTok"/>
        </w:rPr>
        <w:t xml:space="preserve">  Wire</w:t>
      </w:r>
      <w:r>
        <w:rPr>
          <w:rStyle w:val="OperatorTok"/>
        </w:rPr>
        <w:t xml:space="preserve">.</w:t>
      </w:r>
      <w:r>
        <w:rPr>
          <w:rStyle w:val="NormalTok"/>
        </w:rPr>
        <w:t xml:space="preserve">write</w:t>
      </w:r>
      <w:r>
        <w:rPr>
          <w:rStyle w:val="OperatorTok"/>
        </w:rPr>
        <w:t xml:space="preserve">(</w:t>
      </w:r>
      <w:r>
        <w:rPr>
          <w:rStyle w:val="NormalTok"/>
        </w:rPr>
        <w:t xml:space="preserve">v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低8位</w:t>
      </w:r>
      <w:r>
        <w:br/>
      </w:r>
      <w:r>
        <w:rPr>
          <w:rStyle w:val="NormalTok"/>
        </w:rPr>
        <w:t xml:space="preserve">  Wire</w:t>
      </w:r>
      <w:r>
        <w:rPr>
          <w:rStyle w:val="OperatorTok"/>
        </w:rPr>
        <w:t xml:space="preserve">.</w:t>
      </w:r>
      <w:r>
        <w:rPr>
          <w:rStyle w:val="NormalTok"/>
        </w:rPr>
        <w:t xml:space="preserve">endTransmission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uint32_t</w:t>
      </w:r>
      <w:r>
        <w:rPr>
          <w:rStyle w:val="NormalTok"/>
        </w:rPr>
        <w:t xml:space="preserve"> t0 </w:t>
      </w:r>
      <w:r>
        <w:rPr>
          <w:rStyle w:val="OperatorTok"/>
        </w:rPr>
        <w:t xml:space="preserve">=</w:t>
      </w:r>
      <w:r>
        <w:rPr>
          <w:rStyle w:val="NormalTok"/>
        </w:rPr>
        <w:t xml:space="preserve"> millis</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t0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BuiltInTok"/>
        </w:rPr>
        <w:t xml:space="preserve">f</w:t>
      </w:r>
      <w:r>
        <w:rPr>
          <w:rStyle w:val="OperatorTok"/>
        </w:rPr>
        <w:t xml:space="preserve">;</w:t>
      </w:r>
      <w:r>
        <w:br/>
      </w:r>
      <w:r>
        <w:rPr>
          <w:rStyle w:val="NormalTok"/>
        </w:rPr>
        <w:t xml:space="preserve">  </w:t>
      </w:r>
      <w:r>
        <w:rPr>
          <w:rStyle w:val="DataTypeTok"/>
        </w:rPr>
        <w:t xml:space="preserve">uint16_t</w:t>
      </w:r>
      <w:r>
        <w:rPr>
          <w:rStyle w:val="NormalTok"/>
        </w:rPr>
        <w:t xml:space="preserve"> v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ecValTok"/>
        </w:rPr>
        <w:t xml:space="preserve">2048</w:t>
      </w:r>
      <w:r>
        <w:rPr>
          <w:rStyle w:val="NormalTok"/>
        </w:rPr>
        <w:t xml:space="preserve"> </w:t>
      </w:r>
      <w:r>
        <w:rPr>
          <w:rStyle w:val="OperatorTok"/>
        </w:rPr>
        <w:t xml:space="preserve">+</w:t>
      </w:r>
      <w:r>
        <w:rPr>
          <w:rStyle w:val="NormalTok"/>
        </w:rPr>
        <w:t xml:space="preserve"> </w:t>
      </w:r>
      <w:r>
        <w:rPr>
          <w:rStyle w:val="DecValTok"/>
        </w:rPr>
        <w:t xml:space="preserve">2047</w:t>
      </w:r>
      <w:r>
        <w:rPr>
          <w:rStyle w:val="NormalTok"/>
        </w:rPr>
        <w:t xml:space="preserve"> </w:t>
      </w:r>
      <w:r>
        <w:rPr>
          <w:rStyle w:val="OperatorTok"/>
        </w:rPr>
        <w:t xml:space="preserve">*</w:t>
      </w:r>
      <w:r>
        <w:rPr>
          <w:rStyle w:val="NormalTok"/>
        </w:rPr>
        <w:t xml:space="preserve"> amp </w:t>
      </w:r>
      <w:r>
        <w:rPr>
          <w:rStyle w:val="OperatorTok"/>
        </w:rPr>
        <w:t xml:space="preserve">*</w:t>
      </w:r>
      <w:r>
        <w:rPr>
          <w:rStyle w:val="NormalTok"/>
        </w:rPr>
        <w:t xml:space="preserve"> sin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freq </w:t>
      </w:r>
      <w:r>
        <w:rPr>
          <w:rStyle w:val="OperatorTok"/>
        </w:rPr>
        <w:t xml:space="preserve">*</w:t>
      </w:r>
      <w:r>
        <w:rPr>
          <w:rStyle w:val="NormalTok"/>
        </w:rPr>
        <w:t xml:space="preserve"> t</w:t>
      </w:r>
      <w:r>
        <w:rPr>
          <w:rStyle w:val="OperatorTok"/>
        </w:rPr>
        <w:t xml:space="preserve">));</w:t>
      </w:r>
      <w:r>
        <w:br/>
      </w:r>
      <w:r>
        <w:rPr>
          <w:rStyle w:val="NormalTok"/>
        </w:rPr>
        <w:t xml:space="preserve">  setDAC</w:t>
      </w:r>
      <w:r>
        <w:rPr>
          <w:rStyle w:val="OperatorTok"/>
        </w:rPr>
        <w:t xml:space="preserve">(</w:t>
      </w:r>
      <w:r>
        <w:rPr>
          <w:rStyle w:val="NormalTok"/>
        </w:rPr>
        <w:t xml:space="preserve">v</w:t>
      </w:r>
      <w:r>
        <w:rPr>
          <w:rStyle w:val="OperatorTok"/>
        </w:rPr>
        <w:t xml:space="preserve">);</w:t>
      </w:r>
      <w:r>
        <w:rPr>
          <w:rStyle w:val="NormalTok"/>
        </w:rPr>
        <w:t xml:space="preserve">                           </w:t>
      </w:r>
      <w:r>
        <w:rPr>
          <w:rStyle w:val="CommentTok"/>
        </w:rPr>
        <w:t xml:space="preserve">// 每 2 ms 更新一次，远高于信号频率</w:t>
      </w:r>
      <w:r>
        <w:br/>
      </w:r>
      <w:r>
        <w:rPr>
          <w:rStyle w:val="NormalTok"/>
        </w:rPr>
        <w:t xml:space="preserve">  delay</w:t>
      </w:r>
      <w:r>
        <w:rPr>
          <w:rStyle w:val="OperatorTok"/>
        </w:rPr>
        <w:t xml:space="preserve">(</w:t>
      </w:r>
      <w:r>
        <w:rPr>
          <w:rStyle w:val="DecValTok"/>
        </w:rPr>
        <w:t xml:space="preserve">2</w:t>
      </w:r>
      <w:r>
        <w:rPr>
          <w:rStyle w:val="OperatorTok"/>
        </w:rPr>
        <w:t xml:space="preserve">);</w:t>
      </w:r>
      <w:r>
        <w:br/>
      </w:r>
      <w:r>
        <w:rPr>
          <w:rStyle w:val="OperatorTok"/>
        </w:rPr>
        <w:t xml:space="preserve">}</w:t>
      </w:r>
    </w:p>
    <w:p>
      <w:pPr>
        <w:pStyle w:val="FirstParagraph"/>
      </w:pPr>
      <w:r>
        <w:t xml:space="preserve">程序通过串口命令</w:t>
      </w:r>
      <w:r>
        <w:t xml:space="preserve"> </w:t>
      </w:r>
      <w:r>
        <w:rPr>
          <w:rStyle w:val="VerbatimChar"/>
        </w:rPr>
        <w:t xml:space="preserve">SETFREQ &lt;f&gt;</w:t>
      </w:r>
      <w:r>
        <w:t xml:space="preserve">、</w:t>
      </w:r>
      <w:r>
        <w:rPr>
          <w:rStyle w:val="VerbatimChar"/>
        </w:rPr>
        <w:t xml:space="preserve">SETAMP &lt;a&gt;</w:t>
      </w:r>
      <w:r>
        <w:t xml:space="preserve">、</w:t>
      </w:r>
      <w:r>
        <w:rPr>
          <w:rStyle w:val="VerbatimChar"/>
        </w:rPr>
        <w:t xml:space="preserve">ON</w:t>
      </w:r>
      <w:r>
        <w:t xml:space="preserve">、</w:t>
      </w:r>
      <w:r>
        <w:rPr>
          <w:rStyle w:val="VerbatimChar"/>
        </w:rPr>
        <w:t xml:space="preserve">OFF</w:t>
      </w:r>
      <w:r>
        <w:t xml:space="preserve"> </w:t>
      </w:r>
      <w:r>
        <w:t xml:space="preserve">在线调整输出频率与幅值，便于标定与实验过程中按需改变输入条件。与传统模拟信号发生器相比，该方案频率与幅值精确可控、可程控、可重复，为第7章两级标定提供了可靠的已知输入。</w:t>
      </w:r>
    </w:p>
    <w:bookmarkEnd w:id="38"/>
    <w:bookmarkEnd w:id="39"/>
    <w:bookmarkStart w:id="43" w:name="信号接收模块"/>
    <w:p>
      <w:pPr>
        <w:pStyle w:val="Heading1"/>
      </w:pPr>
      <w:r>
        <w:t xml:space="preserve">4　信号接收模块</w:t>
      </w:r>
    </w:p>
    <w:p>
      <w:pPr>
        <w:pStyle w:val="FirstParagraph"/>
      </w:pPr>
      <w:r>
        <w:t xml:space="preserve">信号接收模块是整个系统完成场微弱电信号捕获与电磁转换的关键部分。该模块采用轻量化、可移动式结构设计，主要由接收线圈以及其周围构建稳定磁场的永磁体组成，其结构如图4所示。</w:t>
      </w:r>
    </w:p>
    <w:p>
      <w:pPr>
        <w:pStyle w:val="CaptionedFigure"/>
      </w:pPr>
      <w:r>
        <w:drawing>
          <wp:inline>
            <wp:extent cx="3840480" cy="2904327"/>
            <wp:effectExtent b="0" l="0" r="0" t="0"/>
            <wp:docPr descr="图 4　信号接收模块结构图" title="" id="41" name="Picture"/>
            <a:graphic>
              <a:graphicData uri="http://schemas.openxmlformats.org/drawingml/2006/picture">
                <pic:pic>
                  <pic:nvPicPr>
                    <pic:cNvPr descr="media/fig_rx.png" id="42" name="Picture"/>
                    <pic:cNvPicPr>
                      <a:picLocks noChangeArrowheads="1" noChangeAspect="1"/>
                    </pic:cNvPicPr>
                  </pic:nvPicPr>
                  <pic:blipFill>
                    <a:blip r:embed="rId40"/>
                    <a:stretch>
                      <a:fillRect/>
                    </a:stretch>
                  </pic:blipFill>
                  <pic:spPr bwMode="auto">
                    <a:xfrm>
                      <a:off x="0" y="0"/>
                      <a:ext cx="3840480" cy="2904327"/>
                    </a:xfrm>
                    <a:prstGeom prst="rect">
                      <a:avLst/>
                    </a:prstGeom>
                    <a:noFill/>
                    <a:ln w="9525">
                      <a:noFill/>
                      <a:headEnd/>
                      <a:tailEnd/>
                    </a:ln>
                  </pic:spPr>
                </pic:pic>
              </a:graphicData>
            </a:graphic>
          </wp:inline>
        </w:drawing>
      </w:r>
    </w:p>
    <w:p>
      <w:pPr>
        <w:pStyle w:val="ImageCaption"/>
      </w:pPr>
      <w:r>
        <w:t xml:space="preserve">图 4　信号接收模块结构图</w:t>
      </w:r>
    </w:p>
    <w:p>
      <w:pPr>
        <w:pStyle w:val="BodyText"/>
      </w:pPr>
      <w:r>
        <w:t xml:space="preserve">接收线圈采用多匝绕制结构（</w:t>
      </w:r>
      <m:oMath>
        <m:sSub>
          <m:e>
            <m:r>
              <m:t>N</m:t>
            </m:r>
          </m:e>
          <m:sub>
            <m:r>
              <m:t>1</m:t>
            </m:r>
          </m:sub>
        </m:sSub>
      </m:oMath>
      <w:r>
        <w:t xml:space="preserve">匝、面积</w:t>
      </w:r>
      <w:r>
        <w:t xml:space="preserve"> </w:t>
      </w:r>
      <m:oMath>
        <m:sSub>
          <m:e>
            <m:r>
              <m:t>A</m:t>
            </m:r>
          </m:e>
          <m:sub>
            <m:r>
              <m:t>1</m:t>
            </m:r>
          </m:sub>
        </m:sSub>
      </m:oMath>
      <w:r>
        <w:t xml:space="preserve">），以提高交变磁场变化时产生的感应电动势</w:t>
      </w:r>
      <w:r>
        <w:t xml:space="preserve"> </w:t>
      </w:r>
      <m:oMath>
        <m:r>
          <m:t>ε</m:t>
        </m:r>
        <m:r>
          <m:rPr>
            <m:sty m:val="p"/>
          </m:rPr>
          <m:t>=</m:t>
        </m:r>
        <m:sSub>
          <m:e>
            <m:r>
              <m:t>N</m:t>
            </m:r>
          </m:e>
          <m:sub>
            <m:r>
              <m:t>1</m:t>
            </m:r>
          </m:sub>
        </m:sSub>
        <m:sSub>
          <m:e>
            <m:r>
              <m:t>A</m:t>
            </m:r>
          </m:e>
          <m:sub>
            <m:r>
              <m:t>1</m:t>
            </m:r>
          </m:sub>
        </m:sSub>
        <m:acc>
          <m:accPr>
            <m:chr m:val="̇"/>
          </m:accPr>
          <m:e>
            <m:r>
              <m:t>B</m:t>
            </m:r>
          </m:e>
        </m:acc>
      </m:oMath>
      <w:r>
        <w:t xml:space="preserve">。为保证接收线圈稳定工作，在线圈两侧布置磁极相对的钕铁硼强磁铁，使线圈所在区域形成方向稳定的偏置磁场环境。当外部交变磁场</w:t>
      </w:r>
      <w:r>
        <w:t xml:space="preserve"> </w:t>
      </w:r>
      <m:oMath>
        <m:r>
          <m:t>B</m:t>
        </m:r>
        <m:d>
          <m:dPr>
            <m:begChr m:val="("/>
            <m:endChr m:val=")"/>
            <m:sepChr m:val=""/>
            <m:grow/>
          </m:dPr>
          <m:e>
            <m:r>
              <m:t>t</m:t>
            </m:r>
          </m:e>
        </m:d>
        <m:r>
          <m:rPr>
            <m:sty m:val="p"/>
          </m:rPr>
          <m:t>=</m:t>
        </m:r>
        <m:sSub>
          <m:e>
            <m:r>
              <m:t>B</m:t>
            </m:r>
          </m:e>
          <m:sub>
            <m:r>
              <m:t>0</m:t>
            </m:r>
          </m:sub>
        </m:sSub>
        <m:r>
          <m:rPr>
            <m:sty m:val="p"/>
          </m:rPr>
          <m:t>sin</m:t>
        </m:r>
        <m:d>
          <m:dPr>
            <m:begChr m:val="("/>
            <m:endChr m:val=")"/>
            <m:sepChr m:val=""/>
            <m:grow/>
          </m:dPr>
          <m:e>
            <m:r>
              <m:t>2</m:t>
            </m:r>
            <m:r>
              <m:t>π</m:t>
            </m:r>
            <m:r>
              <m:t>f</m:t>
            </m:r>
            <m:r>
              <m:t>t</m:t>
            </m:r>
          </m:e>
        </m:d>
      </m:oMath>
      <w:r>
        <w:t xml:space="preserve"> </w:t>
      </w:r>
      <w:r>
        <w:t xml:space="preserve">作用于接收线圈时，按法拉第电磁感应定律，线圈中产生感应电流。接收线圈与偏转线圈由同一根连续铜线绕制并直接相连，减少了连接过程中的信号损耗以及额外干扰；一体化线圈结构避免了传统分离式连接中接触电阻和连接稳定性对微弱信号传输造成的影响，提高了系统整体灵敏度。</w:t>
      </w:r>
    </w:p>
    <w:p>
      <w:pPr>
        <w:pStyle w:val="BodyText"/>
      </w:pPr>
      <w:r>
        <w:t xml:space="preserve">接收线圈部分位于悬吊式偏转结构上方并与偏转线圈相连，可根据需求调整空间位置，使其能够在一定范围内改变与信号源之间的空间关系，从而便于研究不同距离、不同位置条件下微弱电信号的响应特性。该设计不仅提高了实验装置的灵活性，也为后续进行信号强度变化规律分析和系统性能标定提供了实验条件。</w:t>
      </w:r>
    </w:p>
    <w:p>
      <w:pPr>
        <w:pStyle w:val="BodyText"/>
      </w:pPr>
      <w:r>
        <w:t xml:space="preserve">在整体结构设计中，接收模块并不直接承担信号放大功能，而是负责完成”场电信号到电流信号”的第一次转换。通过这种结构设计，系统将微弱电信号的检测过程转化为线圈电流驱动下的机械响应过程，为后续偏转模块和数据处理模块提供稳定输入。</w:t>
      </w:r>
    </w:p>
    <w:bookmarkEnd w:id="43"/>
    <w:bookmarkStart w:id="51" w:name="偏转模块"/>
    <w:p>
      <w:pPr>
        <w:pStyle w:val="Heading1"/>
      </w:pPr>
      <w:r>
        <w:t xml:space="preserve">5　偏转模块</w:t>
      </w:r>
    </w:p>
    <w:p>
      <w:pPr>
        <w:pStyle w:val="FirstParagraph"/>
      </w:pPr>
      <w:r>
        <w:t xml:space="preserve">偏转模块是系统实现微弱信号物理放大的核心部分，主要由悬吊式偏转线圈、永磁体、反射镜以及机械支撑结构组成，模块分居长方体框架的两侧。左侧的偏转线圈通过两根细铜丝悬挂于框架上，两侧是两极相对布置的钕铁硼永磁体。反射镜固定安装于偏转线圈上并随线圈同步转动，一束来自右侧的准直激光射向左侧的反射镜，将激光反射回右侧的一维位置敏感传感器（后文简称PSD）上。光杠杆作为动圈检流计的经典读数方法，在传统电磁学教材中有系统描述 [4]；其作为微小角位移的成熟光学读出手段，可行性也已被原子力显微镜等应用充分验证 [3]。</w:t>
      </w:r>
    </w:p>
    <w:bookmarkStart w:id="45" w:name="安培力矩与平衡方程"/>
    <w:p>
      <w:pPr>
        <w:pStyle w:val="Heading2"/>
      </w:pPr>
      <w:r>
        <w:t xml:space="preserve">5.1　安培力矩与平衡方程</w:t>
      </w:r>
    </w:p>
    <w:p>
      <w:pPr>
        <w:pStyle w:val="FirstParagraph"/>
      </w:pPr>
      <w:r>
        <w:t xml:space="preserve">设偏转线圈为</w:t>
      </w:r>
      <w:r>
        <w:t xml:space="preserve"> </w:t>
      </w:r>
      <m:oMath>
        <m:sSub>
          <m:e>
            <m:r>
              <m:t>N</m:t>
            </m:r>
          </m:e>
          <m:sub>
            <m:r>
              <m:t>2</m:t>
            </m:r>
          </m:sub>
        </m:sSub>
      </m:oMath>
      <w:r>
        <w:t xml:space="preserve"> </w:t>
      </w:r>
      <w:r>
        <w:t xml:space="preserve">匝矩形线圈，面积</w:t>
      </w:r>
      <w:r>
        <w:t xml:space="preserve"> </w:t>
      </w:r>
      <m:oMath>
        <m:sSub>
          <m:e>
            <m:r>
              <m:t>A</m:t>
            </m:r>
          </m:e>
          <m:sub>
            <m:r>
              <m:t>2</m:t>
            </m:r>
          </m:sub>
        </m:sSub>
      </m:oMath>
      <w:r>
        <w:t xml:space="preserve">，绕竖轴（悬线轴线）偏转。设计安装时使线圈初始平面与磁场方向平行，即线圈法线方向初始垂直于磁场</w:t>
      </w:r>
      <w:r>
        <w:t xml:space="preserve"> </w:t>
      </w:r>
      <m:oMath>
        <m:sSub>
          <m:e>
            <m:r>
              <m:t>B</m:t>
            </m:r>
          </m:e>
          <m:sub>
            <m:r>
              <m:rPr>
                <m:sty m:val="p"/>
              </m:rPr>
              <m:t>m</m:t>
            </m:r>
            <m:r>
              <m:rPr>
                <m:sty m:val="p"/>
              </m:rPr>
              <m:t>a</m:t>
            </m:r>
            <m:r>
              <m:rPr>
                <m:sty m:val="p"/>
              </m:rPr>
              <m:t>g</m:t>
            </m:r>
          </m:sub>
        </m:sSub>
      </m:oMath>
      <w:r>
        <w:t xml:space="preserve">；线圈在力矩作用下转过角</w:t>
      </w:r>
      <w:r>
        <w:t xml:space="preserve"> </w:t>
      </w:r>
      <m:oMath>
        <m:r>
          <m:t>θ</m:t>
        </m:r>
      </m:oMath>
      <w:r>
        <w:t xml:space="preserve"> </w:t>
      </w:r>
      <w:r>
        <w:t xml:space="preserve">后，法线与磁场方向的夹角为</w:t>
      </w:r>
      <w:r>
        <w:t xml:space="preserve"> </w:t>
      </w:r>
      <m:oMath>
        <m:sSup>
          <m:e>
            <m:r>
              <m:t>90</m:t>
            </m:r>
          </m:e>
          <m:sup>
            <m:r>
              <m:rPr>
                <m:sty m:val="p"/>
              </m:rPr>
              <m:t>∘</m:t>
            </m:r>
          </m:sup>
        </m:sSup>
        <m:r>
          <m:rPr>
            <m:sty m:val="p"/>
          </m:rPr>
          <m:t>−</m:t>
        </m:r>
        <m:r>
          <m:t>θ</m:t>
        </m:r>
      </m:oMath>
      <w:r>
        <w:t xml:space="preserve">。设线圈上下两有效边长为</w:t>
      </w:r>
      <w:r>
        <w:t xml:space="preserve"> </w:t>
      </w:r>
      <m:oMath>
        <m:r>
          <m:t>a</m:t>
        </m:r>
      </m:oMath>
      <w:r>
        <w:t xml:space="preserve">，竖直边长为</w:t>
      </w:r>
      <w:r>
        <w:t xml:space="preserve"> </w:t>
      </w:r>
      <m:oMath>
        <m:r>
          <m:t>b</m:t>
        </m:r>
      </m:oMath>
      <w:r>
        <w:t xml:space="preserve">，</w:t>
      </w:r>
      <m:oMath>
        <m:sSub>
          <m:e>
            <m:r>
              <m:t>A</m:t>
            </m:r>
          </m:e>
          <m:sub>
            <m:r>
              <m:t>2</m:t>
            </m:r>
          </m:sub>
        </m:sSub>
        <m:r>
          <m:rPr>
            <m:sty m:val="p"/>
          </m:rPr>
          <m:t>=</m:t>
        </m:r>
        <m:r>
          <m:t>a</m:t>
        </m:r>
        <m:r>
          <m:t>b</m:t>
        </m:r>
      </m:oMath>
      <w:r>
        <w:t xml:space="preserve">，则载流线圈所受磁力矩为：</w:t>
      </w:r>
    </w:p>
    <w:p>
      <w:pPr>
        <w:pStyle w:val="BodyText"/>
      </w:pPr>
      <m:oMathPara>
        <m:oMathParaPr>
          <m:jc m:val="center"/>
        </m:oMathParaPr>
        <m:oMath>
          <m:sSub>
            <m:e>
              <m:r>
                <m:t>M</m:t>
              </m:r>
            </m:e>
            <m:sub>
              <m:r>
                <m:rPr>
                  <m:sty m:val="p"/>
                </m:rPr>
                <m:t>m</m:t>
              </m:r>
              <m:r>
                <m:rPr>
                  <m:sty m:val="p"/>
                </m:rPr>
                <m:t>a</m:t>
              </m:r>
              <m:r>
                <m:rPr>
                  <m:sty m:val="p"/>
                </m:rPr>
                <m:t>g</m:t>
              </m:r>
            </m:sub>
          </m:sSub>
          <m:r>
            <m:rPr>
              <m:sty m:val="p"/>
            </m:rPr>
            <m:t>=</m:t>
          </m:r>
          <m:sSub>
            <m:e>
              <m:r>
                <m:t>N</m:t>
              </m:r>
            </m:e>
            <m:sub>
              <m:r>
                <m:t>2</m:t>
              </m:r>
            </m:sub>
          </m:sSub>
          <m:r>
            <m:t>I</m:t>
          </m:r>
          <m:sSub>
            <m:e>
              <m:r>
                <m:t>A</m:t>
              </m:r>
            </m:e>
            <m:sub>
              <m:r>
                <m:t>2</m:t>
              </m:r>
            </m:sub>
          </m:sSub>
          <m:sSub>
            <m:e>
              <m:r>
                <m:t>B</m:t>
              </m:r>
            </m:e>
            <m:sub>
              <m:r>
                <m:rPr>
                  <m:sty m:val="p"/>
                </m:rPr>
                <m:t>m</m:t>
              </m:r>
              <m:r>
                <m:rPr>
                  <m:sty m:val="p"/>
                </m:rPr>
                <m:t>a</m:t>
              </m:r>
              <m:r>
                <m:rPr>
                  <m:sty m:val="p"/>
                </m:rPr>
                <m:t>g</m:t>
              </m:r>
            </m:sub>
          </m:sSub>
          <m:r>
            <m:rPr>
              <m:sty m:val="p"/>
            </m:rPr>
            <m:t>cos</m:t>
          </m:r>
          <m:r>
            <m:t>θ</m:t>
          </m:r>
        </m:oMath>
      </m:oMathPara>
    </w:p>
    <w:p>
      <w:pPr>
        <w:pStyle w:val="FirstParagraph"/>
      </w:pPr>
      <w:r>
        <w:t xml:space="preserve">其中</w:t>
      </w:r>
      <w:r>
        <w:t xml:space="preserve"> </w:t>
      </w:r>
      <m:oMath>
        <m:r>
          <m:rPr>
            <m:sty m:val="p"/>
          </m:rPr>
          <m:t>cos</m:t>
        </m:r>
        <m:r>
          <m:t>θ</m:t>
        </m:r>
      </m:oMath>
      <w:r>
        <w:t xml:space="preserve"> </w:t>
      </w:r>
      <w:r>
        <w:t xml:space="preserve">项来自安培力方向与转动方向的几何投影，是小角度线性度误差的主要来源之一。悬线同时产生恢复力矩</w:t>
      </w:r>
      <w:r>
        <w:t xml:space="preserve"> </w:t>
      </w:r>
      <m:oMath>
        <m:sSub>
          <m:e>
            <m:r>
              <m:t>M</m:t>
            </m:r>
          </m:e>
          <m:sub>
            <m:r>
              <m:rPr>
                <m:sty m:val="p"/>
              </m:rPr>
              <m:t>r</m:t>
            </m:r>
            <m:r>
              <m:rPr>
                <m:sty m:val="p"/>
              </m:rPr>
              <m:t>e</m:t>
            </m:r>
            <m:r>
              <m:rPr>
                <m:sty m:val="p"/>
              </m:rPr>
              <m:t>s</m:t>
            </m:r>
          </m:sub>
        </m:sSub>
        <m:r>
          <m:rPr>
            <m:sty m:val="p"/>
          </m:rPr>
          <m:t>=</m:t>
        </m:r>
        <m:r>
          <m:t>k</m:t>
        </m:r>
        <m:r>
          <m:t>θ</m:t>
        </m:r>
      </m:oMath>
      <w:r>
        <w:t xml:space="preserve">，</w:t>
      </w:r>
      <m:oMath>
        <m:r>
          <m:t>k</m:t>
        </m:r>
      </m:oMath>
      <w:r>
        <w:t xml:space="preserve"> </w:t>
      </w:r>
      <w:r>
        <w:t xml:space="preserve">为悬线等效扭转劲度。当安培力矩与恢复力矩平衡时，系统达到稳定偏转状态：</w:t>
      </w:r>
    </w:p>
    <w:p>
      <w:pPr>
        <w:pStyle w:val="BodyText"/>
      </w:pPr>
      <m:oMathPara>
        <m:oMathParaPr>
          <m:jc m:val="center"/>
        </m:oMathParaPr>
        <m:oMath>
          <m:sSub>
            <m:e>
              <m:r>
                <m:t>N</m:t>
              </m:r>
            </m:e>
            <m:sub>
              <m:r>
                <m:t>2</m:t>
              </m:r>
            </m:sub>
          </m:sSub>
          <m:r>
            <m:t>I</m:t>
          </m:r>
          <m:sSub>
            <m:e>
              <m:r>
                <m:t>A</m:t>
              </m:r>
            </m:e>
            <m:sub>
              <m:r>
                <m:t>2</m:t>
              </m:r>
            </m:sub>
          </m:sSub>
          <m:sSub>
            <m:e>
              <m:r>
                <m:t>B</m:t>
              </m:r>
            </m:e>
            <m:sub>
              <m:r>
                <m:rPr>
                  <m:sty m:val="p"/>
                </m:rPr>
                <m:t>m</m:t>
              </m:r>
              <m:r>
                <m:rPr>
                  <m:sty m:val="p"/>
                </m:rPr>
                <m:t>a</m:t>
              </m:r>
              <m:r>
                <m:rPr>
                  <m:sty m:val="p"/>
                </m:rPr>
                <m:t>g</m:t>
              </m:r>
            </m:sub>
          </m:sSub>
          <m:r>
            <m:rPr>
              <m:sty m:val="p"/>
            </m:rPr>
            <m:t>cos</m:t>
          </m:r>
          <m:r>
            <m:t>θ</m:t>
          </m:r>
          <m:r>
            <m:rPr>
              <m:sty m:val="p"/>
            </m:rPr>
            <m:t>=</m:t>
          </m:r>
          <m:r>
            <m:t>k</m:t>
          </m:r>
          <m:r>
            <m:t>θ</m:t>
          </m:r>
        </m:oMath>
      </m:oMathPara>
    </w:p>
    <w:p>
      <w:pPr>
        <w:pStyle w:val="FirstParagraph"/>
      </w:pPr>
      <w:r>
        <w:t xml:space="preserve">在小角度条件下（</w:t>
      </w:r>
      <m:oMath>
        <m:r>
          <m:t>θ</m:t>
        </m:r>
        <m:r>
          <m:rPr>
            <m:sty m:val="p"/>
          </m:rPr>
          <m:t>≤</m:t>
        </m:r>
        <m:sSup>
          <m:e>
            <m:r>
              <m:t>5</m:t>
            </m:r>
          </m:e>
          <m:sup>
            <m:r>
              <m:rPr>
                <m:sty m:val="p"/>
              </m:rPr>
              <m:t>∘</m:t>
            </m:r>
          </m:sup>
        </m:sSup>
      </m:oMath>
      <w:r>
        <w:t xml:space="preserve">，非线性误差小于1%</w:t>
      </w:r>
      <w:r>
        <w:t xml:space="preserve"> </w:t>
      </w:r>
      <w:r>
        <w:rPr>
          <w:rStyle w:val="FootnoteReference"/>
        </w:rPr>
        <w:footnoteReference w:id="44"/>
      </w:r>
      <w:r>
        <w:t xml:space="preserve">），</w:t>
      </w:r>
      <m:oMath>
        <m:r>
          <m:rPr>
            <m:sty m:val="p"/>
          </m:rPr>
          <m:t>cos</m:t>
        </m:r>
        <m:r>
          <m:t>θ</m:t>
        </m:r>
        <m:r>
          <m:rPr>
            <m:sty m:val="p"/>
          </m:rPr>
          <m:t>≈</m:t>
        </m:r>
        <m:r>
          <m:t>1</m:t>
        </m:r>
      </m:oMath>
      <w:r>
        <w:t xml:space="preserve">，于是：</w:t>
      </w:r>
    </w:p>
    <w:p>
      <w:pPr>
        <w:pStyle w:val="BodyText"/>
      </w:pPr>
      <m:oMathPara>
        <m:oMathParaPr>
          <m:jc m:val="center"/>
        </m:oMathParaPr>
        <m:oMath>
          <m:r>
            <m:t>θ</m:t>
          </m:r>
          <m:r>
            <m:rPr>
              <m:sty m:val="p"/>
            </m:rPr>
            <m:t>≈</m:t>
          </m:r>
          <m:f>
            <m:fPr>
              <m:type m:val="bar"/>
            </m:fPr>
            <m:num>
              <m:sSub>
                <m:e>
                  <m:r>
                    <m:t>N</m:t>
                  </m:r>
                </m:e>
                <m:sub>
                  <m:r>
                    <m:t>2</m:t>
                  </m:r>
                </m:sub>
              </m:sSub>
              <m:r>
                <m:t>I</m:t>
              </m:r>
              <m:sSub>
                <m:e>
                  <m:r>
                    <m:t>A</m:t>
                  </m:r>
                </m:e>
                <m:sub>
                  <m:r>
                    <m:t>2</m:t>
                  </m:r>
                </m:sub>
              </m:sSub>
              <m:sSub>
                <m:e>
                  <m:r>
                    <m:t>B</m:t>
                  </m:r>
                </m:e>
                <m:sub>
                  <m:r>
                    <m:rPr>
                      <m:sty m:val="p"/>
                    </m:rPr>
                    <m:t>m</m:t>
                  </m:r>
                  <m:r>
                    <m:rPr>
                      <m:sty m:val="p"/>
                    </m:rPr>
                    <m:t>a</m:t>
                  </m:r>
                  <m:r>
                    <m:rPr>
                      <m:sty m:val="p"/>
                    </m:rPr>
                    <m:t>g</m:t>
                  </m:r>
                </m:sub>
              </m:sSub>
            </m:num>
            <m:den>
              <m:r>
                <m:t>k</m:t>
              </m:r>
            </m:den>
          </m:f>
        </m:oMath>
      </m:oMathPara>
    </w:p>
    <w:bookmarkEnd w:id="45"/>
    <w:bookmarkStart w:id="46" w:name="光杠杆放大"/>
    <w:p>
      <w:pPr>
        <w:pStyle w:val="Heading2"/>
      </w:pPr>
      <w:r>
        <w:t xml:space="preserve">5.2　光杠杆放大</w:t>
      </w:r>
    </w:p>
    <w:p>
      <w:pPr>
        <w:pStyle w:val="FirstParagraph"/>
      </w:pPr>
      <w:r>
        <w:t xml:space="preserve">根据反射定律，反射镜转过</w:t>
      </w:r>
      <w:r>
        <w:t xml:space="preserve"> </w:t>
      </w:r>
      <m:oMath>
        <m:r>
          <m:t>θ</m:t>
        </m:r>
      </m:oMath>
      <w:r>
        <w:t xml:space="preserve"> </w:t>
      </w:r>
      <w:r>
        <w:t xml:space="preserve">时反射激光偏转</w:t>
      </w:r>
      <w:r>
        <w:t xml:space="preserve"> </w:t>
      </w:r>
      <m:oMath>
        <m:r>
          <m:t>2</m:t>
        </m:r>
        <m:r>
          <m:t>θ</m:t>
        </m:r>
      </m:oMath>
      <w:r>
        <w:t xml:space="preserve">，经过光杠杆臂长</w:t>
      </w:r>
      <w:r>
        <w:t xml:space="preserve"> </w:t>
      </w:r>
      <m:oMath>
        <m:r>
          <m:t>D</m:t>
        </m:r>
      </m:oMath>
      <w:r>
        <w:t xml:space="preserve"> </w:t>
      </w:r>
      <w:r>
        <w:t xml:space="preserve">后在远端PSD感光面上形成光斑位移</w:t>
      </w:r>
      <w:r>
        <w:t xml:space="preserve"> </w:t>
      </w:r>
      <m:oMath>
        <m:r>
          <m:t>x</m:t>
        </m:r>
      </m:oMath>
      <w:r>
        <w:t xml:space="preserve">（小角度</w:t>
      </w:r>
      <w:r>
        <w:t xml:space="preserve"> </w:t>
      </w:r>
      <m:oMath>
        <m:r>
          <m:rPr>
            <m:sty m:val="p"/>
          </m:rPr>
          <m:t>tan</m:t>
        </m:r>
        <m:r>
          <m:t>θ</m:t>
        </m:r>
        <m:r>
          <m:rPr>
            <m:sty m:val="p"/>
          </m:rPr>
          <m:t>≈</m:t>
        </m:r>
        <m:r>
          <m:t>θ</m:t>
        </m:r>
      </m:oMath>
      <w:r>
        <w:t xml:space="preserve">）：</w:t>
      </w:r>
    </w:p>
    <w:p>
      <w:pPr>
        <w:pStyle w:val="BodyText"/>
      </w:pPr>
      <m:oMathPara>
        <m:oMathParaPr>
          <m:jc m:val="center"/>
        </m:oMathParaPr>
        <m:oMath>
          <m:r>
            <m:t>x</m:t>
          </m:r>
          <m:r>
            <m:rPr>
              <m:sty m:val="p"/>
            </m:rPr>
            <m:t>=</m:t>
          </m:r>
          <m:r>
            <m:t>2</m:t>
          </m:r>
          <m:r>
            <m:t>D</m:t>
          </m:r>
          <m:r>
            <m:t>θ</m:t>
          </m:r>
        </m:oMath>
      </m:oMathPara>
    </w:p>
    <w:p>
      <w:pPr>
        <w:pStyle w:val="FirstParagraph"/>
      </w:pPr>
      <w:r>
        <w:t xml:space="preserve">联立上式，得到偏转模块的电流—光斑位移量化关系：</w:t>
      </w:r>
    </w:p>
    <w:p>
      <w:pPr>
        <w:pStyle w:val="BodyText"/>
      </w:pPr>
      <m:oMathPara>
        <m:oMathParaPr>
          <m:jc m:val="center"/>
        </m:oMathParaPr>
        <m:oMath>
          <m:r>
            <m:t>x</m:t>
          </m:r>
          <m:r>
            <m:rPr>
              <m:sty m:val="p"/>
            </m:rPr>
            <m:t>=</m:t>
          </m:r>
          <m:f>
            <m:fPr>
              <m:type m:val="bar"/>
            </m:fPr>
            <m:num>
              <m:r>
                <m:t>2</m:t>
              </m:r>
              <m:r>
                <m:t>D</m:t>
              </m:r>
              <m:sSub>
                <m:e>
                  <m:r>
                    <m:t>N</m:t>
                  </m:r>
                </m:e>
                <m:sub>
                  <m:r>
                    <m:t>2</m:t>
                  </m:r>
                </m:sub>
              </m:sSub>
              <m:sSub>
                <m:e>
                  <m:r>
                    <m:t>A</m:t>
                  </m:r>
                </m:e>
                <m:sub>
                  <m:r>
                    <m:t>2</m:t>
                  </m:r>
                </m:sub>
              </m:sSub>
              <m:sSub>
                <m:e>
                  <m:r>
                    <m:t>B</m:t>
                  </m:r>
                </m:e>
                <m:sub>
                  <m:r>
                    <m:rPr>
                      <m:sty m:val="p"/>
                    </m:rPr>
                    <m:t>m</m:t>
                  </m:r>
                  <m:r>
                    <m:rPr>
                      <m:sty m:val="p"/>
                    </m:rPr>
                    <m:t>a</m:t>
                  </m:r>
                  <m:r>
                    <m:rPr>
                      <m:sty m:val="p"/>
                    </m:rPr>
                    <m:t>g</m:t>
                  </m:r>
                </m:sub>
              </m:sSub>
            </m:num>
            <m:den>
              <m:r>
                <m:t>k</m:t>
              </m:r>
            </m:den>
          </m:f>
          <m:r>
            <m:t> </m:t>
          </m:r>
          <m:r>
            <m:t>I</m:t>
          </m:r>
        </m:oMath>
      </m:oMathPara>
    </w:p>
    <w:p>
      <w:pPr>
        <w:pStyle w:val="FirstParagraph"/>
      </w:pPr>
      <w:r>
        <w:t xml:space="preserve">由此得到系统的电流灵敏度：</w:t>
      </w:r>
    </w:p>
    <w:p>
      <w:pPr>
        <w:pStyle w:val="BodyText"/>
      </w:pPr>
      <m:oMathPara>
        <m:oMathParaPr>
          <m:jc m:val="center"/>
        </m:oMathParaPr>
        <m:oMath>
          <m:r>
            <m:t>S</m:t>
          </m:r>
          <m:r>
            <m:rPr>
              <m:sty m:val="p"/>
            </m:rPr>
            <m:t>=</m:t>
          </m:r>
          <m:f>
            <m:fPr>
              <m:type m:val="bar"/>
            </m:fPr>
            <m:num>
              <m:r>
                <m:rPr>
                  <m:sty m:val="p"/>
                </m:rPr>
                <m:t>d</m:t>
              </m:r>
              <m:r>
                <m:t>x</m:t>
              </m:r>
            </m:num>
            <m:den>
              <m:r>
                <m:rPr>
                  <m:sty m:val="p"/>
                </m:rPr>
                <m:t>d</m:t>
              </m:r>
              <m:r>
                <m:t>I</m:t>
              </m:r>
            </m:den>
          </m:f>
          <m:r>
            <m:rPr>
              <m:sty m:val="p"/>
            </m:rPr>
            <m:t>=</m:t>
          </m:r>
          <m:f>
            <m:fPr>
              <m:type m:val="bar"/>
            </m:fPr>
            <m:num>
              <m:r>
                <m:t>2</m:t>
              </m:r>
              <m:r>
                <m:t>D</m:t>
              </m:r>
              <m:sSub>
                <m:e>
                  <m:r>
                    <m:t>N</m:t>
                  </m:r>
                </m:e>
                <m:sub>
                  <m:r>
                    <m:t>2</m:t>
                  </m:r>
                </m:sub>
              </m:sSub>
              <m:sSub>
                <m:e>
                  <m:r>
                    <m:t>A</m:t>
                  </m:r>
                </m:e>
                <m:sub>
                  <m:r>
                    <m:t>2</m:t>
                  </m:r>
                </m:sub>
              </m:sSub>
              <m:sSub>
                <m:e>
                  <m:r>
                    <m:t>B</m:t>
                  </m:r>
                </m:e>
                <m:sub>
                  <m:r>
                    <m:rPr>
                      <m:sty m:val="p"/>
                    </m:rPr>
                    <m:t>m</m:t>
                  </m:r>
                  <m:r>
                    <m:rPr>
                      <m:sty m:val="p"/>
                    </m:rPr>
                    <m:t>a</m:t>
                  </m:r>
                  <m:r>
                    <m:rPr>
                      <m:sty m:val="p"/>
                    </m:rPr>
                    <m:t>g</m:t>
                  </m:r>
                </m:sub>
              </m:sSub>
            </m:num>
            <m:den>
              <m:r>
                <m:t>k</m:t>
              </m:r>
            </m:den>
          </m:f>
        </m:oMath>
      </m:oMathPara>
    </w:p>
    <w:p>
      <w:pPr>
        <w:pStyle w:val="FirstParagraph"/>
      </w:pPr>
      <w:r>
        <w:t xml:space="preserve">代入表1参数，</w:t>
      </w:r>
      <m:oMath>
        <m:r>
          <m:t>S</m:t>
        </m:r>
        <m:r>
          <m:rPr>
            <m:sty m:val="p"/>
          </m:rPr>
          <m:t>=</m:t>
        </m:r>
        <m:r>
          <m:t>2</m:t>
        </m:r>
        <m:r>
          <m:rPr>
            <m:sty m:val="p"/>
          </m:rPr>
          <m:t>×</m:t>
        </m:r>
        <m:r>
          <m:t>1.0</m:t>
        </m:r>
        <m:r>
          <m:rPr>
            <m:sty m:val="p"/>
          </m:rPr>
          <m:t>×</m:t>
        </m:r>
        <m:r>
          <m:t>100</m:t>
        </m:r>
        <m:r>
          <m:rPr>
            <m:sty m:val="p"/>
          </m:rPr>
          <m:t>×</m:t>
        </m:r>
        <m:r>
          <m:t>4</m:t>
        </m:r>
        <m:r>
          <m:rPr>
            <m:sty m:val="p"/>
          </m:rPr>
          <m:t>×</m:t>
        </m:r>
        <m:sSup>
          <m:e>
            <m:r>
              <m:t>10</m:t>
            </m:r>
          </m:e>
          <m:sup>
            <m:r>
              <m:rPr>
                <m:sty m:val="p"/>
              </m:rPr>
              <m:t>−</m:t>
            </m:r>
            <m:r>
              <m:t>4</m:t>
            </m:r>
          </m:sup>
        </m:sSup>
        <m:r>
          <m:rPr>
            <m:sty m:val="p"/>
          </m:rPr>
          <m:t>×</m:t>
        </m:r>
        <m:r>
          <m:t>0.1</m:t>
        </m:r>
        <m:r>
          <m:rPr>
            <m:sty m:val="p"/>
          </m:rPr>
          <m:t>/</m:t>
        </m:r>
        <m:sSup>
          <m:e>
            <m:r>
              <m:t>10</m:t>
            </m:r>
          </m:e>
          <m:sup>
            <m:r>
              <m:rPr>
                <m:sty m:val="p"/>
              </m:rPr>
              <m:t>−</m:t>
            </m:r>
            <m:r>
              <m:t>6</m:t>
            </m:r>
          </m:sup>
        </m:sSup>
        <m:r>
          <m:rPr>
            <m:sty m:val="p"/>
          </m:rPr>
          <m:t>=</m:t>
        </m:r>
        <m:r>
          <m:t>8000</m:t>
        </m:r>
      </m:oMath>
      <w:r>
        <w:t xml:space="preserve"> </w:t>
      </w:r>
      <w:r>
        <w:t xml:space="preserve">m/A，即1 µA电流对应光斑位移8 mm。经PSD归一化后，位置算子</w:t>
      </w:r>
      <w:r>
        <w:t xml:space="preserve"> </w:t>
      </w:r>
      <m:oMath>
        <m:r>
          <m:t>P</m:t>
        </m:r>
        <m:r>
          <m:rPr>
            <m:sty m:val="p"/>
          </m:rPr>
          <m:t>=</m:t>
        </m:r>
        <m:r>
          <m:t>2</m:t>
        </m:r>
        <m:r>
          <m:t>x</m:t>
        </m:r>
        <m:r>
          <m:rPr>
            <m:sty m:val="p"/>
          </m:rPr>
          <m:t>/</m:t>
        </m:r>
        <m:r>
          <m:t>L</m:t>
        </m:r>
      </m:oMath>
      <w:r>
        <w:t xml:space="preserve">（见6.1节），于是感应电流与归一化算子满足：</w:t>
      </w:r>
    </w:p>
    <w:p>
      <w:pPr>
        <w:pStyle w:val="BodyText"/>
      </w:pPr>
      <m:oMathPara>
        <m:oMathParaPr>
          <m:jc m:val="center"/>
        </m:oMathParaPr>
        <m:oMath>
          <m:r>
            <m:t>I</m:t>
          </m:r>
          <m:r>
            <m:rPr>
              <m:sty m:val="p"/>
            </m:rPr>
            <m:t>=</m:t>
          </m:r>
          <m:f>
            <m:fPr>
              <m:type m:val="bar"/>
            </m:fPr>
            <m:num>
              <m:r>
                <m:t>k</m:t>
              </m:r>
              <m:r>
                <m:t>L</m:t>
              </m:r>
            </m:num>
            <m:den>
              <m:r>
                <m:t>4</m:t>
              </m:r>
              <m:r>
                <m:t>D</m:t>
              </m:r>
              <m:sSub>
                <m:e>
                  <m:r>
                    <m:t>N</m:t>
                  </m:r>
                </m:e>
                <m:sub>
                  <m:r>
                    <m:t>2</m:t>
                  </m:r>
                </m:sub>
              </m:sSub>
              <m:sSub>
                <m:e>
                  <m:r>
                    <m:t>A</m:t>
                  </m:r>
                </m:e>
                <m:sub>
                  <m:r>
                    <m:t>2</m:t>
                  </m:r>
                </m:sub>
              </m:sSub>
              <m:sSub>
                <m:e>
                  <m:r>
                    <m:t>B</m:t>
                  </m:r>
                </m:e>
                <m:sub>
                  <m:r>
                    <m:rPr>
                      <m:sty m:val="p"/>
                    </m:rPr>
                    <m:t>m</m:t>
                  </m:r>
                  <m:r>
                    <m:rPr>
                      <m:sty m:val="p"/>
                    </m:rPr>
                    <m:t>a</m:t>
                  </m:r>
                  <m:r>
                    <m:rPr>
                      <m:sty m:val="p"/>
                    </m:rPr>
                    <m:t>g</m:t>
                  </m:r>
                </m:sub>
              </m:sSub>
            </m:den>
          </m:f>
          <m:r>
            <m:t> </m:t>
          </m:r>
          <m:r>
            <m:t>P</m:t>
          </m:r>
          <m:r>
            <m:rPr>
              <m:sty m:val="p"/>
            </m:rPr>
            <m:t>=</m:t>
          </m:r>
          <m:sSub>
            <m:e>
              <m:r>
                <m:t>K</m:t>
              </m:r>
            </m:e>
            <m:sub>
              <m:r>
                <m:rPr>
                  <m:sty m:val="p"/>
                </m:rPr>
                <m:t>I</m:t>
              </m:r>
              <m:r>
                <m:rPr>
                  <m:sty m:val="p"/>
                </m:rPr>
                <m:t>P</m:t>
              </m:r>
            </m:sub>
          </m:sSub>
          <m:r>
            <m:t> </m:t>
          </m:r>
          <m:r>
            <m:t>P</m:t>
          </m:r>
          <m:r>
            <m:rPr>
              <m:sty m:val="p"/>
            </m:rPr>
            <m:t>,</m:t>
          </m:r>
          <m:r>
            <m:t>  </m:t>
          </m:r>
          <m:sSub>
            <m:e>
              <m:r>
                <m:t>K</m:t>
              </m:r>
            </m:e>
            <m:sub>
              <m:r>
                <m:rPr>
                  <m:sty m:val="p"/>
                </m:rPr>
                <m:t>I</m:t>
              </m:r>
              <m:r>
                <m:rPr>
                  <m:sty m:val="p"/>
                </m:rPr>
                <m:t>P</m:t>
              </m:r>
            </m:sub>
          </m:sSub>
          <m:r>
            <m:rPr>
              <m:sty m:val="p"/>
            </m:rPr>
            <m:t>=</m:t>
          </m:r>
          <m:f>
            <m:fPr>
              <m:type m:val="bar"/>
            </m:fPr>
            <m:num>
              <m:r>
                <m:t>k</m:t>
              </m:r>
              <m:r>
                <m:t>L</m:t>
              </m:r>
            </m:num>
            <m:den>
              <m:r>
                <m:t>4</m:t>
              </m:r>
              <m:r>
                <m:t>D</m:t>
              </m:r>
              <m:sSub>
                <m:e>
                  <m:r>
                    <m:t>N</m:t>
                  </m:r>
                </m:e>
                <m:sub>
                  <m:r>
                    <m:t>2</m:t>
                  </m:r>
                </m:sub>
              </m:sSub>
              <m:sSub>
                <m:e>
                  <m:r>
                    <m:t>A</m:t>
                  </m:r>
                </m:e>
                <m:sub>
                  <m:r>
                    <m:t>2</m:t>
                  </m:r>
                </m:sub>
              </m:sSub>
              <m:sSub>
                <m:e>
                  <m:r>
                    <m:t>B</m:t>
                  </m:r>
                </m:e>
                <m:sub>
                  <m:r>
                    <m:rPr>
                      <m:sty m:val="p"/>
                    </m:rPr>
                    <m:t>m</m:t>
                  </m:r>
                  <m:r>
                    <m:rPr>
                      <m:sty m:val="p"/>
                    </m:rPr>
                    <m:t>a</m:t>
                  </m:r>
                  <m:r>
                    <m:rPr>
                      <m:sty m:val="p"/>
                    </m:rPr>
                    <m:t>g</m:t>
                  </m:r>
                </m:sub>
              </m:sSub>
            </m:den>
          </m:f>
          <m:r>
            <m:rPr>
              <m:sty m:val="p"/>
            </m:rPr>
            <m:t>=</m:t>
          </m:r>
          <m:r>
            <m:t>1.25</m:t>
          </m:r>
          <m:r>
            <m:rPr>
              <m:sty m:val="p"/>
            </m:rPr>
            <m:t>×</m:t>
          </m:r>
          <m:sSup>
            <m:e>
              <m:r>
                <m:t>10</m:t>
              </m:r>
            </m:e>
            <m:sup>
              <m:r>
                <m:rPr>
                  <m:sty m:val="p"/>
                </m:rPr>
                <m:t>−</m:t>
              </m:r>
              <m:r>
                <m:t>6</m:t>
              </m:r>
            </m:sup>
          </m:sSup>
          <m:r>
            <m:t> </m:t>
          </m:r>
          <m:r>
            <m:rPr>
              <m:sty m:val="p"/>
            </m:rPr>
            <m:t>A</m:t>
          </m:r>
          <m:r>
            <m:rPr>
              <m:sty m:val="p"/>
            </m:rPr>
            <m:t>/</m:t>
          </m:r>
          <m:r>
            <m:rPr>
              <m:sty m:val="p"/>
            </m:rPr>
            <m:t>单</m:t>
          </m:r>
          <m:r>
            <m:rPr>
              <m:sty m:val="p"/>
            </m:rPr>
            <m:t>位</m:t>
          </m:r>
          <m:r>
            <m:rPr>
              <m:sty m:val="p"/>
            </m:rPr>
            <m:t>P</m:t>
          </m:r>
        </m:oMath>
      </m:oMathPara>
    </w:p>
    <w:p>
      <w:pPr>
        <w:pStyle w:val="FirstParagraph"/>
      </w:pPr>
      <w:r>
        <w:t xml:space="preserve">偏转模块实现了将微弱电流信号转换为可观测的光学位置信号，为后续数据处理模块对信号进行检测与量化提供了基础。</w:t>
      </w:r>
    </w:p>
    <w:bookmarkEnd w:id="46"/>
    <w:bookmarkStart w:id="50" w:name="机械动力学与工作频带"/>
    <w:p>
      <w:pPr>
        <w:pStyle w:val="Heading2"/>
      </w:pPr>
      <w:r>
        <w:t xml:space="preserve">5.3　机械动力学与工作频带</w:t>
      </w:r>
    </w:p>
    <w:p>
      <w:pPr>
        <w:pStyle w:val="FirstParagraph"/>
      </w:pPr>
      <w:r>
        <w:t xml:space="preserve">偏转组构成以悬线为弹性元件的扭转谐振系统，其固有频率与阻尼比由转动惯量</w:t>
      </w:r>
      <w:r>
        <w:t xml:space="preserve"> </w:t>
      </w:r>
      <m:oMath>
        <m:r>
          <m:t>J</m:t>
        </m:r>
      </m:oMath>
      <w:r>
        <w:t xml:space="preserve">、扭转劲度</w:t>
      </w:r>
      <w:r>
        <w:t xml:space="preserve"> </w:t>
      </w:r>
      <m:oMath>
        <m:r>
          <m:t>k</m:t>
        </m:r>
      </m:oMath>
      <w:r>
        <w:t xml:space="preserve"> </w:t>
      </w:r>
      <w:r>
        <w:t xml:space="preserve">与阻尼决定：</w:t>
      </w:r>
    </w:p>
    <w:p>
      <w:pPr>
        <w:pStyle w:val="BodyText"/>
      </w:pPr>
      <m:oMathPara>
        <m:oMathParaPr>
          <m:jc m:val="center"/>
        </m:oMathParaPr>
        <m:oMath>
          <m:sSub>
            <m:e>
              <m:r>
                <m:t>f</m:t>
              </m:r>
            </m:e>
            <m:sub>
              <m:r>
                <m:t>0</m:t>
              </m:r>
            </m:sub>
          </m:sSub>
          <m:r>
            <m:rPr>
              <m:sty m:val="p"/>
            </m:rPr>
            <m:t>=</m:t>
          </m:r>
          <m:f>
            <m:fPr>
              <m:type m:val="bar"/>
            </m:fPr>
            <m:num>
              <m:r>
                <m:t>1</m:t>
              </m:r>
            </m:num>
            <m:den>
              <m:r>
                <m:t>2</m:t>
              </m:r>
              <m:r>
                <m:t>π</m:t>
              </m:r>
            </m:den>
          </m:f>
          <m:rad>
            <m:radPr>
              <m:degHide m:val="on"/>
            </m:radPr>
            <m:deg/>
            <m:e>
              <m:f>
                <m:fPr>
                  <m:type m:val="bar"/>
                </m:fPr>
                <m:num>
                  <m:r>
                    <m:t>k</m:t>
                  </m:r>
                </m:num>
                <m:den>
                  <m:r>
                    <m:t>J</m:t>
                  </m:r>
                </m:den>
              </m:f>
            </m:e>
          </m:rad>
        </m:oMath>
      </m:oMathPara>
    </w:p>
    <w:p>
      <w:pPr>
        <w:pStyle w:val="FirstParagraph"/>
      </w:pPr>
      <w:r>
        <w:t xml:space="preserve">代入表1参数，</w:t>
      </w:r>
      <m:oMath>
        <m:sSub>
          <m:e>
            <m:r>
              <m:t>f</m:t>
            </m:r>
          </m:e>
          <m:sub>
            <m:r>
              <m:t>0</m:t>
            </m:r>
          </m:sub>
        </m:sSub>
        <m:r>
          <m:rPr>
            <m:sty m:val="p"/>
          </m:rPr>
          <m:t>=</m:t>
        </m:r>
        <m:rad>
          <m:radPr>
            <m:degHide m:val="on"/>
          </m:radPr>
          <m:deg/>
          <m:e>
            <m:sSup>
              <m:e>
                <m:r>
                  <m:t>10</m:t>
                </m:r>
              </m:e>
              <m:sup>
                <m:r>
                  <m:rPr>
                    <m:sty m:val="p"/>
                  </m:rPr>
                  <m:t>−</m:t>
                </m:r>
                <m:r>
                  <m:t>6</m:t>
                </m:r>
              </m:sup>
            </m:sSup>
            <m:r>
              <m:rPr>
                <m:sty m:val="p"/>
              </m:rPr>
              <m:t>/</m:t>
            </m:r>
            <m:sSup>
              <m:e>
                <m:r>
                  <m:t>10</m:t>
                </m:r>
              </m:e>
              <m:sup>
                <m:r>
                  <m:rPr>
                    <m:sty m:val="p"/>
                  </m:rPr>
                  <m:t>−</m:t>
                </m:r>
                <m:r>
                  <m:t>7</m:t>
                </m:r>
              </m:sup>
            </m:sSup>
          </m:e>
        </m:rad>
        <m:r>
          <m:rPr>
            <m:sty m:val="p"/>
          </m:rPr>
          <m:t>/</m:t>
        </m:r>
        <m:r>
          <m:t>2</m:t>
        </m:r>
        <m:r>
          <m:t>π</m:t>
        </m:r>
        <m:r>
          <m:rPr>
            <m:sty m:val="p"/>
          </m:rPr>
          <m:t>≈</m:t>
        </m:r>
        <m:r>
          <m:t>0.50</m:t>
        </m:r>
      </m:oMath>
      <w:r>
        <w:t xml:space="preserve"> </w:t>
      </w:r>
      <w:r>
        <w:t xml:space="preserve">Hz。作为二阶系统，其幅频响应为</w:t>
      </w:r>
      <w:r>
        <w:t xml:space="preserve"> </w:t>
      </w:r>
      <m:oMath>
        <m:d>
          <m:dPr>
            <m:begChr m:val="|"/>
            <m:endChr m:val="|"/>
            <m:sepChr m:val=""/>
            <m:grow/>
          </m:dPr>
          <m:e>
            <m:r>
              <m:t>H</m:t>
            </m:r>
            <m:d>
              <m:dPr>
                <m:begChr m:val="("/>
                <m:endChr m:val=")"/>
                <m:sepChr m:val=""/>
                <m:grow/>
              </m:dPr>
              <m:e>
                <m:r>
                  <m:t>f</m:t>
                </m:r>
              </m:e>
            </m:d>
          </m:e>
        </m:d>
        <m:r>
          <m:rPr>
            <m:sty m:val="p"/>
          </m:rPr>
          <m:t>=</m:t>
        </m:r>
        <m:r>
          <m:t>1</m:t>
        </m:r>
        <m:r>
          <m:rPr>
            <m:sty m:val="p"/>
          </m:rPr>
          <m:t>/</m:t>
        </m:r>
        <m:rad>
          <m:radPr>
            <m:degHide m:val="on"/>
          </m:radPr>
          <m:deg/>
          <m:e>
            <m:sSup>
              <m:e>
                <m:d>
                  <m:dPr>
                    <m:begChr m:val="("/>
                    <m:endChr m:val=")"/>
                    <m:sepChr m:val=""/>
                    <m:grow/>
                  </m:dPr>
                  <m:e>
                    <m:r>
                      <m:t>1</m:t>
                    </m:r>
                    <m:r>
                      <m:rPr>
                        <m:sty m:val="p"/>
                      </m:rPr>
                      <m:t>−</m:t>
                    </m:r>
                    <m:sSup>
                      <m:e>
                        <m:r>
                          <m:t>r</m:t>
                        </m:r>
                      </m:e>
                      <m:sup>
                        <m:r>
                          <m:t>2</m:t>
                        </m:r>
                      </m:sup>
                    </m:sSup>
                  </m:e>
                </m:d>
              </m:e>
              <m:sup>
                <m:r>
                  <m:t>2</m:t>
                </m:r>
              </m:sup>
            </m:sSup>
            <m:r>
              <m:rPr>
                <m:sty m:val="p"/>
              </m:rPr>
              <m:t>+</m:t>
            </m:r>
            <m:sSup>
              <m:e>
                <m:d>
                  <m:dPr>
                    <m:begChr m:val="("/>
                    <m:endChr m:val=")"/>
                    <m:sepChr m:val=""/>
                    <m:grow/>
                  </m:dPr>
                  <m:e>
                    <m:r>
                      <m:t>2</m:t>
                    </m:r>
                    <m:r>
                      <m:t>ζ</m:t>
                    </m:r>
                    <m:r>
                      <m:t>r</m:t>
                    </m:r>
                  </m:e>
                </m:d>
              </m:e>
              <m:sup>
                <m:r>
                  <m:t>2</m:t>
                </m:r>
              </m:sup>
            </m:sSup>
          </m:e>
        </m:rad>
      </m:oMath>
      <w:r>
        <w:t xml:space="preserve">，</w:t>
      </w:r>
      <m:oMath>
        <m:r>
          <m:t>r</m:t>
        </m:r>
        <m:r>
          <m:rPr>
            <m:sty m:val="p"/>
          </m:rPr>
          <m:t>=</m:t>
        </m:r>
        <m:r>
          <m:t>f</m:t>
        </m:r>
        <m:r>
          <m:rPr>
            <m:sty m:val="p"/>
          </m:rPr>
          <m:t>/</m:t>
        </m:r>
        <m:sSub>
          <m:e>
            <m:r>
              <m:t>f</m:t>
            </m:r>
          </m:e>
          <m:sub>
            <m:r>
              <m:t>0</m:t>
            </m:r>
          </m:sub>
        </m:sSub>
      </m:oMath>
      <w:r>
        <w:t xml:space="preserve">。在阻尼比</w:t>
      </w:r>
      <w:r>
        <w:t xml:space="preserve"> </w:t>
      </w:r>
      <m:oMath>
        <m:r>
          <m:t>ζ</m:t>
        </m:r>
        <m:r>
          <m:rPr>
            <m:sty m:val="p"/>
          </m:rPr>
          <m:t>=</m:t>
        </m:r>
        <m:r>
          <m:t>0.3</m:t>
        </m:r>
      </m:oMath>
      <w:r>
        <w:t xml:space="preserve"> </w:t>
      </w:r>
      <w:r>
        <w:t xml:space="preserve">时，各频率点的幅值增益与相位滞后如表2所示。</w:t>
      </w:r>
    </w:p>
    <w:p>
      <w:pPr>
        <w:pStyle w:val="TableCaption"/>
      </w:pPr>
      <w:r>
        <w:t xml:space="preserve">表 2　偏转系统机械频率响应特征点（</w:t>
      </w:r>
      <m:oMath>
        <m:r>
          <m:t>ζ</m:t>
        </m:r>
        <m:r>
          <m:rPr>
            <m:sty m:val="p"/>
          </m:rPr>
          <m:t>=</m:t>
        </m:r>
        <m:r>
          <m:t>0.3</m:t>
        </m:r>
      </m:oMath>
      <w:r>
        <w:t xml:space="preserve">，仿真）</w:t>
      </w:r>
    </w:p>
    <w:tbl>
      <w:tblPr>
        <w:tblStyle w:val="Table"/>
        <w:tblW w:type="auto" w:w="0"/>
        <w:tblLook w:firstRow="1" w:lastRow="0" w:firstColumn="0" w:lastColumn="0" w:noHBand="0" w:noVBand="0" w:val="0020"/>
        <w:jc w:val="start"/>
        <w:tblCaption w:val="表 2　偏转系统机械频率响应特征点（\zeta=0.3，仿真）"/>
      </w:tblPr>
      <w:tblGrid>
        <w:gridCol w:w="1584"/>
        <w:gridCol w:w="1584"/>
        <w:gridCol w:w="1584"/>
        <w:gridCol w:w="1584"/>
        <w:gridCol w:w="1584"/>
      </w:tblGrid>
      <w:tr>
        <w:trPr>
          <w:tblHeader w:val="true"/>
        </w:trPr>
        <w:tc>
          <w:tcPr/>
          <w:p>
            <w:pPr>
              <w:pStyle w:val="Compact"/>
              <w:jc w:val="right"/>
            </w:pPr>
            <w:r>
              <w:t xml:space="preserve">频率</w:t>
            </w:r>
            <w:r>
              <w:t xml:space="preserve"> </w:t>
            </w:r>
            <m:oMath>
              <m:r>
                <m:t>f</m:t>
              </m:r>
            </m:oMath>
            <w:r>
              <w:t xml:space="preserve">/Hz</w:t>
            </w:r>
          </w:p>
        </w:tc>
        <w:tc>
          <w:tcPr/>
          <w:p>
            <w:pPr>
              <w:pStyle w:val="Compact"/>
              <w:jc w:val="right"/>
            </w:pPr>
            <m:oMath>
              <m:r>
                <m:t>f</m:t>
              </m:r>
              <m:r>
                <m:rPr>
                  <m:sty m:val="p"/>
                </m:rPr>
                <m:t>/</m:t>
              </m:r>
              <m:sSub>
                <m:e>
                  <m:r>
                    <m:t>f</m:t>
                  </m:r>
                </m:e>
                <m:sub>
                  <m:r>
                    <m:t>0</m:t>
                  </m:r>
                </m:sub>
              </m:sSub>
            </m:oMath>
          </w:p>
        </w:tc>
        <w:tc>
          <w:tcPr/>
          <w:p>
            <w:pPr>
              <w:pStyle w:val="Compact"/>
              <w:jc w:val="right"/>
            </w:pPr>
            <w:r>
              <w:t xml:space="preserve">幅值增益</w:t>
            </w:r>
          </w:p>
        </w:tc>
        <w:tc>
          <w:tcPr/>
          <w:p>
            <w:pPr>
              <w:pStyle w:val="Compact"/>
              <w:jc w:val="right"/>
            </w:pPr>
            <w:r>
              <w:t xml:space="preserve">幅值偏差</w:t>
            </w:r>
          </w:p>
        </w:tc>
        <w:tc>
          <w:tcPr/>
          <w:p>
            <w:pPr>
              <w:pStyle w:val="Compact"/>
              <w:jc w:val="right"/>
            </w:pPr>
            <w:r>
              <w:t xml:space="preserve">相位滞后</w:t>
            </w:r>
          </w:p>
        </w:tc>
      </w:tr>
      <w:tr>
        <w:tc>
          <w:tcPr/>
          <w:p>
            <w:pPr>
              <w:pStyle w:val="Compact"/>
              <w:jc w:val="right"/>
            </w:pPr>
            <w:r>
              <w:t xml:space="preserve">0.05</w:t>
            </w:r>
          </w:p>
        </w:tc>
        <w:tc>
          <w:tcPr/>
          <w:p>
            <w:pPr>
              <w:pStyle w:val="Compact"/>
              <w:jc w:val="right"/>
            </w:pPr>
            <w:r>
              <w:t xml:space="preserve">0.10</w:t>
            </w:r>
          </w:p>
        </w:tc>
        <w:tc>
          <w:tcPr/>
          <w:p>
            <w:pPr>
              <w:pStyle w:val="Compact"/>
              <w:jc w:val="right"/>
            </w:pPr>
            <w:r>
              <w:t xml:space="preserve">1.008</w:t>
            </w:r>
          </w:p>
        </w:tc>
        <w:tc>
          <w:tcPr/>
          <w:p>
            <w:pPr>
              <w:pStyle w:val="Compact"/>
              <w:jc w:val="right"/>
            </w:pPr>
            <w:r>
              <w:t xml:space="preserve">+0.8%</w:t>
            </w:r>
          </w:p>
        </w:tc>
        <w:tc>
          <w:tcPr/>
          <w:p>
            <w:pPr>
              <w:pStyle w:val="Compact"/>
              <w:jc w:val="right"/>
            </w:pPr>
            <w:r>
              <w:t xml:space="preserve">3.5°</w:t>
            </w:r>
          </w:p>
        </w:tc>
      </w:tr>
      <w:tr>
        <w:tc>
          <w:tcPr/>
          <w:p>
            <w:pPr>
              <w:pStyle w:val="Compact"/>
              <w:jc w:val="right"/>
            </w:pPr>
            <w:r>
              <w:t xml:space="preserve">0.10</w:t>
            </w:r>
          </w:p>
        </w:tc>
        <w:tc>
          <w:tcPr/>
          <w:p>
            <w:pPr>
              <w:pStyle w:val="Compact"/>
              <w:jc w:val="right"/>
            </w:pPr>
            <w:r>
              <w:t xml:space="preserve">0.20</w:t>
            </w:r>
          </w:p>
        </w:tc>
        <w:tc>
          <w:tcPr/>
          <w:p>
            <w:pPr>
              <w:pStyle w:val="Compact"/>
              <w:jc w:val="right"/>
            </w:pPr>
            <w:r>
              <w:t xml:space="preserve">1.033</w:t>
            </w:r>
          </w:p>
        </w:tc>
        <w:tc>
          <w:tcPr/>
          <w:p>
            <w:pPr>
              <w:pStyle w:val="Compact"/>
              <w:jc w:val="right"/>
            </w:pPr>
            <w:r>
              <w:t xml:space="preserve">+3.3%</w:t>
            </w:r>
          </w:p>
        </w:tc>
        <w:tc>
          <w:tcPr/>
          <w:p>
            <w:pPr>
              <w:pStyle w:val="Compact"/>
              <w:jc w:val="right"/>
            </w:pPr>
            <w:r>
              <w:t xml:space="preserve">7.1°</w:t>
            </w:r>
          </w:p>
        </w:tc>
      </w:tr>
      <w:tr>
        <w:tc>
          <w:tcPr/>
          <w:p>
            <w:pPr>
              <w:pStyle w:val="Compact"/>
              <w:jc w:val="right"/>
            </w:pPr>
            <w:r>
              <w:t xml:space="preserve">0.20</w:t>
            </w:r>
          </w:p>
        </w:tc>
        <w:tc>
          <w:tcPr/>
          <w:p>
            <w:pPr>
              <w:pStyle w:val="Compact"/>
              <w:jc w:val="right"/>
            </w:pPr>
            <w:r>
              <w:t xml:space="preserve">0.40</w:t>
            </w:r>
          </w:p>
        </w:tc>
        <w:tc>
          <w:tcPr/>
          <w:p>
            <w:pPr>
              <w:pStyle w:val="Compact"/>
              <w:jc w:val="right"/>
            </w:pPr>
            <w:r>
              <w:t xml:space="preserve">1.143</w:t>
            </w:r>
          </w:p>
        </w:tc>
        <w:tc>
          <w:tcPr/>
          <w:p>
            <w:pPr>
              <w:pStyle w:val="Compact"/>
              <w:jc w:val="right"/>
            </w:pPr>
            <w:r>
              <w:t xml:space="preserve">+14.3%</w:t>
            </w:r>
          </w:p>
        </w:tc>
        <w:tc>
          <w:tcPr/>
          <w:p>
            <w:pPr>
              <w:pStyle w:val="Compact"/>
              <w:jc w:val="right"/>
            </w:pPr>
            <w:r>
              <w:t xml:space="preserve">15.8°</w:t>
            </w:r>
          </w:p>
        </w:tc>
      </w:tr>
      <w:tr>
        <w:tc>
          <w:tcPr/>
          <w:p>
            <w:pPr>
              <w:pStyle w:val="Compact"/>
              <w:jc w:val="right"/>
            </w:pPr>
            <w:r>
              <w:t xml:space="preserve">0.30</w:t>
            </w:r>
          </w:p>
        </w:tc>
        <w:tc>
          <w:tcPr/>
          <w:p>
            <w:pPr>
              <w:pStyle w:val="Compact"/>
              <w:jc w:val="right"/>
            </w:pPr>
            <w:r>
              <w:t xml:space="preserve">0.60</w:t>
            </w:r>
          </w:p>
        </w:tc>
        <w:tc>
          <w:tcPr/>
          <w:p>
            <w:pPr>
              <w:pStyle w:val="Compact"/>
              <w:jc w:val="right"/>
            </w:pPr>
            <w:r>
              <w:t xml:space="preserve">1.356</w:t>
            </w:r>
          </w:p>
        </w:tc>
        <w:tc>
          <w:tcPr/>
          <w:p>
            <w:pPr>
              <w:pStyle w:val="Compact"/>
              <w:jc w:val="right"/>
            </w:pPr>
            <w:r>
              <w:t xml:space="preserve">+35.6%</w:t>
            </w:r>
          </w:p>
        </w:tc>
        <w:tc>
          <w:tcPr/>
          <w:p>
            <w:pPr>
              <w:pStyle w:val="Compact"/>
              <w:jc w:val="right"/>
            </w:pPr>
            <w:r>
              <w:t xml:space="preserve">29.0°</w:t>
            </w:r>
          </w:p>
        </w:tc>
      </w:tr>
      <w:tr>
        <w:tc>
          <w:tcPr/>
          <w:p>
            <w:pPr>
              <w:pStyle w:val="Compact"/>
              <w:jc w:val="right"/>
            </w:pPr>
            <w:r>
              <w:t xml:space="preserve">0.50</w:t>
            </w:r>
          </w:p>
        </w:tc>
        <w:tc>
          <w:tcPr/>
          <w:p>
            <w:pPr>
              <w:pStyle w:val="Compact"/>
              <w:jc w:val="right"/>
            </w:pPr>
            <w:r>
              <w:t xml:space="preserve">1.00</w:t>
            </w:r>
          </w:p>
        </w:tc>
        <w:tc>
          <w:tcPr/>
          <w:p>
            <w:pPr>
              <w:pStyle w:val="Compact"/>
              <w:jc w:val="right"/>
            </w:pPr>
            <w:r>
              <w:t xml:space="preserve">1.666</w:t>
            </w:r>
          </w:p>
        </w:tc>
        <w:tc>
          <w:tcPr/>
          <w:p>
            <w:pPr>
              <w:pStyle w:val="Compact"/>
              <w:jc w:val="right"/>
            </w:pPr>
            <w:r>
              <w:t xml:space="preserve">+66.6%（共振）</w:t>
            </w:r>
          </w:p>
        </w:tc>
        <w:tc>
          <w:tcPr/>
          <w:p>
            <w:pPr>
              <w:pStyle w:val="Compact"/>
              <w:jc w:val="right"/>
            </w:pPr>
            <w:r>
              <w:t xml:space="preserve">90°</w:t>
            </w:r>
          </w:p>
        </w:tc>
      </w:tr>
      <w:tr>
        <w:tc>
          <w:tcPr/>
          <w:p>
            <w:pPr>
              <w:pStyle w:val="Compact"/>
              <w:jc w:val="right"/>
            </w:pPr>
            <w:r>
              <w:t xml:space="preserve">1.00</w:t>
            </w:r>
          </w:p>
        </w:tc>
        <w:tc>
          <w:tcPr/>
          <w:p>
            <w:pPr>
              <w:pStyle w:val="Compact"/>
              <w:jc w:val="right"/>
            </w:pPr>
            <w:r>
              <w:t xml:space="preserve">2.00</w:t>
            </w:r>
          </w:p>
        </w:tc>
        <w:tc>
          <w:tcPr/>
          <w:p>
            <w:pPr>
              <w:pStyle w:val="Compact"/>
              <w:jc w:val="right"/>
            </w:pPr>
            <w:r>
              <w:t xml:space="preserve">0.319</w:t>
            </w:r>
          </w:p>
        </w:tc>
        <w:tc>
          <w:tcPr/>
          <w:p>
            <w:pPr>
              <w:pStyle w:val="Compact"/>
              <w:jc w:val="right"/>
            </w:pPr>
            <w:r>
              <w:t xml:space="preserve">−68.1%</w:t>
            </w:r>
          </w:p>
        </w:tc>
        <w:tc>
          <w:tcPr/>
          <w:p>
            <w:pPr>
              <w:pStyle w:val="Compact"/>
              <w:jc w:val="right"/>
            </w:pPr>
            <w:r>
              <w:t xml:space="preserve">157.8°</w:t>
            </w:r>
          </w:p>
        </w:tc>
      </w:tr>
    </w:tbl>
    <w:p>
      <w:pPr>
        <w:pStyle w:val="BodyText"/>
      </w:pPr>
      <w:r>
        <w:t xml:space="preserve">可见在</w:t>
      </w:r>
      <w:r>
        <w:t xml:space="preserve"> </w:t>
      </w:r>
      <m:oMath>
        <m:r>
          <m:t>f</m:t>
        </m:r>
        <m:r>
          <m:rPr>
            <m:sty m:val="p"/>
          </m:rPr>
          <m:t>≤</m:t>
        </m:r>
        <m:r>
          <m:t>0.1</m:t>
        </m:r>
      </m:oMath>
      <w:r>
        <w:t xml:space="preserve"> </w:t>
      </w:r>
      <w:r>
        <w:t xml:space="preserve">Hz频带内幅值误差小于5%、相位滞后小于8°，可作为系统的工作频带；频率越高，幅值偏差迅速增大并出现共振峰。图5给出了完整的幅频与相频特性。</w:t>
      </w:r>
    </w:p>
    <w:p>
      <w:pPr>
        <w:pStyle w:val="CaptionedFigure"/>
      </w:pPr>
      <w:r>
        <w:drawing>
          <wp:inline>
            <wp:extent cx="4206240" cy="3549015"/>
            <wp:effectExtent b="0" l="0" r="0" t="0"/>
            <wp:docPr descr="图 5　偏转系统机械频率响应与工作频带" title="" id="48" name="Picture"/>
            <a:graphic>
              <a:graphicData uri="http://schemas.openxmlformats.org/drawingml/2006/picture">
                <pic:pic>
                  <pic:nvPicPr>
                    <pic:cNvPr descr="media/fig2_机械频率响应.png" id="49" name="Picture"/>
                    <pic:cNvPicPr>
                      <a:picLocks noChangeArrowheads="1" noChangeAspect="1"/>
                    </pic:cNvPicPr>
                  </pic:nvPicPr>
                  <pic:blipFill>
                    <a:blip r:embed="rId47"/>
                    <a:stretch>
                      <a:fillRect/>
                    </a:stretch>
                  </pic:blipFill>
                  <pic:spPr bwMode="auto">
                    <a:xfrm>
                      <a:off x="0" y="0"/>
                      <a:ext cx="4206240" cy="3549015"/>
                    </a:xfrm>
                    <a:prstGeom prst="rect">
                      <a:avLst/>
                    </a:prstGeom>
                    <a:noFill/>
                    <a:ln w="9525">
                      <a:noFill/>
                      <a:headEnd/>
                      <a:tailEnd/>
                    </a:ln>
                  </pic:spPr>
                </pic:pic>
              </a:graphicData>
            </a:graphic>
          </wp:inline>
        </w:drawing>
      </w:r>
    </w:p>
    <w:p>
      <w:pPr>
        <w:pStyle w:val="ImageCaption"/>
      </w:pPr>
      <w:r>
        <w:t xml:space="preserve">图 5　偏转系统机械频率响应与工作频带</w:t>
      </w:r>
    </w:p>
    <w:bookmarkEnd w:id="50"/>
    <w:bookmarkEnd w:id="51"/>
    <w:bookmarkStart w:id="73" w:name="数据处理模块"/>
    <w:p>
      <w:pPr>
        <w:pStyle w:val="Heading1"/>
      </w:pPr>
      <w:r>
        <w:t xml:space="preserve">6　数据处理模块</w:t>
      </w:r>
    </w:p>
    <w:p>
      <w:pPr>
        <w:pStyle w:val="FirstParagraph"/>
      </w:pPr>
      <w:r>
        <w:t xml:space="preserve">数据处理模块负责光学信号检测、数据转换以及测量结果输出，是连接传感检测与数字分析的关键环节。该模块位于装置右侧，由PSD、模拟信号调理电路、数据采集单元以及控制单元组成。其主要功能是检测偏转模块中反射光斑的位置变化，并根据PSD输出与输入微弱电信号之间的对应关系，最终实现待测信号的量化分析。</w:t>
      </w:r>
    </w:p>
    <w:bookmarkStart w:id="56" w:name="数据计算原理"/>
    <w:p>
      <w:pPr>
        <w:pStyle w:val="Heading2"/>
      </w:pPr>
      <w:r>
        <w:t xml:space="preserve">6.1　数据计算原理</w:t>
      </w:r>
    </w:p>
    <w:bookmarkStart w:id="52" w:name="归一化位置算子"/>
    <w:p>
      <w:pPr>
        <w:pStyle w:val="Heading3"/>
      </w:pPr>
      <w:r>
        <w:t xml:space="preserve">6.1.1　归一化位置算子</w:t>
      </w:r>
    </w:p>
    <w:p>
      <w:pPr>
        <w:pStyle w:val="FirstParagraph"/>
      </w:pPr>
      <w:r>
        <w:t xml:space="preserve">PSD（一维位置敏感探测器）利用半导体横向光电效应，将光斑位置变化转换为两端光电流的比例输出。设PSD有效长度为</w:t>
      </w:r>
      <w:r>
        <w:t xml:space="preserve"> </w:t>
      </w:r>
      <m:oMath>
        <m:r>
          <m:t>L</m:t>
        </m:r>
      </m:oMath>
      <w:r>
        <w:t xml:space="preserve">，光斑中心距中心点位移为</w:t>
      </w:r>
      <w:r>
        <w:t xml:space="preserve"> </w:t>
      </w:r>
      <m:oMath>
        <m:r>
          <m:t>x</m:t>
        </m:r>
      </m:oMath>
      <w:r>
        <w:t xml:space="preserve">，两端输出电流为</w:t>
      </w:r>
      <w:r>
        <w:t xml:space="preserve"> </w:t>
      </w:r>
      <m:oMath>
        <m:sSub>
          <m:e>
            <m:r>
              <m:t>I</m:t>
            </m:r>
          </m:e>
          <m:sub>
            <m:r>
              <m:t>1</m:t>
            </m:r>
          </m:sub>
        </m:sSub>
      </m:oMath>
      <w:r>
        <w:t xml:space="preserve">、</w:t>
      </w:r>
      <m:oMath>
        <m:sSub>
          <m:e>
            <m:r>
              <m:t>I</m:t>
            </m:r>
          </m:e>
          <m:sub>
            <m:r>
              <m:t>2</m:t>
            </m:r>
          </m:sub>
        </m:sSub>
      </m:oMath>
      <w:r>
        <w:t xml:space="preserve">，则归一化位置算子定义为 [5]：</w:t>
      </w:r>
    </w:p>
    <w:p>
      <w:pPr>
        <w:pStyle w:val="BodyText"/>
      </w:pPr>
      <m:oMathPara>
        <m:oMathParaPr>
          <m:jc m:val="center"/>
        </m:oMathParaPr>
        <m:oMath>
          <m:r>
            <m:t>P</m:t>
          </m:r>
          <m:r>
            <m:rPr>
              <m:sty m:val="p"/>
            </m:rPr>
            <m:t>=</m:t>
          </m:r>
          <m:f>
            <m:fPr>
              <m:type m:val="bar"/>
            </m:fPr>
            <m:num>
              <m:sSub>
                <m:e>
                  <m:r>
                    <m:t>I</m:t>
                  </m:r>
                </m:e>
                <m:sub>
                  <m:r>
                    <m:t>2</m:t>
                  </m:r>
                </m:sub>
              </m:sSub>
              <m:r>
                <m:rPr>
                  <m:sty m:val="p"/>
                </m:rPr>
                <m:t>−</m:t>
              </m:r>
              <m:sSub>
                <m:e>
                  <m:r>
                    <m:t>I</m:t>
                  </m:r>
                </m:e>
                <m:sub>
                  <m:r>
                    <m:t>1</m:t>
                  </m:r>
                </m:sub>
              </m:sSub>
            </m:num>
            <m:den>
              <m:sSub>
                <m:e>
                  <m:r>
                    <m:t>I</m:t>
                  </m:r>
                </m:e>
                <m:sub>
                  <m:r>
                    <m:t>1</m:t>
                  </m:r>
                </m:sub>
              </m:sSub>
              <m:r>
                <m:rPr>
                  <m:sty m:val="p"/>
                </m:rPr>
                <m:t>+</m:t>
              </m:r>
              <m:sSub>
                <m:e>
                  <m:r>
                    <m:t>I</m:t>
                  </m:r>
                </m:e>
                <m:sub>
                  <m:r>
                    <m:t>2</m:t>
                  </m:r>
                </m:sub>
              </m:sSub>
            </m:den>
          </m:f>
          <m:r>
            <m:rPr>
              <m:sty m:val="p"/>
            </m:rPr>
            <m:t>=</m:t>
          </m:r>
          <m:f>
            <m:fPr>
              <m:type m:val="bar"/>
            </m:fPr>
            <m:num>
              <m:r>
                <m:t>2</m:t>
              </m:r>
              <m:r>
                <m:t>x</m:t>
              </m:r>
            </m:num>
            <m:den>
              <m:r>
                <m:t>L</m:t>
              </m:r>
            </m:den>
          </m:f>
        </m:oMath>
      </m:oMathPara>
    </w:p>
    <w:p>
      <w:pPr>
        <w:pStyle w:val="FirstParagraph"/>
      </w:pPr>
      <w:r>
        <w:t xml:space="preserve">归一化算子</w:t>
      </w:r>
      <w:r>
        <w:t xml:space="preserve"> </w:t>
      </w:r>
      <m:oMath>
        <m:r>
          <m:t>P</m:t>
        </m:r>
      </m:oMath>
      <w:r>
        <w:t xml:space="preserve"> </w:t>
      </w:r>
      <w:r>
        <w:t xml:space="preserve">是无量纲量，其分子分母同比例相除，使结果对激光功率波动、PSD增益漂移以及前级增益变化一阶不敏感——这是本系统相对传统”绝对电压读出”方案的关键改进。系统以</w:t>
      </w:r>
      <w:r>
        <w:t xml:space="preserve"> </w:t>
      </w:r>
      <m:oMath>
        <m:r>
          <m:t>P</m:t>
        </m:r>
      </m:oMath>
      <w:r>
        <w:t xml:space="preserve"> </w:t>
      </w:r>
      <w:r>
        <w:t xml:space="preserve">作为</w:t>
      </w:r>
      <w:r>
        <w:rPr>
          <w:bCs/>
          <w:b/>
        </w:rPr>
        <w:t xml:space="preserve">统一的</w:t>
      </w:r>
      <w:r>
        <w:t xml:space="preserve">测量量，标定与测量均围绕</w:t>
      </w:r>
      <w:r>
        <w:t xml:space="preserve"> </w:t>
      </w:r>
      <m:oMath>
        <m:r>
          <m:t>P</m:t>
        </m:r>
      </m:oMath>
      <w:r>
        <w:t xml:space="preserve"> </w:t>
      </w:r>
      <w:r>
        <w:t xml:space="preserve">展开，避免电压与位置量纲混用。</w:t>
      </w:r>
    </w:p>
    <w:bookmarkEnd w:id="52"/>
    <w:bookmarkStart w:id="53" w:name="感应电流"/>
    <w:p>
      <w:pPr>
        <w:pStyle w:val="Heading3"/>
      </w:pPr>
      <w:r>
        <w:t xml:space="preserve">6.1.2　感应电流</w:t>
      </w:r>
    </w:p>
    <w:p>
      <w:pPr>
        <w:pStyle w:val="FirstParagraph"/>
      </w:pPr>
      <w:r>
        <w:t xml:space="preserve">由第5章推导，感应电流与归一化算子满足线性关系：</w:t>
      </w:r>
    </w:p>
    <w:p>
      <w:pPr>
        <w:pStyle w:val="BodyText"/>
      </w:pPr>
      <m:oMathPara>
        <m:oMathParaPr>
          <m:jc m:val="center"/>
        </m:oMathParaPr>
        <m:oMath>
          <m:r>
            <m:t>I</m:t>
          </m:r>
          <m:r>
            <m:rPr>
              <m:sty m:val="p"/>
            </m:rPr>
            <m:t>=</m:t>
          </m:r>
          <m:sSub>
            <m:e>
              <m:r>
                <m:t>K</m:t>
              </m:r>
            </m:e>
            <m:sub>
              <m:r>
                <m:rPr>
                  <m:sty m:val="p"/>
                </m:rPr>
                <m:t>I</m:t>
              </m:r>
              <m:r>
                <m:rPr>
                  <m:sty m:val="p"/>
                </m:rPr>
                <m:t>P</m:t>
              </m:r>
            </m:sub>
          </m:sSub>
          <m:r>
            <m:t> </m:t>
          </m:r>
          <m:r>
            <m:t>P</m:t>
          </m:r>
          <m:r>
            <m:rPr>
              <m:sty m:val="p"/>
            </m:rPr>
            <m:t>+</m:t>
          </m:r>
          <m:r>
            <m:t>b</m:t>
          </m:r>
        </m:oMath>
      </m:oMathPara>
    </w:p>
    <w:p>
      <w:pPr>
        <w:pStyle w:val="FirstParagraph"/>
      </w:pPr>
      <w:r>
        <w:t xml:space="preserve">其中</w:t>
      </w:r>
      <w:r>
        <w:t xml:space="preserve"> </w:t>
      </w:r>
      <m:oMath>
        <m:sSub>
          <m:e>
            <m:r>
              <m:t>K</m:t>
            </m:r>
          </m:e>
          <m:sub>
            <m:r>
              <m:rPr>
                <m:sty m:val="p"/>
              </m:rPr>
              <m:t>I</m:t>
            </m:r>
            <m:r>
              <m:rPr>
                <m:sty m:val="p"/>
              </m:rPr>
              <m:t>P</m:t>
            </m:r>
          </m:sub>
        </m:sSub>
        <m:r>
          <m:rPr>
            <m:sty m:val="p"/>
          </m:rPr>
          <m:t>=</m:t>
        </m:r>
        <m:r>
          <m:t>1.25</m:t>
        </m:r>
        <m:r>
          <m:rPr>
            <m:sty m:val="p"/>
          </m:rPr>
          <m:t>×</m:t>
        </m:r>
        <m:sSup>
          <m:e>
            <m:r>
              <m:t>10</m:t>
            </m:r>
          </m:e>
          <m:sup>
            <m:r>
              <m:rPr>
                <m:sty m:val="p"/>
              </m:rPr>
              <m:t>−</m:t>
            </m:r>
            <m:r>
              <m:t>6</m:t>
            </m:r>
          </m:sup>
        </m:sSup>
      </m:oMath>
      <w:r>
        <w:t xml:space="preserve"> </w:t>
      </w:r>
      <w:r>
        <w:t xml:space="preserve">A/单位P为理论转换系数，截距</w:t>
      </w:r>
      <w:r>
        <w:t xml:space="preserve"> </w:t>
      </w:r>
      <m:oMath>
        <m:r>
          <m:t>b</m:t>
        </m:r>
      </m:oMath>
      <w:r>
        <w:t xml:space="preserve"> </w:t>
      </w:r>
      <w:r>
        <w:t xml:space="preserve">为系统综合零点修正项，来源于光路初始偏移、电路零点误差与机械安装误差等固定偏差。</w:t>
      </w:r>
      <m:oMath>
        <m:sSub>
          <m:e>
            <m:r>
              <m:t>K</m:t>
            </m:r>
          </m:e>
          <m:sub>
            <m:r>
              <m:rPr>
                <m:sty m:val="p"/>
              </m:rPr>
              <m:t>I</m:t>
            </m:r>
            <m:r>
              <m:rPr>
                <m:sty m:val="p"/>
              </m:rPr>
              <m:t>P</m:t>
            </m:r>
          </m:sub>
        </m:sSub>
      </m:oMath>
      <w:r>
        <w:t xml:space="preserve"> </w:t>
      </w:r>
      <w:r>
        <w:t xml:space="preserve">与</w:t>
      </w:r>
      <w:r>
        <w:t xml:space="preserve"> </w:t>
      </w:r>
      <m:oMath>
        <m:r>
          <m:t>b</m:t>
        </m:r>
      </m:oMath>
      <w:r>
        <w:t xml:space="preserve"> </w:t>
      </w:r>
      <w:r>
        <w:t xml:space="preserve">通过第7章的两级标定实验确定并写入程序。</w:t>
      </w:r>
    </w:p>
    <w:bookmarkEnd w:id="53"/>
    <w:bookmarkStart w:id="54" w:name="等效感应电压幅值"/>
    <w:p>
      <w:pPr>
        <w:pStyle w:val="Heading3"/>
      </w:pPr>
      <w:r>
        <w:t xml:space="preserve">6.1.3　等效感应电压幅值</w:t>
      </w:r>
    </w:p>
    <w:p>
      <w:pPr>
        <w:pStyle w:val="FirstParagraph"/>
      </w:pPr>
      <w:r>
        <w:t xml:space="preserve">对于接收线圈产生的感应信号，设回路总电阻为</w:t>
      </w:r>
      <w:r>
        <w:t xml:space="preserve"> </w:t>
      </w:r>
      <m:oMath>
        <m:r>
          <m:t>R</m:t>
        </m:r>
      </m:oMath>
      <w:r>
        <w:t xml:space="preserve">（含接收线圈内阻、连接导线、偏转线圈与采样电阻），则感应电动势幅值为：</w:t>
      </w:r>
    </w:p>
    <w:p>
      <w:pPr>
        <w:pStyle w:val="BodyText"/>
      </w:pPr>
      <m:oMathPara>
        <m:oMathParaPr>
          <m:jc m:val="center"/>
        </m:oMathParaPr>
        <m:oMath>
          <m:r>
            <m:t>ε</m:t>
          </m:r>
          <m:r>
            <m:rPr>
              <m:sty m:val="p"/>
            </m:rPr>
            <m:t>=</m:t>
          </m:r>
          <m:r>
            <m:t>I</m:t>
          </m:r>
          <m:r>
            <m:rPr>
              <m:sty m:val="p"/>
            </m:rPr>
            <m:t>⋅</m:t>
          </m:r>
          <m:r>
            <m:t>R</m:t>
          </m:r>
        </m:oMath>
      </m:oMathPara>
    </w:p>
    <w:p>
      <w:pPr>
        <w:pStyle w:val="FirstParagraph"/>
      </w:pPr>
      <w:r>
        <w:t xml:space="preserve">系统输出的”等效感应电压幅值”</w:t>
      </w:r>
      <w:r>
        <w:t xml:space="preserve"> </w:t>
      </w:r>
      <m:oMath>
        <m:r>
          <m:t>U</m:t>
        </m:r>
      </m:oMath>
      <w:r>
        <w:t xml:space="preserve"> </w:t>
      </w:r>
      <w:r>
        <w:t xml:space="preserve">即取</w:t>
      </w:r>
      <w:r>
        <w:t xml:space="preserve"> </w:t>
      </w:r>
      <m:oMath>
        <m:r>
          <m:t>ε</m:t>
        </m:r>
      </m:oMath>
      <w:r>
        <w:t xml:space="preserve">。需要说明的是，感应电压的真实物理含义取决于回路阻抗构成，其数值由实测的感应电流</w:t>
      </w:r>
      <w:r>
        <w:t xml:space="preserve"> </w:t>
      </w:r>
      <m:oMath>
        <m:r>
          <m:t>I</m:t>
        </m:r>
      </m:oMath>
      <w:r>
        <w:t xml:space="preserve"> </w:t>
      </w:r>
      <w:r>
        <w:t xml:space="preserve">与已标定的回路总电阻</w:t>
      </w:r>
      <w:r>
        <w:t xml:space="preserve"> </w:t>
      </w:r>
      <m:oMath>
        <m:r>
          <m:t>R</m:t>
        </m:r>
      </m:oMath>
      <w:r>
        <w:t xml:space="preserve"> </w:t>
      </w:r>
      <w:r>
        <w:t xml:space="preserve">相乘得到，二者均在两级标定中统一确定，避免了系统阻抗定义不明导致的量纲混乱。</w:t>
      </w:r>
    </w:p>
    <w:bookmarkEnd w:id="54"/>
    <w:bookmarkStart w:id="55" w:name="信号频率"/>
    <w:p>
      <w:pPr>
        <w:pStyle w:val="Heading3"/>
      </w:pPr>
      <w:r>
        <w:t xml:space="preserve">6.1.4　信号频率</w:t>
      </w:r>
    </w:p>
    <w:p>
      <w:pPr>
        <w:pStyle w:val="FirstParagraph"/>
      </w:pPr>
      <w:r>
        <w:t xml:space="preserve">设</w:t>
      </w:r>
      <w:r>
        <w:t xml:space="preserve"> </w:t>
      </w:r>
      <m:oMath>
        <m:sSub>
          <m:e>
            <m:r>
              <m:t>I</m:t>
            </m:r>
          </m:e>
          <m:sub>
            <m:r>
              <m:t>0</m:t>
            </m:r>
          </m:sub>
        </m:sSub>
      </m:oMath>
      <w:r>
        <w:t xml:space="preserve"> </w:t>
      </w:r>
      <w:r>
        <w:t xml:space="preserve">为感应电流幅值，</w:t>
      </w:r>
      <m:oMath>
        <m:r>
          <m:t>f</m:t>
        </m:r>
      </m:oMath>
      <w:r>
        <w:t xml:space="preserve"> </w:t>
      </w:r>
      <w:r>
        <w:t xml:space="preserve">为待测信号频率，</w:t>
      </w:r>
      <m:oMath>
        <m:r>
          <m:t>φ</m:t>
        </m:r>
      </m:oMath>
      <w:r>
        <w:t xml:space="preserve"> </w:t>
      </w:r>
      <w:r>
        <w:t xml:space="preserve">为初始相位，则感应电流随时间的变化关系为：</w:t>
      </w:r>
    </w:p>
    <w:p>
      <w:pPr>
        <w:pStyle w:val="BodyText"/>
      </w:pPr>
      <m:oMathPara>
        <m:oMathParaPr>
          <m:jc m:val="center"/>
        </m:oMathParaPr>
        <m:oMath>
          <m:r>
            <m:t>I</m:t>
          </m:r>
          <m:d>
            <m:dPr>
              <m:begChr m:val="("/>
              <m:endChr m:val=")"/>
              <m:sepChr m:val=""/>
              <m:grow/>
            </m:dPr>
            <m:e>
              <m:r>
                <m:t>t</m:t>
              </m:r>
            </m:e>
          </m:d>
          <m:r>
            <m:rPr>
              <m:sty m:val="p"/>
            </m:rPr>
            <m:t>=</m:t>
          </m:r>
          <m:sSub>
            <m:e>
              <m:r>
                <m:t>I</m:t>
              </m:r>
            </m:e>
            <m:sub>
              <m:r>
                <m:t>0</m:t>
              </m:r>
            </m:sub>
          </m:sSub>
          <m:r>
            <m:rPr>
              <m:sty m:val="p"/>
            </m:rPr>
            <m:t>sin</m:t>
          </m:r>
          <m:d>
            <m:dPr>
              <m:begChr m:val="("/>
              <m:endChr m:val=")"/>
              <m:sepChr m:val=""/>
              <m:grow/>
            </m:dPr>
            <m:e>
              <m:r>
                <m:t>2</m:t>
              </m:r>
              <m:r>
                <m:t>π</m:t>
              </m:r>
              <m:r>
                <m:t>f</m:t>
              </m:r>
              <m:r>
                <m:t>t</m:t>
              </m:r>
              <m:r>
                <m:rPr>
                  <m:sty m:val="p"/>
                </m:rPr>
                <m:t>+</m:t>
              </m:r>
              <m:r>
                <m:t>φ</m:t>
              </m:r>
            </m:e>
          </m:d>
        </m:oMath>
      </m:oMathPara>
    </w:p>
    <w:p>
      <w:pPr>
        <w:pStyle w:val="FirstParagraph"/>
      </w:pPr>
      <w:r>
        <w:t xml:space="preserve">由于</w:t>
      </w:r>
      <w:r>
        <w:t xml:space="preserve"> </w:t>
      </w:r>
      <m:oMath>
        <m:r>
          <m:t>P</m:t>
        </m:r>
        <m:r>
          <m:rPr>
            <m:sty m:val="p"/>
          </m:rPr>
          <m:t>∝</m:t>
        </m:r>
        <m:r>
          <m:t>I</m:t>
        </m:r>
      </m:oMath>
      <w:r>
        <w:t xml:space="preserve">，PSD输出的归一化算子同样具有周期性。系统连续采集</w:t>
      </w:r>
      <w:r>
        <w:t xml:space="preserve"> </w:t>
      </w:r>
      <m:oMath>
        <m:r>
          <m:t>P</m:t>
        </m:r>
      </m:oMath>
      <w:r>
        <w:t xml:space="preserve"> </w:t>
      </w:r>
      <w:r>
        <w:t xml:space="preserve">的时间序列，经滤波后通过过零检测确定周期。设连续两个相邻过零时刻为</w:t>
      </w:r>
      <w:r>
        <w:t xml:space="preserve"> </w:t>
      </w:r>
      <m:oMath>
        <m:sSub>
          <m:e>
            <m:r>
              <m:t>t</m:t>
            </m:r>
          </m:e>
          <m:sub>
            <m:r>
              <m:t>1</m:t>
            </m:r>
          </m:sub>
        </m:sSub>
      </m:oMath>
      <w:r>
        <w:t xml:space="preserve">、</w:t>
      </w:r>
      <m:oMath>
        <m:sSub>
          <m:e>
            <m:r>
              <m:t>t</m:t>
            </m:r>
          </m:e>
          <m:sub>
            <m:r>
              <m:t>2</m:t>
            </m:r>
          </m:sub>
        </m:sSub>
      </m:oMath>
      <w:r>
        <w:t xml:space="preserve">，则：</w:t>
      </w:r>
    </w:p>
    <w:p>
      <w:pPr>
        <w:pStyle w:val="BodyText"/>
      </w:pPr>
      <m:oMathPara>
        <m:oMathParaPr>
          <m:jc m:val="center"/>
        </m:oMathParaPr>
        <m:oMath>
          <m:r>
            <m:t>f</m:t>
          </m:r>
          <m:r>
            <m:rPr>
              <m:sty m:val="p"/>
            </m:rPr>
            <m:t>=</m:t>
          </m:r>
          <m:f>
            <m:fPr>
              <m:type m:val="bar"/>
            </m:fPr>
            <m:num>
              <m:r>
                <m:t>1</m:t>
              </m:r>
            </m:num>
            <m:den>
              <m:r>
                <m:t>2</m:t>
              </m:r>
              <m:d>
                <m:dPr>
                  <m:begChr m:val="("/>
                  <m:endChr m:val=")"/>
                  <m:sepChr m:val=""/>
                  <m:grow/>
                </m:dPr>
                <m:e>
                  <m:sSub>
                    <m:e>
                      <m:r>
                        <m:t>t</m:t>
                      </m:r>
                    </m:e>
                    <m:sub>
                      <m:r>
                        <m:t>2</m:t>
                      </m:r>
                    </m:sub>
                  </m:sSub>
                  <m:r>
                    <m:rPr>
                      <m:sty m:val="p"/>
                    </m:rPr>
                    <m:t>−</m:t>
                  </m:r>
                  <m:sSub>
                    <m:e>
                      <m:r>
                        <m:t>t</m:t>
                      </m:r>
                    </m:e>
                    <m:sub>
                      <m:r>
                        <m:t>1</m:t>
                      </m:r>
                    </m:sub>
                  </m:sSub>
                </m:e>
              </m:d>
            </m:den>
          </m:f>
        </m:oMath>
      </m:oMathPara>
    </w:p>
    <w:p>
      <w:pPr>
        <w:pStyle w:val="FirstParagraph"/>
      </w:pPr>
      <w:r>
        <w:t xml:space="preserve">当采集时间较长时，可通过多个周期平均降低测量误差：</w:t>
      </w:r>
    </w:p>
    <w:p>
      <w:pPr>
        <w:pStyle w:val="BodyText"/>
      </w:pPr>
      <m:oMathPara>
        <m:oMathParaPr>
          <m:jc m:val="center"/>
        </m:oMathParaPr>
        <m:oMath>
          <m:r>
            <m:t>f</m:t>
          </m:r>
          <m:r>
            <m:rPr>
              <m:sty m:val="p"/>
            </m:rPr>
            <m:t>=</m:t>
          </m:r>
          <m:f>
            <m:fPr>
              <m:type m:val="bar"/>
            </m:fPr>
            <m:num>
              <m:r>
                <m:t>n</m:t>
              </m:r>
            </m:num>
            <m:den>
              <m:sSub>
                <m:e>
                  <m:r>
                    <m:t>t</m:t>
                  </m:r>
                </m:e>
                <m:sub>
                  <m:r>
                    <m:t>n</m:t>
                  </m:r>
                </m:sub>
              </m:sSub>
              <m:r>
                <m:rPr>
                  <m:sty m:val="p"/>
                </m:rPr>
                <m:t>−</m:t>
              </m:r>
              <m:sSub>
                <m:e>
                  <m:r>
                    <m:t>t</m:t>
                  </m:r>
                </m:e>
                <m:sub>
                  <m:r>
                    <m:t>0</m:t>
                  </m:r>
                </m:sub>
              </m:sSub>
            </m:den>
          </m:f>
        </m:oMath>
      </m:oMathPara>
    </w:p>
    <w:p>
      <w:pPr>
        <w:pStyle w:val="FirstParagraph"/>
      </w:pPr>
      <w:r>
        <w:t xml:space="preserve">其中</w:t>
      </w:r>
      <w:r>
        <w:t xml:space="preserve"> </w:t>
      </w:r>
      <m:oMath>
        <m:r>
          <m:t>n</m:t>
        </m:r>
      </m:oMath>
      <w:r>
        <w:t xml:space="preserve"> </w:t>
      </w:r>
      <w:r>
        <w:t xml:space="preserve">为连续检测到的周期数量，</w:t>
      </w:r>
      <m:oMath>
        <m:sSub>
          <m:e>
            <m:r>
              <m:t>t</m:t>
            </m:r>
          </m:e>
          <m:sub>
            <m:r>
              <m:t>n</m:t>
            </m:r>
          </m:sub>
        </m:sSub>
        <m:r>
          <m:rPr>
            <m:sty m:val="p"/>
          </m:rPr>
          <m:t>−</m:t>
        </m:r>
        <m:sSub>
          <m:e>
            <m:r>
              <m:t>t</m:t>
            </m:r>
          </m:e>
          <m:sub>
            <m:r>
              <m:t>0</m:t>
            </m:r>
          </m:sub>
        </m:sSub>
      </m:oMath>
      <w:r>
        <w:t xml:space="preserve"> </w:t>
      </w:r>
      <w:r>
        <w:t xml:space="preserve">为对应时间跨度。因此本系统不仅能够反推微弱电信号幅值，还能够利用归一化算子随时间的变化规律实现输入信号频率检测。</w:t>
      </w:r>
    </w:p>
    <w:bookmarkEnd w:id="55"/>
    <w:bookmarkEnd w:id="56"/>
    <w:bookmarkStart w:id="63" w:name="电路设计与实现-1"/>
    <w:p>
      <w:pPr>
        <w:pStyle w:val="Heading2"/>
      </w:pPr>
      <w:r>
        <w:t xml:space="preserve">6.2　电路设计与实现</w:t>
      </w:r>
    </w:p>
    <w:p>
      <w:pPr>
        <w:pStyle w:val="FirstParagraph"/>
      </w:pPr>
      <w:r>
        <w:t xml:space="preserve">数据处理模块负责完成光电信号采集、信号调理、模数转换以及数据计算，是整个测量系统实现数字化输出的核心部分。由于系统检测的是反射激光在PSD上的变化，而PSD输出信号本质上为微弱光电流，因此无法直接进行数字采样，需要经过信号转换和调理处理后才能被控制单元准确读取。本系统采用”PSD传感器、低噪声信号调理电路、高精度模数转换模块以及Arduino”的整体结构，实现从光斑变化到数字测量结果的转换。</w:t>
      </w:r>
    </w:p>
    <w:p>
      <w:pPr>
        <w:pStyle w:val="BodyText"/>
      </w:pPr>
      <w:r>
        <w:t xml:space="preserve">传感器部分采用PSD作为光斑变化检测器件，其位置分辨率达0.3 µm [5]。当偏转线圈带动反射镜发生微小转动时，反射激光在PSD感光面上的位置随之改变，PSD利用横向光电效应输出与光斑位置变化相关的光电信号。由于该信号幅值较小，容易受到噪声影响，因此需要经过电流到电压转换以及信号调理处理。</w:t>
      </w:r>
    </w:p>
    <w:p>
      <w:pPr>
        <w:pStyle w:val="BodyText"/>
      </w:pPr>
      <w:r>
        <w:t xml:space="preserve">为实现对PSD输出信号的采集，系统设计了基于低噪声运算放大器的模拟信号调理电路，将PSD输出的微弱光电流转换为适合采样的电压信号，并通过反馈参数调节使其满足后级模数转换模块的输入范围。运算放大器选用AD8628，其输入失调电压典型值仅1 µV、输入偏置电流典型值30 pA，能够显著降低信号转换过程中的误差，提高测量稳定性 [6]。</w:t>
      </w:r>
    </w:p>
    <w:p>
      <w:pPr>
        <w:pStyle w:val="BodyText"/>
      </w:pPr>
      <w:r>
        <w:t xml:space="preserve">模拟信号经调理后输入ADS1115进行高精度采样。由于Arduino内部ADC分辨率有限，难以满足微弱信号检测需求，因此采用独立ADC模块进行数据转换。ADS1115为16位Δ-Σ型ADC，内置参考源，数据率8～860 SPS，可编程增益范围±256 mV～±6.144 V，通过I²C接口与Arduino连接 [7]。</w:t>
      </w:r>
    </w:p>
    <w:p>
      <w:pPr>
        <w:pStyle w:val="BodyText"/>
      </w:pPr>
      <w:r>
        <w:t xml:space="preserve">Arduino根据采集到的PSD输出进行数字处理，通过前文建立的归一化算子与感应电流转换模型，计算对应的感应电流，并进一步根据系统参数计算等效感应电压和信号频率，同时控制显示模块实时输出测量结果。</w:t>
      </w:r>
    </w:p>
    <w:p>
      <w:pPr>
        <w:pStyle w:val="BodyText"/>
      </w:pPr>
      <w:r>
        <w:t xml:space="preserve">数据处理模块的电路结构与原理如图6和图7所示。在电路连接过程中，模拟信号部分与数字控制部分进行合理隔离，减少数字通信噪声对前端微弱信号检测的影响。传感器、信号调理电路以及模数转换模块采用短距离连接方式，并安装于金属屏蔽结构内部，与外部铜网屏蔽共同降低环境电磁干扰，提高系统测量稳定性。</w:t>
      </w:r>
    </w:p>
    <w:p>
      <w:pPr>
        <w:pStyle w:val="CaptionedFigure"/>
      </w:pPr>
      <w:r>
        <w:drawing>
          <wp:inline>
            <wp:extent cx="3931919" cy="3512285"/>
            <wp:effectExtent b="0" l="0" r="0" t="0"/>
            <wp:docPr descr="图 6　数据转换模块接线示意图" title="" id="58" name="Picture"/>
            <a:graphic>
              <a:graphicData uri="http://schemas.openxmlformats.org/drawingml/2006/picture">
                <pic:pic>
                  <pic:nvPicPr>
                    <pic:cNvPr descr="media/fig_data_wiring.png" id="59" name="Picture"/>
                    <pic:cNvPicPr>
                      <a:picLocks noChangeArrowheads="1" noChangeAspect="1"/>
                    </pic:cNvPicPr>
                  </pic:nvPicPr>
                  <pic:blipFill>
                    <a:blip r:embed="rId57"/>
                    <a:stretch>
                      <a:fillRect/>
                    </a:stretch>
                  </pic:blipFill>
                  <pic:spPr bwMode="auto">
                    <a:xfrm>
                      <a:off x="0" y="0"/>
                      <a:ext cx="3931919" cy="3512285"/>
                    </a:xfrm>
                    <a:prstGeom prst="rect">
                      <a:avLst/>
                    </a:prstGeom>
                    <a:noFill/>
                    <a:ln w="9525">
                      <a:noFill/>
                      <a:headEnd/>
                      <a:tailEnd/>
                    </a:ln>
                  </pic:spPr>
                </pic:pic>
              </a:graphicData>
            </a:graphic>
          </wp:inline>
        </w:drawing>
      </w:r>
    </w:p>
    <w:p>
      <w:pPr>
        <w:pStyle w:val="ImageCaption"/>
      </w:pPr>
      <w:r>
        <w:t xml:space="preserve">图 6　数据转换模块接线示意图</w:t>
      </w:r>
    </w:p>
    <w:p>
      <w:pPr>
        <w:pStyle w:val="CaptionedFigure"/>
      </w:pPr>
      <w:r>
        <w:drawing>
          <wp:inline>
            <wp:extent cx="3931919" cy="2557122"/>
            <wp:effectExtent b="0" l="0" r="0" t="0"/>
            <wp:docPr descr="图 7　数据转换模块电路原理图" title="" id="61" name="Picture"/>
            <a:graphic>
              <a:graphicData uri="http://schemas.openxmlformats.org/drawingml/2006/picture">
                <pic:pic>
                  <pic:nvPicPr>
                    <pic:cNvPr descr="media/fig_data_schematic.png" id="62" name="Picture"/>
                    <pic:cNvPicPr>
                      <a:picLocks noChangeArrowheads="1" noChangeAspect="1"/>
                    </pic:cNvPicPr>
                  </pic:nvPicPr>
                  <pic:blipFill>
                    <a:blip r:embed="rId60"/>
                    <a:stretch>
                      <a:fillRect/>
                    </a:stretch>
                  </pic:blipFill>
                  <pic:spPr bwMode="auto">
                    <a:xfrm>
                      <a:off x="0" y="0"/>
                      <a:ext cx="3931919" cy="2557122"/>
                    </a:xfrm>
                    <a:prstGeom prst="rect">
                      <a:avLst/>
                    </a:prstGeom>
                    <a:noFill/>
                    <a:ln w="9525">
                      <a:noFill/>
                      <a:headEnd/>
                      <a:tailEnd/>
                    </a:ln>
                  </pic:spPr>
                </pic:pic>
              </a:graphicData>
            </a:graphic>
          </wp:inline>
        </w:drawing>
      </w:r>
    </w:p>
    <w:p>
      <w:pPr>
        <w:pStyle w:val="ImageCaption"/>
      </w:pPr>
      <w:r>
        <w:t xml:space="preserve">图 7　数据转换模块电路原理图</w:t>
      </w:r>
    </w:p>
    <w:p>
      <w:pPr>
        <w:pStyle w:val="BodyText"/>
      </w:pPr>
      <w:r>
        <w:t xml:space="preserve">通过上述电路设计，系统实现了从PSD微弱光电流输出到数字测量结果的完整转换，为后续感应电流、等效感应电压以及频率分析提供可靠的数据基础。</w:t>
      </w:r>
    </w:p>
    <w:bookmarkEnd w:id="63"/>
    <w:bookmarkStart w:id="72" w:name="程序设计与实现-1"/>
    <w:p>
      <w:pPr>
        <w:pStyle w:val="Heading2"/>
      </w:pPr>
      <w:r>
        <w:t xml:space="preserve">6.3　程序设计与实现</w:t>
      </w:r>
    </w:p>
    <w:p>
      <w:pPr>
        <w:pStyle w:val="FirstParagraph"/>
      </w:pPr>
      <w:r>
        <w:t xml:space="preserve">数据转换模块的软件部分主要负责完成采集数据的转换、计算以及优化处理。系统程序运行于Arduino，通过读取ADS1115输出数据，将模拟调理电路输出的电压信号转换为对应的归一化位置算子、电流、等效电压以及频率等测量参数。同时，针对微弱信号测量过程中存在的噪声干扰问题，程序加入数字降噪算法，提高数据稳定性和测量精度。</w:t>
      </w:r>
    </w:p>
    <w:p>
      <w:pPr>
        <w:pStyle w:val="BodyText"/>
      </w:pPr>
      <w:r>
        <w:t xml:space="preserve">程序整体采用模块化设计，主要包括数据读取、数据转换、数字滤波以及结果输出等功能。其中数据转换程序负责完成原始采样值到实际物理量的映射，数字降噪程序负责降低随机波动对测量结果的影响。</w:t>
      </w:r>
    </w:p>
    <w:bookmarkStart w:id="67" w:name="数据转换输出代码"/>
    <w:p>
      <w:pPr>
        <w:pStyle w:val="Heading3"/>
      </w:pPr>
      <w:r>
        <w:t xml:space="preserve">6.3.1　数据转换输出代码</w:t>
      </w:r>
    </w:p>
    <w:p>
      <w:pPr>
        <w:pStyle w:val="FirstParagraph"/>
      </w:pPr>
      <w:r>
        <w:t xml:space="preserve">数据转换算法基于前文建立的信号转换模型进行计算，其代码实现如图8所示。</w:t>
      </w:r>
    </w:p>
    <w:p>
      <w:pPr>
        <w:pStyle w:val="CaptionedFigure"/>
      </w:pPr>
      <w:r>
        <w:drawing>
          <wp:inline>
            <wp:extent cx="3840480" cy="4030537"/>
            <wp:effectExtent b="0" l="0" r="0" t="0"/>
            <wp:docPr descr="图 8　数据转换输出代码" title="" id="65" name="Picture"/>
            <a:graphic>
              <a:graphicData uri="http://schemas.openxmlformats.org/drawingml/2006/picture">
                <pic:pic>
                  <pic:nvPicPr>
                    <pic:cNvPr descr="media/fig_code_convert.png" id="66" name="Picture"/>
                    <pic:cNvPicPr>
                      <a:picLocks noChangeArrowheads="1" noChangeAspect="1"/>
                    </pic:cNvPicPr>
                  </pic:nvPicPr>
                  <pic:blipFill>
                    <a:blip r:embed="rId64"/>
                    <a:stretch>
                      <a:fillRect/>
                    </a:stretch>
                  </pic:blipFill>
                  <pic:spPr bwMode="auto">
                    <a:xfrm>
                      <a:off x="0" y="0"/>
                      <a:ext cx="3840480" cy="4030537"/>
                    </a:xfrm>
                    <a:prstGeom prst="rect">
                      <a:avLst/>
                    </a:prstGeom>
                    <a:noFill/>
                    <a:ln w="9525">
                      <a:noFill/>
                      <a:headEnd/>
                      <a:tailEnd/>
                    </a:ln>
                  </pic:spPr>
                </pic:pic>
              </a:graphicData>
            </a:graphic>
          </wp:inline>
        </w:drawing>
      </w:r>
    </w:p>
    <w:p>
      <w:pPr>
        <w:pStyle w:val="ImageCaption"/>
      </w:pPr>
      <w:r>
        <w:t xml:space="preserve">图 8　数据转换输出代码</w:t>
      </w:r>
    </w:p>
    <w:p>
      <w:pPr>
        <w:pStyle w:val="BodyText"/>
      </w:pPr>
      <w:r>
        <w:t xml:space="preserve">首先，程序通过ADS1115读取PSD两路输出电压，并对ADC采样结果进行电压转换。随后，根据PSD双路输出信号的比例关系计算归一化位置算子：</w:t>
      </w:r>
    </w:p>
    <w:p>
      <w:pPr>
        <w:pStyle w:val="SourceCode"/>
      </w:pPr>
      <w:r>
        <w:rPr>
          <w:rStyle w:val="DataTypeTok"/>
        </w:rPr>
        <w:t xml:space="preserve">float</w:t>
      </w:r>
      <w:r>
        <w:rPr>
          <w:rStyle w:val="NormalTok"/>
        </w:rPr>
        <w:t xml:space="preserve"> P </w:t>
      </w:r>
      <w:r>
        <w:rPr>
          <w:rStyle w:val="OperatorTok"/>
        </w:rPr>
        <w:t xml:space="preserve">=</w:t>
      </w:r>
      <w:r>
        <w:rPr>
          <w:rStyle w:val="NormalTok"/>
        </w:rPr>
        <w:t xml:space="preserve"> </w:t>
      </w:r>
      <w:r>
        <w:rPr>
          <w:rStyle w:val="OperatorTok"/>
        </w:rPr>
        <w:t xml:space="preserve">(</w:t>
      </w:r>
      <w:r>
        <w:rPr>
          <w:rStyle w:val="NormalTok"/>
        </w:rPr>
        <w:t xml:space="preserve">V2 </w:t>
      </w:r>
      <w:r>
        <w:rPr>
          <w:rStyle w:val="OperatorTok"/>
        </w:rPr>
        <w:t xml:space="preserve">-</w:t>
      </w:r>
      <w:r>
        <w:rPr>
          <w:rStyle w:val="NormalTok"/>
        </w:rPr>
        <w:t xml:space="preserve"> V1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V1 </w:t>
      </w:r>
      <w:r>
        <w:rPr>
          <w:rStyle w:val="OperatorTok"/>
        </w:rPr>
        <w:t xml:space="preserve">+</w:t>
      </w:r>
      <w:r>
        <w:rPr>
          <w:rStyle w:val="NormalTok"/>
        </w:rPr>
        <w:t xml:space="preserve"> V2</w:t>
      </w:r>
      <w:r>
        <w:rPr>
          <w:rStyle w:val="OperatorTok"/>
        </w:rPr>
        <w:t xml:space="preserve">);</w:t>
      </w:r>
      <w:r>
        <w:rPr>
          <w:rStyle w:val="NormalTok"/>
        </w:rPr>
        <w:t xml:space="preserve">   </w:t>
      </w:r>
      <w:r>
        <w:rPr>
          <w:rStyle w:val="CommentTok"/>
        </w:rPr>
        <w:t xml:space="preserve">// 归一化位置算子，无量纲</w:t>
      </w:r>
    </w:p>
    <w:p>
      <w:pPr>
        <w:pStyle w:val="FirstParagraph"/>
      </w:pPr>
      <w:r>
        <w:t xml:space="preserve">得到算子</w:t>
      </w:r>
      <w:r>
        <w:t xml:space="preserve"> </w:t>
      </w:r>
      <m:oMath>
        <m:r>
          <m:t>P</m:t>
        </m:r>
      </m:oMath>
      <w:r>
        <w:t xml:space="preserve"> </w:t>
      </w:r>
      <w:r>
        <w:t xml:space="preserve">后，程序根据标定写入的转换系数计算感应电流</w:t>
      </w:r>
      <w:r>
        <w:t xml:space="preserve"> </w:t>
      </w:r>
      <m:oMath>
        <m:r>
          <m:t>I</m:t>
        </m:r>
        <m:r>
          <m:rPr>
            <m:sty m:val="p"/>
          </m:rPr>
          <m:t>=</m:t>
        </m:r>
        <m:sSub>
          <m:e>
            <m:r>
              <m:t>K</m:t>
            </m:r>
          </m:e>
          <m:sub>
            <m:r>
              <m:rPr>
                <m:sty m:val="p"/>
              </m:rPr>
              <m:t>I</m:t>
            </m:r>
            <m:r>
              <m:rPr>
                <m:sty m:val="p"/>
              </m:rPr>
              <m:t>P</m:t>
            </m:r>
          </m:sub>
        </m:sSub>
        <m:r>
          <m:rPr>
            <m:sty m:val="p"/>
          </m:rPr>
          <m:t>⋅</m:t>
        </m:r>
        <m:r>
          <m:t>P</m:t>
        </m:r>
        <m:r>
          <m:rPr>
            <m:sty m:val="p"/>
          </m:rPr>
          <m:t>+</m:t>
        </m:r>
        <m:r>
          <m:t>b</m:t>
        </m:r>
      </m:oMath>
      <w:r>
        <w:t xml:space="preserve">，并根据回路总电阻</w:t>
      </w:r>
      <w:r>
        <w:t xml:space="preserve"> </w:t>
      </w:r>
      <m:oMath>
        <m:r>
          <m:t>R</m:t>
        </m:r>
      </m:oMath>
      <w:r>
        <w:t xml:space="preserve"> </w:t>
      </w:r>
      <w:r>
        <w:t xml:space="preserve">得到等效感应电压</w:t>
      </w:r>
      <w:r>
        <w:t xml:space="preserve"> </w:t>
      </w:r>
      <m:oMath>
        <m:r>
          <m:t>U</m:t>
        </m:r>
        <m:r>
          <m:rPr>
            <m:sty m:val="p"/>
          </m:rPr>
          <m:t>=</m:t>
        </m:r>
        <m:r>
          <m:t>I</m:t>
        </m:r>
        <m:r>
          <m:rPr>
            <m:sty m:val="p"/>
          </m:rPr>
          <m:t>⋅</m:t>
        </m:r>
        <m:r>
          <m:t>R</m:t>
        </m:r>
      </m:oMath>
      <w:r>
        <w:t xml:space="preserve">。同时，通过</w:t>
      </w:r>
      <w:r>
        <w:t xml:space="preserve"> </w:t>
      </w:r>
      <w:r>
        <w:rPr>
          <w:rStyle w:val="VerbatimChar"/>
        </w:rPr>
        <w:t xml:space="preserve">updateFrequency()</w:t>
      </w:r>
      <w:r>
        <w:t xml:space="preserve"> </w:t>
      </w:r>
      <w:r>
        <w:t xml:space="preserve">函数连续采样数据分析信号变化周期，计算输入信号频率</w:t>
      </w:r>
      <w:r>
        <w:t xml:space="preserve"> </w:t>
      </w:r>
      <m:oMath>
        <m:r>
          <m:t>f</m:t>
        </m:r>
      </m:oMath>
      <w:r>
        <w:t xml:space="preserve">。通过上述算法，系统实现了从PSD数字采样值到光斑位置、电流、电压以及频率等实际物理量的转换。</w:t>
      </w:r>
    </w:p>
    <w:bookmarkEnd w:id="67"/>
    <w:bookmarkStart w:id="71" w:name="数字降噪算法代码"/>
    <w:p>
      <w:pPr>
        <w:pStyle w:val="Heading3"/>
      </w:pPr>
      <w:r>
        <w:t xml:space="preserve">6.3.2　数字降噪算法代码</w:t>
      </w:r>
    </w:p>
    <w:p>
      <w:pPr>
        <w:pStyle w:val="FirstParagraph"/>
      </w:pPr>
      <w:r>
        <w:t xml:space="preserve">原始ADC采集数据中包含一定程度的随机噪声，直接利用单次采样值进行计算会导致光斑位置和信号参数产生波动。因此，程序采用滑动平均滤波算法对PSD采集数据进行数字降噪处理，从而有效提取真实的直流信号，其代码实现如图9所示。</w:t>
      </w:r>
    </w:p>
    <w:p>
      <w:pPr>
        <w:pStyle w:val="CaptionedFigure"/>
      </w:pPr>
      <w:r>
        <w:drawing>
          <wp:inline>
            <wp:extent cx="3840480" cy="4452458"/>
            <wp:effectExtent b="0" l="0" r="0" t="0"/>
            <wp:docPr descr="图 9　数字降噪算法函数" title="" id="69" name="Picture"/>
            <a:graphic>
              <a:graphicData uri="http://schemas.openxmlformats.org/drawingml/2006/picture">
                <pic:pic>
                  <pic:nvPicPr>
                    <pic:cNvPr descr="media/fig_code_filter.png" id="70" name="Picture"/>
                    <pic:cNvPicPr>
                      <a:picLocks noChangeArrowheads="1" noChangeAspect="1"/>
                    </pic:cNvPicPr>
                  </pic:nvPicPr>
                  <pic:blipFill>
                    <a:blip r:embed="rId68"/>
                    <a:stretch>
                      <a:fillRect/>
                    </a:stretch>
                  </pic:blipFill>
                  <pic:spPr bwMode="auto">
                    <a:xfrm>
                      <a:off x="0" y="0"/>
                      <a:ext cx="3840480" cy="4452458"/>
                    </a:xfrm>
                    <a:prstGeom prst="rect">
                      <a:avLst/>
                    </a:prstGeom>
                    <a:noFill/>
                    <a:ln w="9525">
                      <a:noFill/>
                      <a:headEnd/>
                      <a:tailEnd/>
                    </a:ln>
                  </pic:spPr>
                </pic:pic>
              </a:graphicData>
            </a:graphic>
          </wp:inline>
        </w:drawing>
      </w:r>
    </w:p>
    <w:p>
      <w:pPr>
        <w:pStyle w:val="ImageCaption"/>
      </w:pPr>
      <w:r>
        <w:t xml:space="preserve">图 9　数字降噪算法函数</w:t>
      </w:r>
    </w:p>
    <w:p>
      <w:pPr>
        <w:pStyle w:val="BodyText"/>
      </w:pPr>
      <w:r>
        <w:t xml:space="preserve">程序将采集得到的两路PSD电压数据分别存入缓存数组，并通过循环索引实现数据窗口的连续更新。随后，对当前窗口内的多个采样数据进行平均计算，得到滤波后的输出电压：</w:t>
      </w:r>
    </w:p>
    <w:p>
      <w:pPr>
        <w:pStyle w:val="BodyText"/>
      </w:pPr>
      <m:oMathPara>
        <m:oMathParaPr>
          <m:jc m:val="center"/>
        </m:oMathParaPr>
        <m:oMath>
          <m:sSub>
            <m:e>
              <m:r>
                <m:t>V</m:t>
              </m:r>
            </m:e>
            <m:sub>
              <m:r>
                <m:t>f</m:t>
              </m:r>
            </m:sub>
          </m:sSub>
          <m:d>
            <m:dPr>
              <m:begChr m:val="("/>
              <m:endChr m:val=")"/>
              <m:sepChr m:val=""/>
              <m:grow/>
            </m:dPr>
            <m:e>
              <m:r>
                <m:t>n</m:t>
              </m:r>
            </m:e>
          </m:d>
          <m:r>
            <m:rPr>
              <m:sty m:val="p"/>
            </m:rPr>
            <m:t>=</m:t>
          </m:r>
          <m:f>
            <m:fPr>
              <m:type m:val="bar"/>
            </m:fPr>
            <m:num>
              <m:r>
                <m:t>1</m:t>
              </m:r>
            </m:num>
            <m:den>
              <m:r>
                <m:t>N</m:t>
              </m:r>
            </m:den>
          </m:f>
          <m:nary>
            <m:naryPr>
              <m:chr m:val="∑"/>
              <m:limLoc m:val="undOvr"/>
              <m:subHide m:val="off"/>
              <m:supHide m:val="off"/>
            </m:naryPr>
            <m:sub>
              <m:r>
                <m:t>i</m:t>
              </m:r>
              <m:r>
                <m:rPr>
                  <m:sty m:val="p"/>
                </m:rPr>
                <m:t>=</m:t>
              </m:r>
              <m:r>
                <m:t>0</m:t>
              </m:r>
            </m:sub>
            <m:sup>
              <m:r>
                <m:t>N</m:t>
              </m:r>
              <m:r>
                <m:rPr>
                  <m:sty m:val="p"/>
                </m:rPr>
                <m:t>−</m:t>
              </m:r>
              <m:r>
                <m:t>1</m:t>
              </m:r>
            </m:sup>
            <m:e>
              <m:r>
                <m:t>V</m:t>
              </m:r>
            </m:e>
          </m:nary>
          <m:d>
            <m:dPr>
              <m:begChr m:val="("/>
              <m:endChr m:val=")"/>
              <m:sepChr m:val=""/>
              <m:grow/>
            </m:dPr>
            <m:e>
              <m:r>
                <m:t>n</m:t>
              </m:r>
              <m:r>
                <m:rPr>
                  <m:sty m:val="p"/>
                </m:rPr>
                <m:t>−</m:t>
              </m:r>
              <m:r>
                <m:t>i</m:t>
              </m:r>
            </m:e>
          </m:d>
        </m:oMath>
      </m:oMathPara>
    </w:p>
    <w:p>
      <w:pPr>
        <w:pStyle w:val="FirstParagraph"/>
      </w:pPr>
      <w:r>
        <w:t xml:space="preserve">其中</w:t>
      </w:r>
      <w:r>
        <w:t xml:space="preserve"> </w:t>
      </w:r>
      <m:oMath>
        <m:r>
          <m:t>V</m:t>
        </m:r>
        <m:d>
          <m:dPr>
            <m:begChr m:val="("/>
            <m:endChr m:val=")"/>
            <m:sepChr m:val=""/>
            <m:grow/>
          </m:dPr>
          <m:e>
            <m:r>
              <m:t>n</m:t>
            </m:r>
            <m:r>
              <m:rPr>
                <m:sty m:val="p"/>
              </m:rPr>
              <m:t>−</m:t>
            </m:r>
            <m:r>
              <m:t>i</m:t>
            </m:r>
          </m:e>
        </m:d>
      </m:oMath>
      <w:r>
        <w:t xml:space="preserve"> </w:t>
      </w:r>
      <w:r>
        <w:t xml:space="preserve">表示当前采样点之前第</w:t>
      </w:r>
      <w:r>
        <w:t xml:space="preserve"> </w:t>
      </w:r>
      <m:oMath>
        <m:r>
          <m:t>i</m:t>
        </m:r>
      </m:oMath>
      <w:r>
        <w:t xml:space="preserve"> </w:t>
      </w:r>
      <w:r>
        <w:t xml:space="preserve">次采集的数据，</w:t>
      </w:r>
      <m:oMath>
        <m:r>
          <m:t>N</m:t>
        </m:r>
      </m:oMath>
      <w:r>
        <w:t xml:space="preserve"> </w:t>
      </w:r>
      <w:r>
        <w:t xml:space="preserve">表示滤波窗口长度，</w:t>
      </w:r>
      <m:oMath>
        <m:sSub>
          <m:e>
            <m:r>
              <m:t>V</m:t>
            </m:r>
          </m:e>
          <m:sub>
            <m:r>
              <m:t>f</m:t>
            </m:r>
          </m:sub>
        </m:sSub>
        <m:d>
          <m:dPr>
            <m:begChr m:val="("/>
            <m:endChr m:val=")"/>
            <m:sepChr m:val=""/>
            <m:grow/>
          </m:dPr>
          <m:e>
            <m:r>
              <m:t>n</m:t>
            </m:r>
          </m:e>
        </m:d>
      </m:oMath>
      <w:r>
        <w:t xml:space="preserve"> </w:t>
      </w:r>
      <w:r>
        <w:t xml:space="preserve">为滤波后的输出。PSD两路电压分别采用独立缓存处理，得到滤波后的</w:t>
      </w:r>
      <w:r>
        <w:t xml:space="preserve"> </w:t>
      </w:r>
      <m:oMath>
        <m:sSub>
          <m:e>
            <m:r>
              <m:t>V</m:t>
            </m:r>
          </m:e>
          <m:sub>
            <m:r>
              <m:t>f</m:t>
            </m:r>
            <m:r>
              <m:t>1</m:t>
            </m:r>
          </m:sub>
        </m:sSub>
      </m:oMath>
      <w:r>
        <w:t xml:space="preserve">、</w:t>
      </w:r>
      <m:oMath>
        <m:sSub>
          <m:e>
            <m:r>
              <m:t>V</m:t>
            </m:r>
          </m:e>
          <m:sub>
            <m:r>
              <m:t>f</m:t>
            </m:r>
            <m:r>
              <m:t>2</m:t>
            </m:r>
          </m:sub>
        </m:sSub>
      </m:oMath>
      <w:r>
        <w:t xml:space="preserve">，再重新计算归一化位置算子</w:t>
      </w:r>
      <w:r>
        <w:t xml:space="preserve"> </w:t>
      </w:r>
      <m:oMath>
        <m:r>
          <m:t>P</m:t>
        </m:r>
      </m:oMath>
      <w:r>
        <w:t xml:space="preserve">，完成后续参数转换。滑动平均可等效为低通滤波，其等效噪声带宽约为</w:t>
      </w:r>
      <w:r>
        <w:t xml:space="preserve"> </w:t>
      </w:r>
      <m:oMath>
        <m:sSub>
          <m:e>
            <m:r>
              <m:t>f</m:t>
            </m:r>
          </m:e>
          <m:sub>
            <m:r>
              <m:t>s</m:t>
            </m:r>
          </m:sub>
        </m:sSub>
        <m:r>
          <m:rPr>
            <m:sty m:val="p"/>
          </m:rPr>
          <m:t>/</m:t>
        </m:r>
        <m:d>
          <m:dPr>
            <m:begChr m:val="("/>
            <m:endChr m:val=")"/>
            <m:sepChr m:val=""/>
            <m:grow/>
          </m:dPr>
          <m:e>
            <m:r>
              <m:t>2</m:t>
            </m:r>
            <m:r>
              <m:t>N</m:t>
            </m:r>
          </m:e>
        </m:d>
      </m:oMath>
      <w:r>
        <w:t xml:space="preserve">，</w:t>
      </w:r>
      <m:oMath>
        <m:r>
          <m:t>N</m:t>
        </m:r>
      </m:oMath>
      <w:r>
        <w:t xml:space="preserve"> </w:t>
      </w:r>
      <w:r>
        <w:t xml:space="preserve">取32时对白噪声的抑制比约</w:t>
      </w:r>
      <w:r>
        <w:t xml:space="preserve"> </w:t>
      </w:r>
      <m:oMath>
        <m:rad>
          <m:radPr>
            <m:degHide m:val="on"/>
          </m:radPr>
          <m:deg/>
          <m:e>
            <m:r>
              <m:t>32</m:t>
            </m:r>
          </m:e>
        </m:rad>
        <m:r>
          <m:rPr>
            <m:sty m:val="p"/>
          </m:rPr>
          <m:t>≈</m:t>
        </m:r>
        <m:r>
          <m:t>5.7</m:t>
        </m:r>
      </m:oMath>
      <w:r>
        <w:t xml:space="preserve"> </w:t>
      </w:r>
      <w:r>
        <w:t xml:space="preserve">倍。该算法计算量较低，适合Arduino实时运行，同时能够有效降低环境电磁干扰、电源波动以及器件噪声造成的数据变化，提高微弱电信号测量结果的稳定性。</w:t>
      </w:r>
    </w:p>
    <w:bookmarkEnd w:id="71"/>
    <w:bookmarkEnd w:id="72"/>
    <w:bookmarkEnd w:id="73"/>
    <w:bookmarkStart w:id="80" w:name="系统标定与量化模型"/>
    <w:p>
      <w:pPr>
        <w:pStyle w:val="Heading1"/>
      </w:pPr>
      <w:r>
        <w:t xml:space="preserve">7　系统标定与量化模型</w:t>
      </w:r>
    </w:p>
    <w:p>
      <w:pPr>
        <w:pStyle w:val="FirstParagraph"/>
      </w:pPr>
      <w:r>
        <w:t xml:space="preserve">为实现对微弱电信号的定量测量，需要建立磁场强度到归一化位置算子的完整转换关系。由于系统最终通过PSD采集光斑变化信息，并经过归一化处理得到无量纲参数</w:t>
      </w:r>
      <w:r>
        <w:t xml:space="preserve"> </w:t>
      </w:r>
      <m:oMath>
        <m:r>
          <m:t>P</m:t>
        </m:r>
      </m:oMath>
      <w:r>
        <w:t xml:space="preserve">，标定需覆盖两段转换：</w:t>
      </w:r>
      <w:r>
        <w:rPr>
          <w:bCs/>
          <w:b/>
        </w:rPr>
        <w:t xml:space="preserve">前端</w:t>
      </w:r>
      <w:r>
        <w:t xml:space="preserve">由已知磁场强度</w:t>
      </w:r>
      <w:r>
        <w:t xml:space="preserve"> </w:t>
      </w:r>
      <m:oMath>
        <m:sSub>
          <m:e>
            <m:r>
              <m:t>B</m:t>
            </m:r>
          </m:e>
          <m:sub>
            <m:r>
              <m:t>0</m:t>
            </m:r>
          </m:sub>
        </m:sSub>
      </m:oMath>
      <w:r>
        <w:t xml:space="preserve"> </w:t>
      </w:r>
      <w:r>
        <w:t xml:space="preserve">确定接收线圈感应电流</w:t>
      </w:r>
      <w:r>
        <w:t xml:space="preserve"> </w:t>
      </w:r>
      <m:oMath>
        <m:r>
          <m:t>I</m:t>
        </m:r>
      </m:oMath>
      <w:r>
        <w:t xml:space="preserve">（</w:t>
      </w:r>
      <w:r>
        <w:t xml:space="preserve">“</w:t>
      </w:r>
      <w:r>
        <w:t xml:space="preserve">场→电流</w:t>
      </w:r>
      <w:r>
        <w:t xml:space="preserve">”</w:t>
      </w:r>
      <w:r>
        <w:t xml:space="preserve">），</w:t>
      </w:r>
      <w:r>
        <w:rPr>
          <w:bCs/>
          <w:b/>
        </w:rPr>
        <w:t xml:space="preserve">后端</w:t>
      </w:r>
      <w:r>
        <w:t xml:space="preserve">由已知电流确定归一化算子</w:t>
      </w:r>
      <w:r>
        <w:t xml:space="preserve"> </w:t>
      </w:r>
      <m:oMath>
        <m:r>
          <m:t>P</m:t>
        </m:r>
      </m:oMath>
      <w:r>
        <w:t xml:space="preserve">（</w:t>
      </w:r>
      <w:r>
        <w:t xml:space="preserve">“</w:t>
      </w:r>
      <w:r>
        <w:t xml:space="preserve">电流→P</w:t>
      </w:r>
      <w:r>
        <w:t xml:space="preserve">”</w:t>
      </w:r>
      <w:r>
        <w:t xml:space="preserve">）。两级标定闭合后，系统即可由任意实测</w:t>
      </w:r>
      <w:r>
        <w:t xml:space="preserve"> </w:t>
      </w:r>
      <m:oMath>
        <m:r>
          <m:t>P</m:t>
        </m:r>
      </m:oMath>
      <w:r>
        <w:t xml:space="preserve"> </w:t>
      </w:r>
      <w:r>
        <w:t xml:space="preserve">反推出输入磁场强度</w:t>
      </w:r>
      <w:r>
        <w:t xml:space="preserve"> </w:t>
      </w:r>
      <m:oMath>
        <m:sSub>
          <m:e>
            <m:r>
              <m:t>B</m:t>
            </m:r>
          </m:e>
          <m:sub>
            <m:r>
              <m:t>0</m:t>
            </m:r>
          </m:sub>
        </m:sSub>
      </m:oMath>
      <w:r>
        <w:t xml:space="preserve"> </w:t>
      </w:r>
      <w:r>
        <w:t xml:space="preserve">与感应电流</w:t>
      </w:r>
      <w:r>
        <w:t xml:space="preserve"> </w:t>
      </w:r>
      <m:oMath>
        <m:r>
          <m:t>I</m:t>
        </m:r>
      </m:oMath>
      <w:r>
        <w:t xml:space="preserve">。这一”两级标定”设计避免了单一标定绕过接收线圈、遗漏前端转换关系的问题。</w:t>
      </w:r>
    </w:p>
    <w:bookmarkStart w:id="77" w:name="后端标定电流归一化算子"/>
    <w:p>
      <w:pPr>
        <w:pStyle w:val="Heading2"/>
      </w:pPr>
      <w:r>
        <w:t xml:space="preserve">7.1　后端标定：电流—归一化算子</w:t>
      </w:r>
    </w:p>
    <w:p>
      <w:pPr>
        <w:pStyle w:val="FirstParagraph"/>
      </w:pPr>
      <w:r>
        <w:t xml:space="preserve">后端标定通过向偏转线圈注入已知电流并记录对应的</w:t>
      </w:r>
      <w:r>
        <w:t xml:space="preserve"> </w:t>
      </w:r>
      <m:oMath>
        <m:r>
          <m:t>P</m:t>
        </m:r>
      </m:oMath>
      <w:r>
        <w:t xml:space="preserve">，建立：</w:t>
      </w:r>
    </w:p>
    <w:p>
      <w:pPr>
        <w:pStyle w:val="BodyText"/>
      </w:pPr>
      <m:oMathPara>
        <m:oMathParaPr>
          <m:jc m:val="center"/>
        </m:oMathParaPr>
        <m:oMath>
          <m:r>
            <m:t>I</m:t>
          </m:r>
          <m:r>
            <m:rPr>
              <m:sty m:val="p"/>
            </m:rPr>
            <m:t>=</m:t>
          </m:r>
          <m:sSub>
            <m:e>
              <m:r>
                <m:t>k</m:t>
              </m:r>
            </m:e>
            <m:sub>
              <m:r>
                <m:rPr>
                  <m:sty m:val="p"/>
                </m:rPr>
                <m:t>I</m:t>
              </m:r>
              <m:r>
                <m:rPr>
                  <m:sty m:val="p"/>
                </m:rPr>
                <m:t>P</m:t>
              </m:r>
            </m:sub>
          </m:sSub>
          <m:r>
            <m:t> </m:t>
          </m:r>
          <m:r>
            <m:t>P</m:t>
          </m:r>
          <m:r>
            <m:rPr>
              <m:sty m:val="p"/>
            </m:rPr>
            <m:t>+</m:t>
          </m:r>
          <m:sSub>
            <m:e>
              <m:r>
                <m:t>b</m:t>
              </m:r>
            </m:e>
            <m:sub>
              <m:r>
                <m:rPr>
                  <m:sty m:val="p"/>
                </m:rPr>
                <m:t>I</m:t>
              </m:r>
              <m:r>
                <m:rPr>
                  <m:sty m:val="p"/>
                </m:rPr>
                <m:t>P</m:t>
              </m:r>
            </m:sub>
          </m:sSub>
        </m:oMath>
      </m:oMathPara>
    </w:p>
    <w:p>
      <w:pPr>
        <w:pStyle w:val="FirstParagraph"/>
      </w:pPr>
      <w:r>
        <w:t xml:space="preserve">为获得准确的已知电流，采用”DAC + 中点偏置 + 精密采样电阻”的注入电路。由于Arduino的DAC（MCP4725）为0～3.3 V单极性输出，无法直接产生双极性电流，故将其输出中点偏置至</w:t>
      </w:r>
      <w:r>
        <w:t xml:space="preserve"> </w:t>
      </w:r>
      <m:oMath>
        <m:sSub>
          <m:e>
            <m:r>
              <m:t>V</m:t>
            </m:r>
          </m:e>
          <m:sub>
            <m:r>
              <m:rPr>
                <m:sty m:val="p"/>
              </m:rPr>
              <m:t>m</m:t>
            </m:r>
            <m:r>
              <m:rPr>
                <m:sty m:val="p"/>
              </m:rPr>
              <m:t>i</m:t>
            </m:r>
            <m:r>
              <m:rPr>
                <m:sty m:val="p"/>
              </m:rPr>
              <m:t>d</m:t>
            </m:r>
          </m:sub>
        </m:sSub>
        <m:r>
          <m:rPr>
            <m:sty m:val="p"/>
          </m:rPr>
          <m:t>=</m:t>
        </m:r>
        <m:r>
          <m:t>1.65</m:t>
        </m:r>
      </m:oMath>
      <w:r>
        <w:t xml:space="preserve"> </w:t>
      </w:r>
      <w:r>
        <w:t xml:space="preserve">V，经</w:t>
      </w:r>
      <w:r>
        <w:t xml:space="preserve"> </w:t>
      </w:r>
      <m:oMath>
        <m:sSub>
          <m:e>
            <m:r>
              <m:t>R</m:t>
            </m:r>
          </m:e>
          <m:sub>
            <m:r>
              <m:rPr>
                <m:sty m:val="p"/>
              </m:rPr>
              <m:t>d</m:t>
            </m:r>
            <m:r>
              <m:rPr>
                <m:sty m:val="p"/>
              </m:rPr>
              <m:t>r</m:t>
            </m:r>
            <m:r>
              <m:rPr>
                <m:sty m:val="p"/>
              </m:rPr>
              <m:t>i</m:t>
            </m:r>
            <m:r>
              <m:rPr>
                <m:sty m:val="p"/>
              </m:rPr>
              <m:t>v</m:t>
            </m:r>
            <m:r>
              <m:rPr>
                <m:sty m:val="p"/>
              </m:rPr>
              <m:t>e</m:t>
            </m:r>
          </m:sub>
        </m:sSub>
        <m:r>
          <m:rPr>
            <m:sty m:val="p"/>
          </m:rPr>
          <m:t>=</m:t>
        </m:r>
        <m:r>
          <m:t>100</m:t>
        </m:r>
      </m:oMath>
      <w:r>
        <w:t xml:space="preserve"> </w:t>
      </w:r>
      <w:r>
        <w:t xml:space="preserve">kΩ 限流电阻注入偏转线圈回路，回路中串联</w:t>
      </w:r>
      <w:r>
        <w:t xml:space="preserve"> </w:t>
      </w:r>
      <m:oMath>
        <m:sSub>
          <m:e>
            <m:r>
              <m:t>R</m:t>
            </m:r>
          </m:e>
          <m:sub>
            <m:r>
              <m:t>s</m:t>
            </m:r>
          </m:sub>
        </m:sSub>
        <m:r>
          <m:rPr>
            <m:sty m:val="p"/>
          </m:rPr>
          <m:t>=</m:t>
        </m:r>
        <m:r>
          <m:t>1</m:t>
        </m:r>
      </m:oMath>
      <w:r>
        <w:t xml:space="preserve"> </w:t>
      </w:r>
      <w:r>
        <w:t xml:space="preserve">kΩ 精密采样电阻。由于</w:t>
      </w:r>
      <w:r>
        <w:t xml:space="preserve"> </w:t>
      </w:r>
      <m:oMath>
        <m:sSub>
          <m:e>
            <m:r>
              <m:t>R</m:t>
            </m:r>
          </m:e>
          <m:sub>
            <m:r>
              <m:rPr>
                <m:sty m:val="p"/>
              </m:rPr>
              <m:t>d</m:t>
            </m:r>
            <m:r>
              <m:rPr>
                <m:sty m:val="p"/>
              </m:rPr>
              <m:t>r</m:t>
            </m:r>
            <m:r>
              <m:rPr>
                <m:sty m:val="p"/>
              </m:rPr>
              <m:t>i</m:t>
            </m:r>
            <m:r>
              <m:rPr>
                <m:sty m:val="p"/>
              </m:rPr>
              <m:t>v</m:t>
            </m:r>
            <m:r>
              <m:rPr>
                <m:sty m:val="p"/>
              </m:rPr>
              <m:t>e</m:t>
            </m:r>
          </m:sub>
        </m:sSub>
      </m:oMath>
      <w:r>
        <w:t xml:space="preserve"> </w:t>
      </w:r>
      <w:r>
        <w:t xml:space="preserve">远大于线圈回路阻抗，线圈电流可表示为：</w:t>
      </w:r>
    </w:p>
    <w:p>
      <w:pPr>
        <w:pStyle w:val="BodyText"/>
      </w:pPr>
      <m:oMathPara>
        <m:oMathParaPr>
          <m:jc m:val="center"/>
        </m:oMathParaPr>
        <m:oMath>
          <m:sSub>
            <m:e>
              <m:r>
                <m:t>I</m:t>
              </m:r>
            </m:e>
            <m:sub>
              <m:r>
                <m:rPr>
                  <m:sty m:val="p"/>
                </m:rPr>
                <m:t>c</m:t>
              </m:r>
              <m:r>
                <m:rPr>
                  <m:sty m:val="p"/>
                </m:rPr>
                <m:t>a</m:t>
              </m:r>
              <m:r>
                <m:rPr>
                  <m:sty m:val="p"/>
                </m:rPr>
                <m:t>l</m:t>
              </m:r>
            </m:sub>
          </m:sSub>
          <m:r>
            <m:rPr>
              <m:sty m:val="p"/>
            </m:rPr>
            <m:t>=</m:t>
          </m:r>
          <m:f>
            <m:fPr>
              <m:type m:val="bar"/>
            </m:fPr>
            <m:num>
              <m:sSub>
                <m:e>
                  <m:r>
                    <m:t>V</m:t>
                  </m:r>
                </m:e>
                <m:sub>
                  <m:r>
                    <m:rPr>
                      <m:sty m:val="p"/>
                    </m:rPr>
                    <m:t>D</m:t>
                  </m:r>
                  <m:r>
                    <m:rPr>
                      <m:sty m:val="p"/>
                    </m:rPr>
                    <m:t>A</m:t>
                  </m:r>
                  <m:r>
                    <m:rPr>
                      <m:sty m:val="p"/>
                    </m:rPr>
                    <m:t>C</m:t>
                  </m:r>
                </m:sub>
              </m:sSub>
              <m:r>
                <m:rPr>
                  <m:sty m:val="p"/>
                </m:rPr>
                <m:t>−</m:t>
              </m:r>
              <m:sSub>
                <m:e>
                  <m:r>
                    <m:t>V</m:t>
                  </m:r>
                </m:e>
                <m:sub>
                  <m:r>
                    <m:rPr>
                      <m:sty m:val="p"/>
                    </m:rPr>
                    <m:t>m</m:t>
                  </m:r>
                  <m:r>
                    <m:rPr>
                      <m:sty m:val="p"/>
                    </m:rPr>
                    <m:t>i</m:t>
                  </m:r>
                  <m:r>
                    <m:rPr>
                      <m:sty m:val="p"/>
                    </m:rPr>
                    <m:t>d</m:t>
                  </m:r>
                </m:sub>
              </m:sSub>
            </m:num>
            <m:den>
              <m:sSub>
                <m:e>
                  <m:r>
                    <m:t>R</m:t>
                  </m:r>
                </m:e>
                <m:sub>
                  <m:r>
                    <m:rPr>
                      <m:sty m:val="p"/>
                    </m:rPr>
                    <m:t>d</m:t>
                  </m:r>
                  <m:r>
                    <m:rPr>
                      <m:sty m:val="p"/>
                    </m:rPr>
                    <m:t>r</m:t>
                  </m:r>
                  <m:r>
                    <m:rPr>
                      <m:sty m:val="p"/>
                    </m:rPr>
                    <m:t>i</m:t>
                  </m:r>
                  <m:r>
                    <m:rPr>
                      <m:sty m:val="p"/>
                    </m:rPr>
                    <m:t>v</m:t>
                  </m:r>
                  <m:r>
                    <m:rPr>
                      <m:sty m:val="p"/>
                    </m:rPr>
                    <m:t>e</m:t>
                  </m:r>
                </m:sub>
              </m:sSub>
              <m:r>
                <m:rPr>
                  <m:sty m:val="p"/>
                </m:rPr>
                <m:t>+</m:t>
              </m:r>
              <m:sSub>
                <m:e>
                  <m:r>
                    <m:t>R</m:t>
                  </m:r>
                </m:e>
                <m:sub>
                  <m:r>
                    <m:rPr>
                      <m:sty m:val="p"/>
                    </m:rPr>
                    <m:t>c</m:t>
                  </m:r>
                  <m:r>
                    <m:rPr>
                      <m:sty m:val="p"/>
                    </m:rPr>
                    <m:t>o</m:t>
                  </m:r>
                  <m:r>
                    <m:rPr>
                      <m:sty m:val="p"/>
                    </m:rPr>
                    <m:t>i</m:t>
                  </m:r>
                  <m:r>
                    <m:rPr>
                      <m:sty m:val="p"/>
                    </m:rPr>
                    <m:t>l</m:t>
                  </m:r>
                </m:sub>
              </m:sSub>
              <m:r>
                <m:rPr>
                  <m:sty m:val="p"/>
                </m:rPr>
                <m:t>+</m:t>
              </m:r>
              <m:sSub>
                <m:e>
                  <m:r>
                    <m:t>R</m:t>
                  </m:r>
                </m:e>
                <m:sub>
                  <m:r>
                    <m:t>s</m:t>
                  </m:r>
                </m:sub>
              </m:sSub>
            </m:den>
          </m:f>
          <m:r>
            <m:rPr>
              <m:sty m:val="p"/>
            </m:rPr>
            <m:t>=</m:t>
          </m:r>
          <m:f>
            <m:fPr>
              <m:type m:val="bar"/>
            </m:fPr>
            <m:num>
              <m:sSub>
                <m:e>
                  <m:r>
                    <m:t>V</m:t>
                  </m:r>
                </m:e>
                <m:sub>
                  <m:sSub>
                    <m:e>
                      <m:r>
                        <m:t>R</m:t>
                      </m:r>
                    </m:e>
                    <m:sub>
                      <m:r>
                        <m:t>s</m:t>
                      </m:r>
                    </m:sub>
                  </m:sSub>
                </m:sub>
              </m:sSub>
            </m:num>
            <m:den>
              <m:sSub>
                <m:e>
                  <m:r>
                    <m:t>R</m:t>
                  </m:r>
                </m:e>
                <m:sub>
                  <m:r>
                    <m:t>s</m:t>
                  </m:r>
                </m:sub>
              </m:sSub>
            </m:den>
          </m:f>
        </m:oMath>
      </m:oMathPara>
    </w:p>
    <w:p>
      <w:pPr>
        <w:pStyle w:val="FirstParagraph"/>
      </w:pPr>
      <w:r>
        <w:t xml:space="preserve">采样电阻两端电压</w:t>
      </w:r>
      <w:r>
        <w:t xml:space="preserve"> </w:t>
      </w:r>
      <m:oMath>
        <m:sSub>
          <m:e>
            <m:r>
              <m:t>V</m:t>
            </m:r>
          </m:e>
          <m:sub>
            <m:sSub>
              <m:e>
                <m:r>
                  <m:t>R</m:t>
                </m:r>
              </m:e>
              <m:sub>
                <m:r>
                  <m:t>s</m:t>
                </m:r>
              </m:sub>
            </m:sSub>
          </m:sub>
        </m:sSub>
      </m:oMath>
      <w:r>
        <w:t xml:space="preserve"> </w:t>
      </w:r>
      <w:r>
        <w:t xml:space="preserve">由ADS1115差分通道（±256 mV量程）实测，从而获得不依赖理论电阻值的实际电流。标定时以9级电流在</w:t>
      </w:r>
      <w:r>
        <w:t xml:space="preserve"> </w:t>
      </w:r>
      <m:oMath>
        <m:r>
          <m:rPr>
            <m:sty m:val="p"/>
          </m:rPr>
          <m:t>−</m:t>
        </m:r>
        <m:r>
          <m:t>1.0</m:t>
        </m:r>
        <m:r>
          <m:rPr>
            <m:sty m:val="p"/>
          </m:rPr>
          <m:t>∼</m:t>
        </m:r>
        <m:r>
          <m:rPr>
            <m:sty m:val="p"/>
          </m:rPr>
          <m:t>+</m:t>
        </m:r>
        <m:r>
          <m:t>1.0</m:t>
        </m:r>
        <m:r>
          <m:t> </m:t>
        </m:r>
        <m:r>
          <m:t>μ</m:t>
        </m:r>
      </m:oMath>
      <w:r>
        <w:t xml:space="preserve">A 范围内等间隔变化，每级稳定后采集PSD输出并计算</w:t>
      </w:r>
      <w:r>
        <w:t xml:space="preserve"> </w:t>
      </w:r>
      <m:oMath>
        <m:r>
          <m:t>P</m:t>
        </m:r>
      </m:oMath>
      <w:r>
        <w:t xml:space="preserve">，得到数据集合</w:t>
      </w:r>
      <w:r>
        <w:t xml:space="preserve"> </w:t>
      </w:r>
      <m:oMath>
        <m:d>
          <m:dPr>
            <m:begChr m:val="("/>
            <m:endChr m:val=")"/>
            <m:sepChr m:val=""/>
            <m:grow/>
          </m:dPr>
          <m:e>
            <m:sSub>
              <m:e>
                <m:r>
                  <m:t>I</m:t>
                </m:r>
              </m:e>
              <m:sub>
                <m:r>
                  <m:t>1</m:t>
                </m:r>
              </m:sub>
            </m:sSub>
            <m:r>
              <m:rPr>
                <m:sty m:val="p"/>
              </m:rPr>
              <m:t>,</m:t>
            </m:r>
            <m:sSub>
              <m:e>
                <m:r>
                  <m:t>P</m:t>
                </m:r>
              </m:e>
              <m:sub>
                <m:r>
                  <m:t>1</m:t>
                </m:r>
              </m:sub>
            </m:sSub>
          </m:e>
        </m:d>
        <m:r>
          <m:rPr>
            <m:sty m:val="p"/>
          </m:rPr>
          <m:t>,</m:t>
        </m:r>
        <m:r>
          <m:rPr>
            <m:sty m:val="p"/>
          </m:rPr>
          <m:t>…</m:t>
        </m:r>
        <m:r>
          <m:rPr>
            <m:sty m:val="p"/>
          </m:rPr>
          <m:t>,</m:t>
        </m:r>
        <m:d>
          <m:dPr>
            <m:begChr m:val="("/>
            <m:endChr m:val=")"/>
            <m:sepChr m:val=""/>
            <m:grow/>
          </m:dPr>
          <m:e>
            <m:sSub>
              <m:e>
                <m:r>
                  <m:t>I</m:t>
                </m:r>
              </m:e>
              <m:sub>
                <m:r>
                  <m:t>9</m:t>
                </m:r>
              </m:sub>
            </m:sSub>
            <m:r>
              <m:rPr>
                <m:sty m:val="p"/>
              </m:rPr>
              <m:t>,</m:t>
            </m:r>
            <m:sSub>
              <m:e>
                <m:r>
                  <m:t>P</m:t>
                </m:r>
              </m:e>
              <m:sub>
                <m:r>
                  <m:t>9</m:t>
                </m:r>
              </m:sub>
            </m:sSub>
          </m:e>
        </m:d>
      </m:oMath>
      <w:r>
        <w:t xml:space="preserve">，采用最小二乘线性拟合确定</w:t>
      </w:r>
      <w:r>
        <w:t xml:space="preserve"> </w:t>
      </w:r>
      <m:oMath>
        <m:sSub>
          <m:e>
            <m:r>
              <m:t>k</m:t>
            </m:r>
          </m:e>
          <m:sub>
            <m:r>
              <m:rPr>
                <m:sty m:val="p"/>
              </m:rPr>
              <m:t>I</m:t>
            </m:r>
            <m:r>
              <m:rPr>
                <m:sty m:val="p"/>
              </m:rPr>
              <m:t>P</m:t>
            </m:r>
          </m:sub>
        </m:sSub>
      </m:oMath>
      <w:r>
        <w:t xml:space="preserve"> </w:t>
      </w:r>
      <w:r>
        <w:t xml:space="preserve">与</w:t>
      </w:r>
      <w:r>
        <w:t xml:space="preserve"> </w:t>
      </w:r>
      <m:oMath>
        <m:sSub>
          <m:e>
            <m:r>
              <m:t>b</m:t>
            </m:r>
          </m:e>
          <m:sub>
            <m:r>
              <m:rPr>
                <m:sty m:val="p"/>
              </m:rPr>
              <m:t>I</m:t>
            </m:r>
            <m:r>
              <m:rPr>
                <m:sty m:val="p"/>
              </m:rPr>
              <m:t>P</m:t>
            </m:r>
          </m:sub>
        </m:sSub>
      </m:oMath>
      <w:r>
        <w:t xml:space="preserve">。基于表1参数的仿真标定数据如表3所示，拟合结果</w:t>
      </w:r>
      <w:r>
        <w:t xml:space="preserve"> </w:t>
      </w:r>
      <m:oMath>
        <m:sSub>
          <m:e>
            <m:r>
              <m:t>k</m:t>
            </m:r>
          </m:e>
          <m:sub>
            <m:r>
              <m:rPr>
                <m:sty m:val="p"/>
              </m:rPr>
              <m:t>I</m:t>
            </m:r>
            <m:r>
              <m:rPr>
                <m:sty m:val="p"/>
              </m:rPr>
              <m:t>P</m:t>
            </m:r>
          </m:sub>
        </m:sSub>
        <m:r>
          <m:rPr>
            <m:sty m:val="p"/>
          </m:rPr>
          <m:t>=</m:t>
        </m:r>
        <m:r>
          <m:t>1.25</m:t>
        </m:r>
        <m:r>
          <m:rPr>
            <m:sty m:val="p"/>
          </m:rPr>
          <m:t>×</m:t>
        </m:r>
        <m:sSup>
          <m:e>
            <m:r>
              <m:t>10</m:t>
            </m:r>
          </m:e>
          <m:sup>
            <m:r>
              <m:rPr>
                <m:sty m:val="p"/>
              </m:rPr>
              <m:t>−</m:t>
            </m:r>
            <m:r>
              <m:t>6</m:t>
            </m:r>
          </m:sup>
        </m:sSup>
      </m:oMath>
      <w:r>
        <w:t xml:space="preserve"> </w:t>
      </w:r>
      <w:r>
        <w:t xml:space="preserve">A/单位P（与理论值</w:t>
      </w:r>
      <w:r>
        <w:t xml:space="preserve"> </w:t>
      </w:r>
      <m:oMath>
        <m:r>
          <m:t>1.25</m:t>
        </m:r>
        <m:r>
          <m:rPr>
            <m:sty m:val="p"/>
          </m:rPr>
          <m:t>×</m:t>
        </m:r>
        <m:sSup>
          <m:e>
            <m:r>
              <m:t>10</m:t>
            </m:r>
          </m:e>
          <m:sup>
            <m:r>
              <m:rPr>
                <m:sty m:val="p"/>
              </m:rPr>
              <m:t>−</m:t>
            </m:r>
            <m:r>
              <m:t>6</m:t>
            </m:r>
          </m:sup>
        </m:sSup>
      </m:oMath>
      <w:r>
        <w:t xml:space="preserve"> </w:t>
      </w:r>
      <w:r>
        <w:t xml:space="preserve">完全一致）、</w:t>
      </w:r>
      <m:oMath>
        <m:sSub>
          <m:e>
            <m:r>
              <m:t>b</m:t>
            </m:r>
          </m:e>
          <m:sub>
            <m:r>
              <m:rPr>
                <m:sty m:val="p"/>
              </m:rPr>
              <m:t>I</m:t>
            </m:r>
            <m:r>
              <m:rPr>
                <m:sty m:val="p"/>
              </m:rPr>
              <m:t>P</m:t>
            </m:r>
          </m:sub>
        </m:sSub>
        <m:r>
          <m:rPr>
            <m:sty m:val="p"/>
          </m:rPr>
          <m:t>=</m:t>
        </m:r>
        <m:r>
          <m:rPr>
            <m:sty m:val="p"/>
          </m:rPr>
          <m:t>−</m:t>
        </m:r>
        <m:r>
          <m:t>2.5</m:t>
        </m:r>
        <m:r>
          <m:rPr>
            <m:sty m:val="p"/>
          </m:rPr>
          <m:t>×</m:t>
        </m:r>
        <m:sSup>
          <m:e>
            <m:r>
              <m:t>10</m:t>
            </m:r>
          </m:e>
          <m:sup>
            <m:r>
              <m:rPr>
                <m:sty m:val="p"/>
              </m:rPr>
              <m:t>−</m:t>
            </m:r>
            <m:r>
              <m:t>8</m:t>
            </m:r>
          </m:sup>
        </m:sSup>
      </m:oMath>
      <w:r>
        <w:t xml:space="preserve"> </w:t>
      </w:r>
      <w:r>
        <w:t xml:space="preserve">A，相关系数</w:t>
      </w:r>
      <w:r>
        <w:t xml:space="preserve"> </w:t>
      </w:r>
      <m:oMath>
        <m:sSup>
          <m:e>
            <m:r>
              <m:t>R</m:t>
            </m:r>
          </m:e>
          <m:sup>
            <m:r>
              <m:t>2</m:t>
            </m:r>
          </m:sup>
        </m:sSup>
        <m:r>
          <m:rPr>
            <m:sty m:val="p"/>
          </m:rPr>
          <m:t>=</m:t>
        </m:r>
        <m:r>
          <m:t>1.000000</m:t>
        </m:r>
      </m:oMath>
      <w:r>
        <w:t xml:space="preserve">，线性度（满量程相对最大偏差）为0.008%。标定曲线与残差如图10所示。</w:t>
      </w:r>
    </w:p>
    <w:p>
      <w:pPr>
        <w:pStyle w:val="TableCaption"/>
      </w:pPr>
      <w:r>
        <w:t xml:space="preserve">表 3　后端标定数据（仿真，f=0.1 Hz）</w:t>
      </w:r>
    </w:p>
    <w:tbl>
      <w:tblPr>
        <w:tblStyle w:val="Table"/>
        <w:tblW w:type="auto" w:w="0"/>
        <w:tblLook w:firstRow="1" w:lastRow="0" w:firstColumn="0" w:lastColumn="0" w:noHBand="0" w:noVBand="0" w:val="0020"/>
        <w:jc w:val="start"/>
        <w:tblCaption w:val="表 3　后端标定数据（仿真，f=0.1 Hz）"/>
      </w:tblPr>
      <w:tblGrid>
        <w:gridCol w:w="2640"/>
        <w:gridCol w:w="2640"/>
        <w:gridCol w:w="2640"/>
      </w:tblGrid>
      <w:tr>
        <w:trPr>
          <w:tblHeader w:val="true"/>
        </w:trPr>
        <w:tc>
          <w:tcPr/>
          <w:p>
            <w:pPr>
              <w:pStyle w:val="Compact"/>
              <w:jc w:val="right"/>
            </w:pPr>
            <w:r>
              <w:t xml:space="preserve">注入电流</w:t>
            </w:r>
            <w:r>
              <w:t xml:space="preserve"> </w:t>
            </w:r>
            <m:oMath>
              <m:sSub>
                <m:e>
                  <m:r>
                    <m:t>I</m:t>
                  </m:r>
                </m:e>
                <m:sub>
                  <m:r>
                    <m:rPr>
                      <m:sty m:val="p"/>
                    </m:rPr>
                    <m:t>c</m:t>
                  </m:r>
                  <m:r>
                    <m:rPr>
                      <m:sty m:val="p"/>
                    </m:rPr>
                    <m:t>a</m:t>
                  </m:r>
                  <m:r>
                    <m:rPr>
                      <m:sty m:val="p"/>
                    </m:rPr>
                    <m:t>l</m:t>
                  </m:r>
                </m:sub>
              </m:sSub>
            </m:oMath>
            <w:r>
              <w:t xml:space="preserve">/µA</w:t>
            </w:r>
          </w:p>
        </w:tc>
        <w:tc>
          <w:tcPr/>
          <w:p>
            <w:pPr>
              <w:pStyle w:val="Compact"/>
              <w:jc w:val="right"/>
            </w:pPr>
            <w:r>
              <w:t xml:space="preserve">实测</w:t>
            </w:r>
            <w:r>
              <w:t xml:space="preserve"> </w:t>
            </w:r>
            <m:oMath>
              <m:r>
                <m:t>P</m:t>
              </m:r>
            </m:oMath>
            <w:r>
              <w:t xml:space="preserve">（含噪）</w:t>
            </w:r>
          </w:p>
        </w:tc>
        <w:tc>
          <w:tcPr/>
          <w:p>
            <w:pPr>
              <w:pStyle w:val="Compact"/>
              <w:jc w:val="right"/>
            </w:pPr>
            <w:r>
              <w:t xml:space="preserve">拟合残差/nA</w:t>
            </w:r>
          </w:p>
        </w:tc>
      </w:tr>
      <w:tr>
        <w:tc>
          <w:tcPr/>
          <w:p>
            <w:pPr>
              <w:pStyle w:val="Compact"/>
              <w:jc w:val="right"/>
            </w:pPr>
            <w:r>
              <w:t xml:space="preserve">−1.000</w:t>
            </w:r>
          </w:p>
        </w:tc>
        <w:tc>
          <w:tcPr/>
          <w:p>
            <w:pPr>
              <w:pStyle w:val="Compact"/>
              <w:jc w:val="right"/>
            </w:pPr>
            <w:r>
              <w:t xml:space="preserve">−0.77999</w:t>
            </w:r>
          </w:p>
        </w:tc>
        <w:tc>
          <w:tcPr/>
          <w:p>
            <w:pPr>
              <w:pStyle w:val="Compact"/>
              <w:jc w:val="right"/>
            </w:pPr>
            <w:r>
              <w:t xml:space="preserve">+0.020</w:t>
            </w:r>
          </w:p>
        </w:tc>
      </w:tr>
      <w:tr>
        <w:tc>
          <w:tcPr/>
          <w:p>
            <w:pPr>
              <w:pStyle w:val="Compact"/>
              <w:jc w:val="right"/>
            </w:pPr>
            <w:r>
              <w:t xml:space="preserve">−0.750</w:t>
            </w:r>
          </w:p>
        </w:tc>
        <w:tc>
          <w:tcPr/>
          <w:p>
            <w:pPr>
              <w:pStyle w:val="Compact"/>
              <w:jc w:val="right"/>
            </w:pPr>
            <w:r>
              <w:t xml:space="preserve">−0.58004</w:t>
            </w:r>
          </w:p>
        </w:tc>
        <w:tc>
          <w:tcPr/>
          <w:p>
            <w:pPr>
              <w:pStyle w:val="Compact"/>
              <w:jc w:val="right"/>
            </w:pPr>
            <w:r>
              <w:t xml:space="preserve">−0.045</w:t>
            </w:r>
          </w:p>
        </w:tc>
      </w:tr>
      <w:tr>
        <w:tc>
          <w:tcPr/>
          <w:p>
            <w:pPr>
              <w:pStyle w:val="Compact"/>
              <w:jc w:val="right"/>
            </w:pPr>
            <w:r>
              <w:t xml:space="preserve">−0.500</w:t>
            </w:r>
          </w:p>
        </w:tc>
        <w:tc>
          <w:tcPr/>
          <w:p>
            <w:pPr>
              <w:pStyle w:val="Compact"/>
              <w:jc w:val="right"/>
            </w:pPr>
            <w:r>
              <w:t xml:space="preserve">−0.37997</w:t>
            </w:r>
          </w:p>
        </w:tc>
        <w:tc>
          <w:tcPr/>
          <w:p>
            <w:pPr>
              <w:pStyle w:val="Compact"/>
              <w:jc w:val="right"/>
            </w:pPr>
            <w:r>
              <w:t xml:space="preserve">+0.047</w:t>
            </w:r>
          </w:p>
        </w:tc>
      </w:tr>
      <w:tr>
        <w:tc>
          <w:tcPr/>
          <w:p>
            <w:pPr>
              <w:pStyle w:val="Compact"/>
              <w:jc w:val="right"/>
            </w:pPr>
            <w:r>
              <w:t xml:space="preserve">−0.250</w:t>
            </w:r>
          </w:p>
        </w:tc>
        <w:tc>
          <w:tcPr/>
          <w:p>
            <w:pPr>
              <w:pStyle w:val="Compact"/>
              <w:jc w:val="right"/>
            </w:pPr>
            <w:r>
              <w:t xml:space="preserve">−0.17996</w:t>
            </w:r>
          </w:p>
        </w:tc>
        <w:tc>
          <w:tcPr/>
          <w:p>
            <w:pPr>
              <w:pStyle w:val="Compact"/>
              <w:jc w:val="right"/>
            </w:pPr>
            <w:r>
              <w:t xml:space="preserve">+0.059</w:t>
            </w:r>
          </w:p>
        </w:tc>
      </w:tr>
      <w:tr>
        <w:tc>
          <w:tcPr/>
          <w:p>
            <w:pPr>
              <w:pStyle w:val="Compact"/>
              <w:jc w:val="right"/>
            </w:pPr>
            <w:r>
              <w:t xml:space="preserve">0.000</w:t>
            </w:r>
          </w:p>
        </w:tc>
        <w:tc>
          <w:tcPr/>
          <w:p>
            <w:pPr>
              <w:pStyle w:val="Compact"/>
              <w:jc w:val="right"/>
            </w:pPr>
            <w:r>
              <w:t xml:space="preserve">0.01992</w:t>
            </w:r>
          </w:p>
        </w:tc>
        <w:tc>
          <w:tcPr/>
          <w:p>
            <w:pPr>
              <w:pStyle w:val="Compact"/>
              <w:jc w:val="right"/>
            </w:pPr>
            <w:r>
              <w:t xml:space="preserve">−0.084</w:t>
            </w:r>
          </w:p>
        </w:tc>
      </w:tr>
      <w:tr>
        <w:tc>
          <w:tcPr/>
          <w:p>
            <w:pPr>
              <w:pStyle w:val="Compact"/>
              <w:jc w:val="right"/>
            </w:pPr>
            <w:r>
              <w:t xml:space="preserve">0.250</w:t>
            </w:r>
          </w:p>
        </w:tc>
        <w:tc>
          <w:tcPr/>
          <w:p>
            <w:pPr>
              <w:pStyle w:val="Compact"/>
              <w:jc w:val="right"/>
            </w:pPr>
            <w:r>
              <w:t xml:space="preserve">0.21995</w:t>
            </w:r>
          </w:p>
        </w:tc>
        <w:tc>
          <w:tcPr/>
          <w:p>
            <w:pPr>
              <w:pStyle w:val="Compact"/>
              <w:jc w:val="right"/>
            </w:pPr>
            <w:r>
              <w:t xml:space="preserve">−0.049</w:t>
            </w:r>
          </w:p>
        </w:tc>
      </w:tr>
      <w:tr>
        <w:tc>
          <w:tcPr/>
          <w:p>
            <w:pPr>
              <w:pStyle w:val="Compact"/>
              <w:jc w:val="right"/>
            </w:pPr>
            <w:r>
              <w:t xml:space="preserve">0.500</w:t>
            </w:r>
          </w:p>
        </w:tc>
        <w:tc>
          <w:tcPr/>
          <w:p>
            <w:pPr>
              <w:pStyle w:val="Compact"/>
              <w:jc w:val="right"/>
            </w:pPr>
            <w:r>
              <w:t xml:space="preserve">0.42001</w:t>
            </w:r>
          </w:p>
        </w:tc>
        <w:tc>
          <w:tcPr/>
          <w:p>
            <w:pPr>
              <w:pStyle w:val="Compact"/>
              <w:jc w:val="right"/>
            </w:pPr>
            <w:r>
              <w:t xml:space="preserve">+0.025</w:t>
            </w:r>
          </w:p>
        </w:tc>
      </w:tr>
      <w:tr>
        <w:tc>
          <w:tcPr/>
          <w:p>
            <w:pPr>
              <w:pStyle w:val="Compact"/>
              <w:jc w:val="right"/>
            </w:pPr>
            <w:r>
              <w:t xml:space="preserve">0.750</w:t>
            </w:r>
          </w:p>
        </w:tc>
        <w:tc>
          <w:tcPr/>
          <w:p>
            <w:pPr>
              <w:pStyle w:val="Compact"/>
              <w:jc w:val="right"/>
            </w:pPr>
            <w:r>
              <w:t xml:space="preserve">0.61999</w:t>
            </w:r>
          </w:p>
        </w:tc>
        <w:tc>
          <w:tcPr/>
          <w:p>
            <w:pPr>
              <w:pStyle w:val="Compact"/>
              <w:jc w:val="right"/>
            </w:pPr>
            <w:r>
              <w:t xml:space="preserve">+0.005</w:t>
            </w:r>
          </w:p>
        </w:tc>
      </w:tr>
      <w:tr>
        <w:tc>
          <w:tcPr/>
          <w:p>
            <w:pPr>
              <w:pStyle w:val="Compact"/>
              <w:jc w:val="right"/>
            </w:pPr>
            <w:r>
              <w:t xml:space="preserve">1.000</w:t>
            </w:r>
          </w:p>
        </w:tc>
        <w:tc>
          <w:tcPr/>
          <w:p>
            <w:pPr>
              <w:pStyle w:val="Compact"/>
              <w:jc w:val="right"/>
            </w:pPr>
            <w:r>
              <w:t xml:space="preserve">0.82000</w:t>
            </w:r>
          </w:p>
        </w:tc>
        <w:tc>
          <w:tcPr/>
          <w:p>
            <w:pPr>
              <w:pStyle w:val="Compact"/>
              <w:jc w:val="right"/>
            </w:pPr>
            <w:r>
              <w:t xml:space="preserve">+0.022</w:t>
            </w:r>
          </w:p>
        </w:tc>
      </w:tr>
    </w:tbl>
    <w:p>
      <w:pPr>
        <w:pStyle w:val="CaptionedFigure"/>
      </w:pPr>
      <w:r>
        <w:drawing>
          <wp:inline>
            <wp:extent cx="4389120" cy="1755647"/>
            <wp:effectExtent b="0" l="0" r="0" t="0"/>
            <wp:docPr descr="图 10　后端标定曲线与残差" title="" id="75" name="Picture"/>
            <a:graphic>
              <a:graphicData uri="http://schemas.openxmlformats.org/drawingml/2006/picture">
                <pic:pic>
                  <pic:nvPicPr>
                    <pic:cNvPr descr="media/fig1_校准曲线与残差.png" id="76" name="Picture"/>
                    <pic:cNvPicPr>
                      <a:picLocks noChangeArrowheads="1" noChangeAspect="1"/>
                    </pic:cNvPicPr>
                  </pic:nvPicPr>
                  <pic:blipFill>
                    <a:blip r:embed="rId74"/>
                    <a:stretch>
                      <a:fillRect/>
                    </a:stretch>
                  </pic:blipFill>
                  <pic:spPr bwMode="auto">
                    <a:xfrm>
                      <a:off x="0" y="0"/>
                      <a:ext cx="4389120" cy="1755647"/>
                    </a:xfrm>
                    <a:prstGeom prst="rect">
                      <a:avLst/>
                    </a:prstGeom>
                    <a:noFill/>
                    <a:ln w="9525">
                      <a:noFill/>
                      <a:headEnd/>
                      <a:tailEnd/>
                    </a:ln>
                  </pic:spPr>
                </pic:pic>
              </a:graphicData>
            </a:graphic>
          </wp:inline>
        </w:drawing>
      </w:r>
    </w:p>
    <w:p>
      <w:pPr>
        <w:pStyle w:val="ImageCaption"/>
      </w:pPr>
      <w:r>
        <w:t xml:space="preserve">图 10　后端标定曲线与残差</w:t>
      </w:r>
    </w:p>
    <w:bookmarkEnd w:id="77"/>
    <w:bookmarkStart w:id="78" w:name="前端标定磁场电流"/>
    <w:p>
      <w:pPr>
        <w:pStyle w:val="Heading2"/>
      </w:pPr>
      <w:r>
        <w:t xml:space="preserve">7.2　前端标定：磁场—电流</w:t>
      </w:r>
    </w:p>
    <w:p>
      <w:pPr>
        <w:pStyle w:val="FirstParagraph"/>
      </w:pPr>
      <w:r>
        <w:t xml:space="preserve">前端标定确定接收线圈在已知交变磁场下的感应电流响应。用第3章发生模块在接收线圈处建立已知磁场</w:t>
      </w:r>
      <w:r>
        <w:t xml:space="preserve"> </w:t>
      </w:r>
      <m:oMath>
        <m:sSub>
          <m:e>
            <m:r>
              <m:t>B</m:t>
            </m:r>
          </m:e>
          <m:sub>
            <m:r>
              <m:t>0</m:t>
            </m:r>
          </m:sub>
        </m:sSub>
      </m:oMath>
      <w:r>
        <w:t xml:space="preserve">（按发射线圈公式计算，必要时以磁通计或亥姆霍兹线圈复核），同时用后端标定结果由实测</w:t>
      </w:r>
      <w:r>
        <w:t xml:space="preserve"> </w:t>
      </w:r>
      <m:oMath>
        <m:r>
          <m:t>P</m:t>
        </m:r>
      </m:oMath>
      <w:r>
        <w:t xml:space="preserve"> </w:t>
      </w:r>
      <w:r>
        <w:t xml:space="preserve">反推感应电流</w:t>
      </w:r>
      <w:r>
        <w:t xml:space="preserve"> </w:t>
      </w:r>
      <m:oMath>
        <m:sSub>
          <m:e>
            <m:r>
              <m:t>I</m:t>
            </m:r>
          </m:e>
          <m:sub>
            <m:r>
              <m:rPr>
                <m:sty m:val="p"/>
              </m:rPr>
              <m:t>s</m:t>
            </m:r>
            <m:r>
              <m:rPr>
                <m:sty m:val="p"/>
              </m:rPr>
              <m:t>e</m:t>
            </m:r>
            <m:r>
              <m:rPr>
                <m:sty m:val="p"/>
              </m:rPr>
              <m:t>n</m:t>
            </m:r>
            <m:r>
              <m:rPr>
                <m:sty m:val="p"/>
              </m:rPr>
              <m:t>s</m:t>
            </m:r>
            <m:r>
              <m:rPr>
                <m:sty m:val="p"/>
              </m:rPr>
              <m:t>e</m:t>
            </m:r>
          </m:sub>
        </m:sSub>
      </m:oMath>
      <w:r>
        <w:t xml:space="preserve">，从而建立：</w:t>
      </w:r>
    </w:p>
    <w:p>
      <w:pPr>
        <w:pStyle w:val="BodyText"/>
      </w:pPr>
      <m:oMathPara>
        <m:oMathParaPr>
          <m:jc m:val="center"/>
        </m:oMathParaPr>
        <m:oMath>
          <m:sSub>
            <m:e>
              <m:r>
                <m:t>I</m:t>
              </m:r>
            </m:e>
            <m:sub>
              <m:r>
                <m:rPr>
                  <m:sty m:val="p"/>
                </m:rPr>
                <m:t>s</m:t>
              </m:r>
              <m:r>
                <m:rPr>
                  <m:sty m:val="p"/>
                </m:rPr>
                <m:t>e</m:t>
              </m:r>
              <m:r>
                <m:rPr>
                  <m:sty m:val="p"/>
                </m:rPr>
                <m:t>n</m:t>
              </m:r>
              <m:r>
                <m:rPr>
                  <m:sty m:val="p"/>
                </m:rPr>
                <m:t>s</m:t>
              </m:r>
              <m:r>
                <m:rPr>
                  <m:sty m:val="p"/>
                </m:rPr>
                <m:t>e</m:t>
              </m:r>
            </m:sub>
          </m:sSub>
          <m:r>
            <m:rPr>
              <m:sty m:val="p"/>
            </m:rPr>
            <m:t>=</m:t>
          </m:r>
          <m:r>
            <m:t>α</m:t>
          </m:r>
          <m:r>
            <m:t> </m:t>
          </m:r>
          <m:sSub>
            <m:e>
              <m:r>
                <m:t>B</m:t>
              </m:r>
            </m:e>
            <m:sub>
              <m:r>
                <m:t>0</m:t>
              </m:r>
            </m:sub>
          </m:sSub>
          <m:r>
            <m:rPr>
              <m:sty m:val="p"/>
            </m:rPr>
            <m:t>,</m:t>
          </m:r>
          <m:r>
            <m:t>  </m:t>
          </m:r>
          <m:r>
            <m:t>α</m:t>
          </m:r>
          <m:r>
            <m:rPr>
              <m:sty m:val="p"/>
            </m:rPr>
            <m:t>=</m:t>
          </m:r>
          <m:f>
            <m:fPr>
              <m:type m:val="bar"/>
            </m:fPr>
            <m:num>
              <m:sSub>
                <m:e>
                  <m:r>
                    <m:t>N</m:t>
                  </m:r>
                </m:e>
                <m:sub>
                  <m:r>
                    <m:t>1</m:t>
                  </m:r>
                </m:sub>
              </m:sSub>
              <m:sSub>
                <m:e>
                  <m:r>
                    <m:t>A</m:t>
                  </m:r>
                </m:e>
                <m:sub>
                  <m:r>
                    <m:t>1</m:t>
                  </m:r>
                </m:sub>
              </m:sSub>
              <m:r>
                <m:t>ω</m:t>
              </m:r>
            </m:num>
            <m:den>
              <m:r>
                <m:t>R</m:t>
              </m:r>
            </m:den>
          </m:f>
        </m:oMath>
      </m:oMathPara>
    </w:p>
    <w:p>
      <w:pPr>
        <w:pStyle w:val="FirstParagraph"/>
      </w:pPr>
      <w:r>
        <w:t xml:space="preserve">系数</w:t>
      </w:r>
      <w:r>
        <w:t xml:space="preserve"> </w:t>
      </w:r>
      <m:oMath>
        <m:r>
          <m:t>α</m:t>
        </m:r>
      </m:oMath>
      <w:r>
        <w:t xml:space="preserve"> </w:t>
      </w:r>
      <w:r>
        <w:t xml:space="preserve">的理论值可由接收线圈参数与回路电阻直接计算；实测拟合值可综合反映线圈有效匝数、面积与回路阻抗的实际偏差，是对理论值的实验修正。前后两级标定相结合，即得全链路”磁场—电流—归一化算子”的完整转换关系。</w:t>
      </w:r>
    </w:p>
    <w:bookmarkEnd w:id="78"/>
    <w:bookmarkStart w:id="79" w:name="系统综合校准与线性度验证"/>
    <w:p>
      <w:pPr>
        <w:pStyle w:val="Heading2"/>
      </w:pPr>
      <w:r>
        <w:t xml:space="preserve">7.3　系统综合校准与线性度验证</w:t>
      </w:r>
    </w:p>
    <w:p>
      <w:pPr>
        <w:pStyle w:val="FirstParagraph"/>
      </w:pPr>
      <w:r>
        <w:t xml:space="preserve">综合校准首先调整激光器、反射镜以及PSD的位置，使无输入信号状态下光斑位于PSD中心，保证系统统一零点（</w:t>
      </w:r>
      <m:oMath>
        <m:r>
          <m:t>P</m:t>
        </m:r>
        <m:r>
          <m:rPr>
            <m:sty m:val="p"/>
          </m:rPr>
          <m:t>≈</m:t>
        </m:r>
        <m:r>
          <m:t>0</m:t>
        </m:r>
      </m:oMath>
      <w:r>
        <w:t xml:space="preserve">）。随后通过两级标定结果对全链路进行盲测验证：设定一组未知场强</w:t>
      </w:r>
      <w:r>
        <w:t xml:space="preserve"> </w:t>
      </w:r>
      <m:oMath>
        <m:sSub>
          <m:e>
            <m:r>
              <m:t>B</m:t>
            </m:r>
          </m:e>
          <m:sub>
            <m:r>
              <m:t>0</m:t>
            </m:r>
          </m:sub>
        </m:sSub>
      </m:oMath>
      <w:r>
        <w:t xml:space="preserve">，由系统输出反推测量值，并与设定值比对。</w:t>
      </w:r>
    </w:p>
    <w:p>
      <w:pPr>
        <w:pStyle w:val="BodyText"/>
      </w:pPr>
      <w:r>
        <w:t xml:space="preserve">基于表1参数的全链路盲测结果（f=0.1 Hz，平均40 s）如表4所示。当信号远高于噪声底（</w:t>
      </w:r>
      <m:oMath>
        <m:sSub>
          <m:e>
            <m:r>
              <m:t>B</m:t>
            </m:r>
          </m:e>
          <m:sub>
            <m:r>
              <m:t>0</m:t>
            </m:r>
          </m:sub>
        </m:sSub>
        <m:r>
          <m:rPr>
            <m:sty m:val="p"/>
          </m:rPr>
          <m:t>≥</m:t>
        </m:r>
        <m:r>
          <m:t>10</m:t>
        </m:r>
        <m:r>
          <m:t> </m:t>
        </m:r>
        <m:r>
          <m:t>μ</m:t>
        </m:r>
      </m:oMath>
      <w:r>
        <w:t xml:space="preserve">T）时，测量偏差小于6%，且随信号增大单调减小（100 µT处偏差0.51%）；在</w:t>
      </w:r>
      <w:r>
        <w:t xml:space="preserve"> </w:t>
      </w:r>
      <m:oMath>
        <m:sSub>
          <m:e>
            <m:r>
              <m:t>B</m:t>
            </m:r>
          </m:e>
          <m:sub>
            <m:r>
              <m:t>0</m:t>
            </m:r>
          </m:sub>
        </m:sSub>
        <m:r>
          <m:rPr>
            <m:sty m:val="p"/>
          </m:rPr>
          <m:t>=</m:t>
        </m:r>
        <m:r>
          <m:t>2</m:t>
        </m:r>
        <m:r>
          <m:t> </m:t>
        </m:r>
        <m:r>
          <m:t>μ</m:t>
        </m:r>
      </m:oMath>
      <w:r>
        <w:t xml:space="preserve">T（感应电流约63 pA）处偏差达16%，主要受系统噪声底与机械幅频响应共同影响。</w:t>
      </w:r>
    </w:p>
    <w:p>
      <w:pPr>
        <w:pStyle w:val="TableCaption"/>
      </w:pPr>
      <w:r>
        <w:t xml:space="preserve">表 4　全链路盲测结果（仿真，f=0.1 Hz，平均40 s）</w:t>
      </w:r>
    </w:p>
    <w:tbl>
      <w:tblPr>
        <w:tblStyle w:val="Table"/>
        <w:tblW w:type="pct" w:w="5000"/>
        <w:tblLook w:firstRow="1" w:lastRow="0" w:firstColumn="0" w:lastColumn="0" w:noHBand="0" w:noVBand="0" w:val="0020"/>
        <w:jc w:val="start"/>
        <w:tblCaption w:val="表 4　全链路盲测结果（仿真，f=0.1 Hz，平均40 s）"/>
      </w:tblPr>
      <w:tblGrid>
        <w:gridCol w:w="1584"/>
        <w:gridCol w:w="1584"/>
        <w:gridCol w:w="1584"/>
        <w:gridCol w:w="1584"/>
        <w:gridCol w:w="1584"/>
      </w:tblGrid>
      <w:tr>
        <w:trPr>
          <w:tblHeader w:val="true"/>
        </w:trPr>
        <w:tc>
          <w:tcPr/>
          <w:p>
            <w:pPr>
              <w:pStyle w:val="Compact"/>
              <w:jc w:val="right"/>
            </w:pPr>
            <w:r>
              <w:t xml:space="preserve">设定场强</w:t>
            </w:r>
            <w:r>
              <w:t xml:space="preserve"> </w:t>
            </w:r>
            <m:oMath>
              <m:sSub>
                <m:e>
                  <m:r>
                    <m:t>B</m:t>
                  </m:r>
                </m:e>
                <m:sub>
                  <m:r>
                    <m:t>0</m:t>
                  </m:r>
                </m:sub>
              </m:sSub>
            </m:oMath>
            <w:r>
              <w:t xml:space="preserve">/µT</w:t>
            </w:r>
          </w:p>
        </w:tc>
        <w:tc>
          <w:tcPr/>
          <w:p>
            <w:pPr>
              <w:pStyle w:val="Compact"/>
              <w:jc w:val="right"/>
            </w:pPr>
            <w:r>
              <w:t xml:space="preserve">真值电流/nA</w:t>
            </w:r>
          </w:p>
        </w:tc>
        <w:tc>
          <w:tcPr/>
          <w:p>
            <w:pPr>
              <w:pStyle w:val="Compact"/>
              <w:jc w:val="right"/>
            </w:pPr>
            <w:r>
              <w:t xml:space="preserve">测量电流/nA</w:t>
            </w:r>
          </w:p>
        </w:tc>
        <w:tc>
          <w:tcPr/>
          <w:p>
            <w:pPr>
              <w:pStyle w:val="Compact"/>
              <w:jc w:val="right"/>
            </w:pPr>
            <w:r>
              <w:t xml:space="preserve">偏差/%</w:t>
            </w:r>
          </w:p>
        </w:tc>
        <w:tc>
          <w:tcPr/>
          <w:p>
            <w:pPr>
              <w:pStyle w:val="Compact"/>
              <w:jc w:val="right"/>
            </w:pPr>
            <w:r>
              <w:t xml:space="preserve">扩展不确定度 U（k=2）/nA</w:t>
            </w:r>
          </w:p>
        </w:tc>
      </w:tr>
      <w:tr>
        <w:tc>
          <w:tcPr/>
          <w:p>
            <w:pPr>
              <w:pStyle w:val="Compact"/>
              <w:jc w:val="right"/>
            </w:pPr>
            <w:r>
              <w:t xml:space="preserve">2</w:t>
            </w:r>
          </w:p>
        </w:tc>
        <w:tc>
          <w:tcPr/>
          <w:p>
            <w:pPr>
              <w:pStyle w:val="Compact"/>
              <w:jc w:val="right"/>
            </w:pPr>
            <w:r>
              <w:t xml:space="preserve">0.063</w:t>
            </w:r>
          </w:p>
        </w:tc>
        <w:tc>
          <w:tcPr/>
          <w:p>
            <w:pPr>
              <w:pStyle w:val="Compact"/>
              <w:jc w:val="right"/>
            </w:pPr>
            <w:r>
              <w:t xml:space="preserve">0.073</w:t>
            </w:r>
          </w:p>
        </w:tc>
        <w:tc>
          <w:tcPr/>
          <w:p>
            <w:pPr>
              <w:pStyle w:val="Compact"/>
              <w:jc w:val="right"/>
            </w:pPr>
            <w:r>
              <w:t xml:space="preserve">16.07</w:t>
            </w:r>
          </w:p>
        </w:tc>
        <w:tc>
          <w:tcPr/>
          <w:p>
            <w:pPr>
              <w:pStyle w:val="Compact"/>
              <w:jc w:val="right"/>
            </w:pPr>
            <w:r>
              <w:t xml:space="preserve">0.010</w:t>
            </w:r>
          </w:p>
        </w:tc>
      </w:tr>
      <w:tr>
        <w:tc>
          <w:tcPr/>
          <w:p>
            <w:pPr>
              <w:pStyle w:val="Compact"/>
              <w:jc w:val="right"/>
            </w:pPr>
            <w:r>
              <w:t xml:space="preserve">5</w:t>
            </w:r>
          </w:p>
        </w:tc>
        <w:tc>
          <w:tcPr/>
          <w:p>
            <w:pPr>
              <w:pStyle w:val="Compact"/>
              <w:jc w:val="right"/>
            </w:pPr>
            <w:r>
              <w:t xml:space="preserve">0.157</w:t>
            </w:r>
          </w:p>
        </w:tc>
        <w:tc>
          <w:tcPr/>
          <w:p>
            <w:pPr>
              <w:pStyle w:val="Compact"/>
              <w:jc w:val="right"/>
            </w:pPr>
            <w:r>
              <w:t xml:space="preserve">0.175</w:t>
            </w:r>
          </w:p>
        </w:tc>
        <w:tc>
          <w:tcPr/>
          <w:p>
            <w:pPr>
              <w:pStyle w:val="Compact"/>
              <w:jc w:val="right"/>
            </w:pPr>
            <w:r>
              <w:t xml:space="preserve">11.36</w:t>
            </w:r>
          </w:p>
        </w:tc>
        <w:tc>
          <w:tcPr/>
          <w:p>
            <w:pPr>
              <w:pStyle w:val="Compact"/>
              <w:jc w:val="right"/>
            </w:pPr>
            <w:r>
              <w:t xml:space="preserve">0.010</w:t>
            </w:r>
          </w:p>
        </w:tc>
      </w:tr>
      <w:tr>
        <w:tc>
          <w:tcPr/>
          <w:p>
            <w:pPr>
              <w:pStyle w:val="Compact"/>
              <w:jc w:val="right"/>
            </w:pPr>
            <w:r>
              <w:t xml:space="preserve">10</w:t>
            </w:r>
          </w:p>
        </w:tc>
        <w:tc>
          <w:tcPr/>
          <w:p>
            <w:pPr>
              <w:pStyle w:val="Compact"/>
              <w:jc w:val="right"/>
            </w:pPr>
            <w:r>
              <w:t xml:space="preserve">0.314</w:t>
            </w:r>
          </w:p>
        </w:tc>
        <w:tc>
          <w:tcPr/>
          <w:p>
            <w:pPr>
              <w:pStyle w:val="Compact"/>
              <w:jc w:val="right"/>
            </w:pPr>
            <w:r>
              <w:t xml:space="preserve">0.332</w:t>
            </w:r>
          </w:p>
        </w:tc>
        <w:tc>
          <w:tcPr/>
          <w:p>
            <w:pPr>
              <w:pStyle w:val="Compact"/>
              <w:jc w:val="right"/>
            </w:pPr>
            <w:r>
              <w:t xml:space="preserve">5.54</w:t>
            </w:r>
          </w:p>
        </w:tc>
        <w:tc>
          <w:tcPr/>
          <w:p>
            <w:pPr>
              <w:pStyle w:val="Compact"/>
              <w:jc w:val="right"/>
            </w:pPr>
            <w:r>
              <w:t xml:space="preserve">0.030</w:t>
            </w:r>
          </w:p>
        </w:tc>
      </w:tr>
      <w:tr>
        <w:tc>
          <w:tcPr/>
          <w:p>
            <w:pPr>
              <w:pStyle w:val="Compact"/>
              <w:jc w:val="right"/>
            </w:pPr>
            <w:r>
              <w:t xml:space="preserve">20</w:t>
            </w:r>
          </w:p>
        </w:tc>
        <w:tc>
          <w:tcPr/>
          <w:p>
            <w:pPr>
              <w:pStyle w:val="Compact"/>
              <w:jc w:val="right"/>
            </w:pPr>
            <w:r>
              <w:t xml:space="preserve">0.628</w:t>
            </w:r>
          </w:p>
        </w:tc>
        <w:tc>
          <w:tcPr/>
          <w:p>
            <w:pPr>
              <w:pStyle w:val="Compact"/>
              <w:jc w:val="right"/>
            </w:pPr>
            <w:r>
              <w:t xml:space="preserve">0.643</w:t>
            </w:r>
          </w:p>
        </w:tc>
        <w:tc>
          <w:tcPr/>
          <w:p>
            <w:pPr>
              <w:pStyle w:val="Compact"/>
              <w:jc w:val="right"/>
            </w:pPr>
            <w:r>
              <w:t xml:space="preserve">2.26</w:t>
            </w:r>
          </w:p>
        </w:tc>
        <w:tc>
          <w:tcPr/>
          <w:p>
            <w:pPr>
              <w:pStyle w:val="Compact"/>
              <w:jc w:val="right"/>
            </w:pPr>
            <w:r>
              <w:t xml:space="preserve">0.050</w:t>
            </w:r>
          </w:p>
        </w:tc>
      </w:tr>
      <w:tr>
        <w:tc>
          <w:tcPr/>
          <w:p>
            <w:pPr>
              <w:pStyle w:val="Compact"/>
              <w:jc w:val="right"/>
            </w:pPr>
            <w:r>
              <w:t xml:space="preserve">50</w:t>
            </w:r>
          </w:p>
        </w:tc>
        <w:tc>
          <w:tcPr/>
          <w:p>
            <w:pPr>
              <w:pStyle w:val="Compact"/>
              <w:jc w:val="right"/>
            </w:pPr>
            <w:r>
              <w:t xml:space="preserve">1.571</w:t>
            </w:r>
          </w:p>
        </w:tc>
        <w:tc>
          <w:tcPr/>
          <w:p>
            <w:pPr>
              <w:pStyle w:val="Compact"/>
              <w:jc w:val="right"/>
            </w:pPr>
            <w:r>
              <w:t xml:space="preserve">1.590</w:t>
            </w:r>
          </w:p>
        </w:tc>
        <w:tc>
          <w:tcPr/>
          <w:p>
            <w:pPr>
              <w:pStyle w:val="Compact"/>
              <w:jc w:val="right"/>
            </w:pPr>
            <w:r>
              <w:t xml:space="preserve">1.21</w:t>
            </w:r>
          </w:p>
        </w:tc>
        <w:tc>
          <w:tcPr/>
          <w:p>
            <w:pPr>
              <w:pStyle w:val="Compact"/>
              <w:jc w:val="right"/>
            </w:pPr>
            <w:r>
              <w:t xml:space="preserve">0.130</w:t>
            </w:r>
          </w:p>
        </w:tc>
      </w:tr>
      <w:tr>
        <w:tc>
          <w:tcPr/>
          <w:p>
            <w:pPr>
              <w:pStyle w:val="Compact"/>
              <w:jc w:val="right"/>
            </w:pPr>
            <w:r>
              <w:t xml:space="preserve">100</w:t>
            </w:r>
          </w:p>
        </w:tc>
        <w:tc>
          <w:tcPr/>
          <w:p>
            <w:pPr>
              <w:pStyle w:val="Compact"/>
              <w:jc w:val="right"/>
            </w:pPr>
            <w:r>
              <w:t xml:space="preserve">3.142</w:t>
            </w:r>
          </w:p>
        </w:tc>
        <w:tc>
          <w:tcPr/>
          <w:p>
            <w:pPr>
              <w:pStyle w:val="Compact"/>
              <w:jc w:val="right"/>
            </w:pPr>
            <w:r>
              <w:t xml:space="preserve">3.158</w:t>
            </w:r>
          </w:p>
        </w:tc>
        <w:tc>
          <w:tcPr/>
          <w:p>
            <w:pPr>
              <w:pStyle w:val="Compact"/>
              <w:jc w:val="right"/>
            </w:pPr>
            <w:r>
              <w:t xml:space="preserve">0.51</w:t>
            </w:r>
          </w:p>
        </w:tc>
        <w:tc>
          <w:tcPr/>
          <w:p>
            <w:pPr>
              <w:pStyle w:val="Compact"/>
              <w:jc w:val="right"/>
            </w:pPr>
            <w:r>
              <w:t xml:space="preserve">0.250</w:t>
            </w:r>
          </w:p>
        </w:tc>
      </w:tr>
    </w:tbl>
    <w:p>
      <w:pPr>
        <w:pStyle w:val="BodyText"/>
      </w:pPr>
      <w:r>
        <w:t xml:space="preserve">线性度验证用于判断系统输出响应是否满足理论模型中的比例关系。若实验数据能够较好分布在线性拟合曲线附近，则说明在当前测量范围内，磁场作用、线圈偏转以及光学放大过程均保持良好的线性特征；若出现明显偏离，则需要进一步分析永磁体磁场均匀性、偏转角度范围以及机械结构非线性等因素带来的影响。仿真标定的</w:t>
      </w:r>
      <w:r>
        <w:t xml:space="preserve"> </w:t>
      </w:r>
      <m:oMath>
        <m:sSup>
          <m:e>
            <m:r>
              <m:t>R</m:t>
            </m:r>
          </m:e>
          <m:sup>
            <m:r>
              <m:t>2</m:t>
            </m:r>
          </m:sup>
        </m:sSup>
        <m:r>
          <m:rPr>
            <m:sty m:val="p"/>
          </m:rPr>
          <m:t>=</m:t>
        </m:r>
        <m:r>
          <m:t>1.000</m:t>
        </m:r>
      </m:oMath>
      <w:r>
        <w:t xml:space="preserve">、线性度0.008%给出了理想条件下的性能预期。</w:t>
      </w:r>
    </w:p>
    <w:bookmarkEnd w:id="79"/>
    <w:bookmarkEnd w:id="80"/>
    <w:bookmarkStart w:id="90" w:name="误差分析"/>
    <w:p>
      <w:pPr>
        <w:pStyle w:val="Heading1"/>
      </w:pPr>
      <w:r>
        <w:t xml:space="preserve">8　误差分析</w:t>
      </w:r>
    </w:p>
    <w:p>
      <w:pPr>
        <w:pStyle w:val="FirstParagraph"/>
      </w:pPr>
      <w:r>
        <w:t xml:space="preserve">由于微弱电信号测量过程中涉及电磁感应、机械偏转、光学放大以及数字采集等多个环节，系统最终测量结果会受到多个因素共同影响。本节针对装置结构和测量原理，对可能产生误差的主要来源进行定性与定量分析，并按GUM方法建立不确定度评价模型。</w:t>
      </w:r>
    </w:p>
    <w:bookmarkStart w:id="84" w:name="误差来源分析"/>
    <w:p>
      <w:pPr>
        <w:pStyle w:val="Heading2"/>
      </w:pPr>
      <w:r>
        <w:t xml:space="preserve">8.1　误差来源分析</w:t>
      </w:r>
    </w:p>
    <w:p>
      <w:pPr>
        <w:pStyle w:val="FirstParagraph"/>
      </w:pPr>
      <w:r>
        <w:rPr>
          <w:bCs/>
          <w:b/>
        </w:rPr>
        <w:t xml:space="preserve">前端物理环节。</w:t>
      </w:r>
      <w:r>
        <w:t xml:space="preserve">接收线圈周围磁场并非理想均匀，空间分布的不均匀性会使感应效率与理论模型存在偏差；线圈匝数、绕制密度及空间姿态的变化也会造成感应效率差异。偏转模块中，悬吊铜线的材料、长度与安装状态影响等效扭转刚度，使实际恢复力矩偏离理论值；反射镜安装角度、激光入射方向以及PSD安装位置的微小变化都会被光杠杆放大。</w:t>
      </w:r>
    </w:p>
    <w:p>
      <w:pPr>
        <w:pStyle w:val="BodyText"/>
      </w:pPr>
      <w:r>
        <w:rPr>
          <w:bCs/>
          <w:b/>
        </w:rPr>
        <w:t xml:space="preserve">电子与数字环节。</w:t>
      </w:r>
      <w:r>
        <w:t xml:space="preserve">前端运算放大器存在输入失调电压、偏置电流与温度漂移等非理想因素；反馈元件参数变化会造成增益的系统性偏差。ADC存在量化误差、参考电压波动与采样噪声。虽然归一化算子能够降低激光功率变化带来的影响，但无法消除光斑漂移、器件温度变化以及机械零点漂移造成的影响。</w:t>
      </w:r>
    </w:p>
    <w:p>
      <w:pPr>
        <w:pStyle w:val="BodyText"/>
      </w:pPr>
      <w:r>
        <w:rPr>
          <w:bCs/>
          <w:b/>
        </w:rPr>
        <w:t xml:space="preserve">环境因素。</w:t>
      </w:r>
      <w:r>
        <w:t xml:space="preserve">外部电磁干扰可通过空间耦合或电源线路进入测量系统；温度变化会改变机械结构与电子元件参数，产生长期漂移。实际实验时需结合硬件屏蔽、机械固定与软件滤波加以抑制。</w:t>
      </w:r>
    </w:p>
    <w:p>
      <w:pPr>
        <w:pStyle w:val="BodyText"/>
      </w:pPr>
      <w:r>
        <w:rPr>
          <w:bCs/>
          <w:b/>
        </w:rPr>
        <w:t xml:space="preserve">系统噪声底（定量）。</w:t>
      </w:r>
      <w:r>
        <w:t xml:space="preserve">以表1参数，系统噪声主要来自四个方面：①悬吊系统的热运动（布朗）噪声，由能量均分</w:t>
      </w:r>
      <w:r>
        <w:t xml:space="preserve"> </w:t>
      </w:r>
      <m:oMath>
        <m:f>
          <m:fPr>
            <m:type m:val="lin"/>
          </m:fPr>
          <m:num>
            <m:r>
              <m:t>1</m:t>
            </m:r>
          </m:num>
          <m:den>
            <m:r>
              <m:t>2</m:t>
            </m:r>
          </m:den>
        </m:f>
        <m:r>
          <m:t>k</m:t>
        </m:r>
        <m:sSubSup>
          <m:e>
            <m:r>
              <m:t>θ</m:t>
            </m:r>
          </m:e>
          <m:sub>
            <m:r>
              <m:t>n</m:t>
            </m:r>
          </m:sub>
          <m:sup>
            <m:r>
              <m:t>2</m:t>
            </m:r>
          </m:sup>
        </m:sSubSup>
        <m:r>
          <m:rPr>
            <m:sty m:val="p"/>
          </m:rPr>
          <m:t>=</m:t>
        </m:r>
        <m:f>
          <m:fPr>
            <m:type m:val="lin"/>
          </m:fPr>
          <m:num>
            <m:r>
              <m:t>1</m:t>
            </m:r>
          </m:num>
          <m:den>
            <m:r>
              <m:t>2</m:t>
            </m:r>
          </m:den>
        </m:f>
        <m:sSub>
          <m:e>
            <m:r>
              <m:t>k</m:t>
            </m:r>
          </m:e>
          <m:sub>
            <m:r>
              <m:t>B</m:t>
            </m:r>
          </m:sub>
        </m:sSub>
        <m:r>
          <m:t>T</m:t>
        </m:r>
      </m:oMath>
      <w:r>
        <w:t xml:space="preserve"> </w:t>
      </w:r>
      <w:r>
        <w:t xml:space="preserve">得</w:t>
      </w:r>
      <w:r>
        <w:t xml:space="preserve"> </w:t>
      </w:r>
      <m:oMath>
        <m:sSub>
          <m:e>
            <m:r>
              <m:t>θ</m:t>
            </m:r>
          </m:e>
          <m:sub>
            <m:r>
              <m:t>n</m:t>
            </m:r>
          </m:sub>
        </m:sSub>
        <m:r>
          <m:rPr>
            <m:sty m:val="p"/>
          </m:rPr>
          <m:t>=</m:t>
        </m:r>
        <m:rad>
          <m:radPr>
            <m:degHide m:val="on"/>
          </m:radPr>
          <m:deg/>
          <m:e>
            <m:sSub>
              <m:e>
                <m:r>
                  <m:t>k</m:t>
                </m:r>
              </m:e>
              <m:sub>
                <m:r>
                  <m:t>B</m:t>
                </m:r>
              </m:sub>
            </m:sSub>
            <m:r>
              <m:t>T</m:t>
            </m:r>
            <m:r>
              <m:rPr>
                <m:sty m:val="p"/>
              </m:rPr>
              <m:t>/</m:t>
            </m:r>
            <m:r>
              <m:t>k</m:t>
            </m:r>
          </m:e>
        </m:rad>
        <m:r>
          <m:rPr>
            <m:sty m:val="p"/>
          </m:rPr>
          <m:t>≈</m:t>
        </m:r>
        <m:r>
          <m:t>6.4</m:t>
        </m:r>
        <m:r>
          <m:rPr>
            <m:sty m:val="p"/>
          </m:rPr>
          <m:t>×</m:t>
        </m:r>
        <m:sSup>
          <m:e>
            <m:r>
              <m:t>10</m:t>
            </m:r>
          </m:e>
          <m:sup>
            <m:r>
              <m:rPr>
                <m:sty m:val="p"/>
              </m:rPr>
              <m:t>−</m:t>
            </m:r>
            <m:r>
              <m:t>8</m:t>
            </m:r>
          </m:sup>
        </m:sSup>
      </m:oMath>
      <w:r>
        <w:t xml:space="preserve"> </w:t>
      </w:r>
      <w:r>
        <w:t xml:space="preserve">rad，折合电流约16 pA（理论下限）；②回路电阻的约翰逊电压噪声约1.3 nV/√Hz，折合电流约13 pA/√Hz；③PSD与读出电路的等效位置噪声，按单次采样位置噪声0.3～1.3 µm估计，折合单次采样电流噪声约0.2 nA；④系统长期漂移（约1 pA/s等效）。图11给出等效电流噪声随平均时间的变化：单次采样噪声约0.2 nA，随平均时间按</w:t>
      </w:r>
      <w:r>
        <w:t xml:space="preserve"> </w:t>
      </w:r>
      <m:oMath>
        <m:r>
          <m:rPr>
            <m:sty m:val="p"/>
          </m:rPr>
          <m:t>∝</m:t>
        </m:r>
        <m:r>
          <m:t>1</m:t>
        </m:r>
        <m:r>
          <m:rPr>
            <m:sty m:val="p"/>
          </m:rPr>
          <m:t>/</m:t>
        </m:r>
        <m:rad>
          <m:radPr>
            <m:degHide m:val="on"/>
          </m:radPr>
          <m:deg/>
          <m:e>
            <m:r>
              <m:t>t</m:t>
            </m:r>
          </m:e>
        </m:rad>
      </m:oMath>
      <w:r>
        <w:t xml:space="preserve"> </w:t>
      </w:r>
      <w:r>
        <w:t xml:space="preserve">下降，在约8 s处达到最优（约13 pA）；继续延长平均则受漂移与热噪声主导，噪声反而回升。因此系统单次检测极限约0.2 nA，经最优平均可降至约13 pA，与经典动圈检流计约4×10⁻¹¹ A的灵敏度处于同一量级 [2]。</w:t>
      </w:r>
    </w:p>
    <w:p>
      <w:pPr>
        <w:pStyle w:val="CaptionedFigure"/>
      </w:pPr>
      <w:r>
        <w:drawing>
          <wp:inline>
            <wp:extent cx="4389120" cy="2793076"/>
            <wp:effectExtent b="0" l="0" r="0" t="0"/>
            <wp:docPr descr="图 11　系统噪声底与探测极限" title="" id="82" name="Picture"/>
            <a:graphic>
              <a:graphicData uri="http://schemas.openxmlformats.org/drawingml/2006/picture">
                <pic:pic>
                  <pic:nvPicPr>
                    <pic:cNvPr descr="media/fig3_噪声与探测极限.png" id="83" name="Picture"/>
                    <pic:cNvPicPr>
                      <a:picLocks noChangeArrowheads="1" noChangeAspect="1"/>
                    </pic:cNvPicPr>
                  </pic:nvPicPr>
                  <pic:blipFill>
                    <a:blip r:embed="rId81"/>
                    <a:stretch>
                      <a:fillRect/>
                    </a:stretch>
                  </pic:blipFill>
                  <pic:spPr bwMode="auto">
                    <a:xfrm>
                      <a:off x="0" y="0"/>
                      <a:ext cx="4389120" cy="2793076"/>
                    </a:xfrm>
                    <a:prstGeom prst="rect">
                      <a:avLst/>
                    </a:prstGeom>
                    <a:noFill/>
                    <a:ln w="9525">
                      <a:noFill/>
                      <a:headEnd/>
                      <a:tailEnd/>
                    </a:ln>
                  </pic:spPr>
                </pic:pic>
              </a:graphicData>
            </a:graphic>
          </wp:inline>
        </w:drawing>
      </w:r>
    </w:p>
    <w:p>
      <w:pPr>
        <w:pStyle w:val="ImageCaption"/>
      </w:pPr>
      <w:r>
        <w:t xml:space="preserve">图 11　系统噪声底与探测极限</w:t>
      </w:r>
    </w:p>
    <w:bookmarkEnd w:id="84"/>
    <w:bookmarkStart w:id="88" w:name="不确定度计算模型"/>
    <w:p>
      <w:pPr>
        <w:pStyle w:val="Heading2"/>
      </w:pPr>
      <w:r>
        <w:t xml:space="preserve">8.2　不确定度计算模型</w:t>
      </w:r>
    </w:p>
    <w:p>
      <w:pPr>
        <w:pStyle w:val="FirstParagraph"/>
      </w:pPr>
      <w:r>
        <w:t xml:space="preserve">为定量评价系统测量结果的可靠性，按GUM方法 [9]（对应国内规范 [10]）建立不确定度评价模型。系统最终输出量由归一化算子经转换模型</w:t>
      </w:r>
      <w:r>
        <w:t xml:space="preserve"> </w:t>
      </w:r>
      <m:oMath>
        <m:r>
          <m:t>I</m:t>
        </m:r>
        <m:r>
          <m:rPr>
            <m:sty m:val="p"/>
          </m:rPr>
          <m:t>=</m:t>
        </m:r>
        <m:sSub>
          <m:e>
            <m:r>
              <m:t>K</m:t>
            </m:r>
          </m:e>
          <m:sub>
            <m:r>
              <m:rPr>
                <m:sty m:val="p"/>
              </m:rPr>
              <m:t>I</m:t>
            </m:r>
            <m:r>
              <m:rPr>
                <m:sty m:val="p"/>
              </m:rPr>
              <m:t>P</m:t>
            </m:r>
          </m:sub>
        </m:sSub>
        <m:r>
          <m:t>P</m:t>
        </m:r>
        <m:r>
          <m:rPr>
            <m:sty m:val="p"/>
          </m:rPr>
          <m:t>+</m:t>
        </m:r>
        <m:r>
          <m:t>b</m:t>
        </m:r>
      </m:oMath>
      <w:r>
        <w:t xml:space="preserve"> </w:t>
      </w:r>
      <w:r>
        <w:t xml:space="preserve">计算得到，测量模型为：</w:t>
      </w:r>
    </w:p>
    <w:p>
      <w:pPr>
        <w:pStyle w:val="BodyText"/>
      </w:pPr>
      <m:oMathPara>
        <m:oMathParaPr>
          <m:jc m:val="center"/>
        </m:oMathParaPr>
        <m:oMath>
          <m:r>
            <m:t>I</m:t>
          </m:r>
          <m:r>
            <m:rPr>
              <m:sty m:val="p"/>
            </m:rPr>
            <m:t>=</m:t>
          </m:r>
          <m:f>
            <m:fPr>
              <m:type m:val="bar"/>
            </m:fPr>
            <m:num>
              <m:r>
                <m:t>k</m:t>
              </m:r>
              <m:r>
                <m:t>L</m:t>
              </m:r>
            </m:num>
            <m:den>
              <m:r>
                <m:t>4</m:t>
              </m:r>
              <m:r>
                <m:t>D</m:t>
              </m:r>
              <m:sSub>
                <m:e>
                  <m:r>
                    <m:t>N</m:t>
                  </m:r>
                </m:e>
                <m:sub>
                  <m:r>
                    <m:t>2</m:t>
                  </m:r>
                </m:sub>
              </m:sSub>
              <m:sSub>
                <m:e>
                  <m:r>
                    <m:t>A</m:t>
                  </m:r>
                </m:e>
                <m:sub>
                  <m:r>
                    <m:t>2</m:t>
                  </m:r>
                </m:sub>
              </m:sSub>
              <m:sSub>
                <m:e>
                  <m:r>
                    <m:t>B</m:t>
                  </m:r>
                </m:e>
                <m:sub>
                  <m:r>
                    <m:rPr>
                      <m:sty m:val="p"/>
                    </m:rPr>
                    <m:t>m</m:t>
                  </m:r>
                  <m:r>
                    <m:rPr>
                      <m:sty m:val="p"/>
                    </m:rPr>
                    <m:t>a</m:t>
                  </m:r>
                  <m:r>
                    <m:rPr>
                      <m:sty m:val="p"/>
                    </m:rPr>
                    <m:t>g</m:t>
                  </m:r>
                </m:sub>
              </m:sSub>
            </m:den>
          </m:f>
          <m:r>
            <m:t> </m:t>
          </m:r>
          <m:r>
            <m:t>P</m:t>
          </m:r>
        </m:oMath>
      </m:oMathPara>
    </w:p>
    <w:p>
      <w:pPr>
        <w:pStyle w:val="FirstParagraph"/>
      </w:pPr>
      <w:r>
        <w:rPr>
          <w:bCs/>
          <w:b/>
        </w:rPr>
        <w:t xml:space="preserve">A类不确定度</w:t>
      </w:r>
      <w:r>
        <w:t xml:space="preserve">描述实验过程中随机因素引起的数据波动，通过对零输入下输出重复测量计算平均值与标准差获得，主要反映空气扰动、机械微振动与电路随机噪声的影响。</w:t>
      </w:r>
    </w:p>
    <w:p>
      <w:pPr>
        <w:pStyle w:val="BodyText"/>
      </w:pPr>
      <w:r>
        <w:rPr>
          <w:bCs/>
          <w:b/>
        </w:rPr>
        <w:t xml:space="preserve">B类不确定度</w:t>
      </w:r>
      <w:r>
        <w:t xml:space="preserve">来源于仪器精度与系统参数标定误差，包括ADC量化、PSD位置分辨率、光杠杆臂长、扭转刚度标定、磁场均匀性、线圈面积与匝数、PSD有效长度、温度漂移与机械零点等分量。各分量按其误差分布（矩形或正态）折算为标准不确定度后合成。</w:t>
      </w:r>
    </w:p>
    <w:p>
      <w:pPr>
        <w:pStyle w:val="BodyText"/>
      </w:pPr>
      <w:r>
        <w:t xml:space="preserve">以</w:t>
      </w:r>
      <w:r>
        <w:t xml:space="preserve"> </w:t>
      </w:r>
      <m:oMath>
        <m:sSub>
          <m:e>
            <m:r>
              <m:t>I</m:t>
            </m:r>
          </m:e>
          <m:sub>
            <m:r>
              <m:rPr>
                <m:sty m:val="p"/>
              </m:rPr>
              <m:t>r</m:t>
            </m:r>
            <m:r>
              <m:rPr>
                <m:sty m:val="p"/>
              </m:rPr>
              <m:t>e</m:t>
            </m:r>
            <m:r>
              <m:rPr>
                <m:sty m:val="p"/>
              </m:rPr>
              <m:t>f</m:t>
            </m:r>
          </m:sub>
        </m:sSub>
        <m:r>
          <m:rPr>
            <m:sty m:val="p"/>
          </m:rPr>
          <m:t>=</m:t>
        </m:r>
        <m:r>
          <m:t>1.0</m:t>
        </m:r>
        <m:r>
          <m:t> </m:t>
        </m:r>
        <m:r>
          <m:t>μ</m:t>
        </m:r>
      </m:oMath>
      <w:r>
        <w:t xml:space="preserve">A 为例，各分量相对标准不确定度及合成结果如表5所示，预算图示于图12。合成标准不确定度</w:t>
      </w:r>
      <w:r>
        <w:t xml:space="preserve"> </w:t>
      </w:r>
      <m:oMath>
        <m:sSub>
          <m:e>
            <m:r>
              <m:t>u</m:t>
            </m:r>
          </m:e>
          <m:sub>
            <m:r>
              <m:t>c</m:t>
            </m:r>
          </m:sub>
        </m:sSub>
        <m:r>
          <m:rPr>
            <m:sty m:val="p"/>
          </m:rPr>
          <m:t>=</m:t>
        </m:r>
        <m:r>
          <m:t>2.65</m:t>
        </m:r>
        <m:r>
          <m:rPr>
            <m:sty m:val="p"/>
          </m:rPr>
          <m:t>%</m:t>
        </m:r>
      </m:oMath>
      <w:r>
        <w:t xml:space="preserve">，取包含因子</w:t>
      </w:r>
      <w:r>
        <w:t xml:space="preserve"> </w:t>
      </w:r>
      <m:oMath>
        <m:r>
          <m:t>k</m:t>
        </m:r>
        <m:r>
          <m:rPr>
            <m:sty m:val="p"/>
          </m:rPr>
          <m:t>=</m:t>
        </m:r>
        <m:r>
          <m:t>2</m:t>
        </m:r>
      </m:oMath>
      <w:r>
        <w:t xml:space="preserve"> </w:t>
      </w:r>
      <w:r>
        <w:t xml:space="preserve">得扩展不确定度</w:t>
      </w:r>
      <w:r>
        <w:t xml:space="preserve"> </w:t>
      </w:r>
      <m:oMath>
        <m:r>
          <m:t>U</m:t>
        </m:r>
        <m:r>
          <m:rPr>
            <m:sty m:val="p"/>
          </m:rPr>
          <m:t>=</m:t>
        </m:r>
        <m:r>
          <m:t>5.29</m:t>
        </m:r>
        <m:r>
          <m:rPr>
            <m:sty m:val="p"/>
          </m:rPr>
          <m:t>%</m:t>
        </m:r>
      </m:oMath>
      <w:r>
        <w:t xml:space="preserve">，即</w:t>
      </w:r>
      <w:r>
        <w:t xml:space="preserve"> </w:t>
      </w:r>
      <m:oMath>
        <m:r>
          <m:t>I</m:t>
        </m:r>
        <m:r>
          <m:rPr>
            <m:sty m:val="p"/>
          </m:rPr>
          <m:t>=</m:t>
        </m:r>
        <m:d>
          <m:dPr>
            <m:begChr m:val="("/>
            <m:endChr m:val=")"/>
            <m:sepChr m:val=""/>
            <m:grow/>
          </m:dPr>
          <m:e>
            <m:r>
              <m:t>1.000</m:t>
            </m:r>
            <m:r>
              <m:rPr>
                <m:sty m:val="p"/>
              </m:rPr>
              <m:t>±</m:t>
            </m:r>
            <m:r>
              <m:t>0.053</m:t>
            </m:r>
          </m:e>
        </m:d>
        <m:r>
          <m:t> </m:t>
        </m:r>
        <m:r>
          <m:t>μ</m:t>
        </m:r>
      </m:oMath>
      <w:r>
        <w:t xml:space="preserve">A。</w:t>
      </w:r>
    </w:p>
    <w:p>
      <w:pPr>
        <w:pStyle w:val="TableCaption"/>
      </w:pPr>
      <w:r>
        <w:t xml:space="preserve">表 5　GUM不确定度预算（仿真，相对值，以 1.0 µA 计）</w:t>
      </w:r>
    </w:p>
    <w:tbl>
      <w:tblPr>
        <w:tblStyle w:val="Table"/>
        <w:tblW w:type="auto" w:w="0"/>
        <w:tblLook w:firstRow="1" w:lastRow="0" w:firstColumn="0" w:lastColumn="0" w:noHBand="0" w:noVBand="0" w:val="0020"/>
        <w:jc w:val="start"/>
        <w:tblCaption w:val="表 5　GUM不确定度预算（仿真，相对值，以 1.0 µA 计）"/>
      </w:tblPr>
      <w:tblGrid>
        <w:gridCol w:w="1980"/>
        <w:gridCol w:w="1980"/>
        <w:gridCol w:w="1980"/>
        <w:gridCol w:w="1980"/>
      </w:tblGrid>
      <w:tr>
        <w:trPr>
          <w:tblHeader w:val="true"/>
        </w:trPr>
        <w:tc>
          <w:tcPr/>
          <w:p>
            <w:pPr>
              <w:pStyle w:val="Compact"/>
              <w:jc w:val="left"/>
            </w:pPr>
            <w:r>
              <w:t xml:space="preserve">分量</w:t>
            </w:r>
          </w:p>
        </w:tc>
        <w:tc>
          <w:tcPr/>
          <w:p>
            <w:pPr>
              <w:pStyle w:val="Compact"/>
              <w:jc w:val="left"/>
            </w:pPr>
            <w:r>
              <w:t xml:space="preserve">分布</w:t>
            </w:r>
          </w:p>
        </w:tc>
        <w:tc>
          <w:tcPr/>
          <w:p>
            <w:pPr>
              <w:pStyle w:val="Compact"/>
              <w:jc w:val="right"/>
            </w:pPr>
            <w:r>
              <w:t xml:space="preserve">半宽或标准值</w:t>
            </w:r>
          </w:p>
        </w:tc>
        <w:tc>
          <w:tcPr/>
          <w:p>
            <w:pPr>
              <w:pStyle w:val="Compact"/>
              <w:jc w:val="right"/>
            </w:pPr>
            <w:r>
              <w:t xml:space="preserve">相对标准不确定度/%</w:t>
            </w:r>
          </w:p>
        </w:tc>
      </w:tr>
      <w:tr>
        <w:tc>
          <w:tcPr/>
          <w:p>
            <w:pPr>
              <w:pStyle w:val="Compact"/>
              <w:jc w:val="left"/>
            </w:pPr>
            <w:r>
              <w:t xml:space="preserve">PSD位置分辨率（0.3 µm）</w:t>
            </w:r>
          </w:p>
        </w:tc>
        <w:tc>
          <w:tcPr/>
          <w:p>
            <w:pPr>
              <w:pStyle w:val="Compact"/>
              <w:jc w:val="left"/>
            </w:pPr>
            <w:r>
              <w:t xml:space="preserve">矩形</w:t>
            </w:r>
          </w:p>
        </w:tc>
        <w:tc>
          <w:tcPr/>
          <w:p>
            <w:pPr>
              <w:pStyle w:val="Compact"/>
              <w:jc w:val="right"/>
            </w:pPr>
            <w:r>
              <w:t xml:space="preserve">0.0001</w:t>
            </w:r>
          </w:p>
        </w:tc>
        <w:tc>
          <w:tcPr/>
          <w:p>
            <w:pPr>
              <w:pStyle w:val="Compact"/>
              <w:jc w:val="right"/>
            </w:pPr>
            <w:r>
              <w:t xml:space="preserve">0.006</w:t>
            </w:r>
          </w:p>
        </w:tc>
      </w:tr>
      <w:tr>
        <w:tc>
          <w:tcPr/>
          <w:p>
            <w:pPr>
              <w:pStyle w:val="Compact"/>
              <w:jc w:val="left"/>
            </w:pPr>
            <w:r>
              <w:t xml:space="preserve">ADC量化（16 bit）</w:t>
            </w:r>
          </w:p>
        </w:tc>
        <w:tc>
          <w:tcPr/>
          <w:p>
            <w:pPr>
              <w:pStyle w:val="Compact"/>
              <w:jc w:val="left"/>
            </w:pPr>
            <w:r>
              <w:t xml:space="preserve">矩形</w:t>
            </w:r>
          </w:p>
        </w:tc>
        <w:tc>
          <w:tcPr/>
          <w:p>
            <w:pPr>
              <w:pStyle w:val="Compact"/>
              <w:jc w:val="right"/>
            </w:pPr>
            <w:r>
              <w:t xml:space="preserve">0.000125</w:t>
            </w:r>
          </w:p>
        </w:tc>
        <w:tc>
          <w:tcPr/>
          <w:p>
            <w:pPr>
              <w:pStyle w:val="Compact"/>
              <w:jc w:val="right"/>
            </w:pPr>
            <w:r>
              <w:t xml:space="preserve">0.007</w:t>
            </w:r>
          </w:p>
        </w:tc>
      </w:tr>
      <w:tr>
        <w:tc>
          <w:tcPr/>
          <w:p>
            <w:pPr>
              <w:pStyle w:val="Compact"/>
              <w:jc w:val="left"/>
            </w:pPr>
            <w:r>
              <w:t xml:space="preserve">光杠杆臂长 D（±1%）</w:t>
            </w:r>
          </w:p>
        </w:tc>
        <w:tc>
          <w:tcPr/>
          <w:p>
            <w:pPr>
              <w:pStyle w:val="Compact"/>
              <w:jc w:val="left"/>
            </w:pPr>
            <w:r>
              <w:t xml:space="preserve">矩形</w:t>
            </w:r>
          </w:p>
        </w:tc>
        <w:tc>
          <w:tcPr/>
          <w:p>
            <w:pPr>
              <w:pStyle w:val="Compact"/>
              <w:jc w:val="right"/>
            </w:pPr>
            <w:r>
              <w:t xml:space="preserve">0.01</w:t>
            </w:r>
          </w:p>
        </w:tc>
        <w:tc>
          <w:tcPr/>
          <w:p>
            <w:pPr>
              <w:pStyle w:val="Compact"/>
              <w:jc w:val="right"/>
            </w:pPr>
            <w:r>
              <w:t xml:space="preserve">0.577</w:t>
            </w:r>
          </w:p>
        </w:tc>
      </w:tr>
      <w:tr>
        <w:tc>
          <w:tcPr/>
          <w:p>
            <w:pPr>
              <w:pStyle w:val="Compact"/>
              <w:jc w:val="left"/>
            </w:pPr>
            <w:r>
              <w:t xml:space="preserve">扭转刚度 k 标定（±2%）</w:t>
            </w:r>
          </w:p>
        </w:tc>
        <w:tc>
          <w:tcPr/>
          <w:p>
            <w:pPr>
              <w:pStyle w:val="Compact"/>
              <w:jc w:val="left"/>
            </w:pPr>
            <w:r>
              <w:t xml:space="preserve">正态</w:t>
            </w:r>
          </w:p>
        </w:tc>
        <w:tc>
          <w:tcPr/>
          <w:p>
            <w:pPr>
              <w:pStyle w:val="Compact"/>
              <w:jc w:val="right"/>
            </w:pPr>
            <w:r>
              <w:t xml:space="preserve">0.02</w:t>
            </w:r>
          </w:p>
        </w:tc>
        <w:tc>
          <w:tcPr/>
          <w:p>
            <w:pPr>
              <w:pStyle w:val="Compact"/>
              <w:jc w:val="right"/>
            </w:pPr>
            <w:r>
              <w:t xml:space="preserve">2.000</w:t>
            </w:r>
          </w:p>
        </w:tc>
      </w:tr>
      <w:tr>
        <w:tc>
          <w:tcPr/>
          <w:p>
            <w:pPr>
              <w:pStyle w:val="Compact"/>
              <w:jc w:val="left"/>
            </w:pPr>
            <w:r>
              <w:t xml:space="preserve">磁感应强度 Bmag 不均匀（±2%）</w:t>
            </w:r>
          </w:p>
        </w:tc>
        <w:tc>
          <w:tcPr/>
          <w:p>
            <w:pPr>
              <w:pStyle w:val="Compact"/>
              <w:jc w:val="left"/>
            </w:pPr>
            <w:r>
              <w:t xml:space="preserve">矩形</w:t>
            </w:r>
          </w:p>
        </w:tc>
        <w:tc>
          <w:tcPr/>
          <w:p>
            <w:pPr>
              <w:pStyle w:val="Compact"/>
              <w:jc w:val="right"/>
            </w:pPr>
            <w:r>
              <w:t xml:space="preserve">0.02</w:t>
            </w:r>
          </w:p>
        </w:tc>
        <w:tc>
          <w:tcPr/>
          <w:p>
            <w:pPr>
              <w:pStyle w:val="Compact"/>
              <w:jc w:val="right"/>
            </w:pPr>
            <w:r>
              <w:t xml:space="preserve">1.155</w:t>
            </w:r>
          </w:p>
        </w:tc>
      </w:tr>
      <w:tr>
        <w:tc>
          <w:tcPr/>
          <w:p>
            <w:pPr>
              <w:pStyle w:val="Compact"/>
              <w:jc w:val="left"/>
            </w:pPr>
            <w:r>
              <w:t xml:space="preserve">偏转线圈面积 A2（±1%）</w:t>
            </w:r>
          </w:p>
        </w:tc>
        <w:tc>
          <w:tcPr/>
          <w:p>
            <w:pPr>
              <w:pStyle w:val="Compact"/>
              <w:jc w:val="left"/>
            </w:pPr>
            <w:r>
              <w:t xml:space="preserve">矩形</w:t>
            </w:r>
          </w:p>
        </w:tc>
        <w:tc>
          <w:tcPr/>
          <w:p>
            <w:pPr>
              <w:pStyle w:val="Compact"/>
              <w:jc w:val="right"/>
            </w:pPr>
            <w:r>
              <w:t xml:space="preserve">0.01</w:t>
            </w:r>
          </w:p>
        </w:tc>
        <w:tc>
          <w:tcPr/>
          <w:p>
            <w:pPr>
              <w:pStyle w:val="Compact"/>
              <w:jc w:val="right"/>
            </w:pPr>
            <w:r>
              <w:t xml:space="preserve">0.577</w:t>
            </w:r>
          </w:p>
        </w:tc>
      </w:tr>
      <w:tr>
        <w:tc>
          <w:tcPr/>
          <w:p>
            <w:pPr>
              <w:pStyle w:val="Compact"/>
              <w:jc w:val="left"/>
            </w:pPr>
            <w:r>
              <w:t xml:space="preserve">偏转线圈匝数 N2（±0.5%）</w:t>
            </w:r>
          </w:p>
        </w:tc>
        <w:tc>
          <w:tcPr/>
          <w:p>
            <w:pPr>
              <w:pStyle w:val="Compact"/>
              <w:jc w:val="left"/>
            </w:pPr>
            <w:r>
              <w:t xml:space="preserve">矩形</w:t>
            </w:r>
          </w:p>
        </w:tc>
        <w:tc>
          <w:tcPr/>
          <w:p>
            <w:pPr>
              <w:pStyle w:val="Compact"/>
              <w:jc w:val="right"/>
            </w:pPr>
            <w:r>
              <w:t xml:space="preserve">0.005</w:t>
            </w:r>
          </w:p>
        </w:tc>
        <w:tc>
          <w:tcPr/>
          <w:p>
            <w:pPr>
              <w:pStyle w:val="Compact"/>
              <w:jc w:val="right"/>
            </w:pPr>
            <w:r>
              <w:t xml:space="preserve">0.289</w:t>
            </w:r>
          </w:p>
        </w:tc>
      </w:tr>
      <w:tr>
        <w:tc>
          <w:tcPr/>
          <w:p>
            <w:pPr>
              <w:pStyle w:val="Compact"/>
              <w:jc w:val="left"/>
            </w:pPr>
            <w:r>
              <w:t xml:space="preserve">PSD有效长度 L（±1%）</w:t>
            </w:r>
          </w:p>
        </w:tc>
        <w:tc>
          <w:tcPr/>
          <w:p>
            <w:pPr>
              <w:pStyle w:val="Compact"/>
              <w:jc w:val="left"/>
            </w:pPr>
            <w:r>
              <w:t xml:space="preserve">矩形</w:t>
            </w:r>
          </w:p>
        </w:tc>
        <w:tc>
          <w:tcPr/>
          <w:p>
            <w:pPr>
              <w:pStyle w:val="Compact"/>
              <w:jc w:val="right"/>
            </w:pPr>
            <w:r>
              <w:t xml:space="preserve">0.01</w:t>
            </w:r>
          </w:p>
        </w:tc>
        <w:tc>
          <w:tcPr/>
          <w:p>
            <w:pPr>
              <w:pStyle w:val="Compact"/>
              <w:jc w:val="right"/>
            </w:pPr>
            <w:r>
              <w:t xml:space="preserve">0.577</w:t>
            </w:r>
          </w:p>
        </w:tc>
      </w:tr>
      <w:tr>
        <w:tc>
          <w:tcPr/>
          <w:p>
            <w:pPr>
              <w:pStyle w:val="Compact"/>
              <w:jc w:val="left"/>
            </w:pPr>
            <w:r>
              <w:t xml:space="preserve">温度漂移/机械零点（±1%）</w:t>
            </w:r>
          </w:p>
        </w:tc>
        <w:tc>
          <w:tcPr/>
          <w:p>
            <w:pPr>
              <w:pStyle w:val="Compact"/>
              <w:jc w:val="left"/>
            </w:pPr>
            <w:r>
              <w:t xml:space="preserve">矩形</w:t>
            </w:r>
          </w:p>
        </w:tc>
        <w:tc>
          <w:tcPr/>
          <w:p>
            <w:pPr>
              <w:pStyle w:val="Compact"/>
              <w:jc w:val="right"/>
            </w:pPr>
            <w:r>
              <w:t xml:space="preserve">0.01</w:t>
            </w:r>
          </w:p>
        </w:tc>
        <w:tc>
          <w:tcPr/>
          <w:p>
            <w:pPr>
              <w:pStyle w:val="Compact"/>
              <w:jc w:val="right"/>
            </w:pPr>
            <w:r>
              <w:t xml:space="preserve">0.577</w:t>
            </w:r>
          </w:p>
        </w:tc>
      </w:tr>
      <w:tr>
        <w:tc>
          <w:tcPr/>
          <w:p>
            <w:pPr>
              <w:pStyle w:val="Compact"/>
              <w:jc w:val="left"/>
            </w:pPr>
            <w:r>
              <w:t xml:space="preserve">A类重复性（标定残差）</w:t>
            </w:r>
          </w:p>
        </w:tc>
        <w:tc>
          <w:tcPr/>
          <w:p>
            <w:pPr>
              <w:pStyle w:val="Compact"/>
              <w:jc w:val="left"/>
            </w:pPr>
            <w:r>
              <w:t xml:space="preserve">正态</w:t>
            </w:r>
          </w:p>
        </w:tc>
        <w:tc>
          <w:tcPr/>
          <w:p>
            <w:pPr>
              <w:pStyle w:val="Compact"/>
              <w:jc w:val="right"/>
            </w:pPr>
            <w:r>
              <w:t xml:space="preserve">0.005</w:t>
            </w:r>
          </w:p>
        </w:tc>
        <w:tc>
          <w:tcPr/>
          <w:p>
            <w:pPr>
              <w:pStyle w:val="Compact"/>
              <w:jc w:val="right"/>
            </w:pPr>
            <w:r>
              <w:t xml:space="preserve">0.500</w:t>
            </w:r>
          </w:p>
        </w:tc>
      </w:tr>
      <w:tr>
        <w:tc>
          <w:tcPr/>
          <w:p>
            <w:pPr>
              <w:pStyle w:val="Compact"/>
              <w:jc w:val="left"/>
            </w:pPr>
            <w:r>
              <w:rPr>
                <w:bCs/>
                <w:b/>
              </w:rPr>
              <w:t xml:space="preserve">合成标准不确定度 u_c</w:t>
            </w:r>
          </w:p>
        </w:tc>
        <w:tc>
          <w:tcPr/>
          <w:p>
            <w:pPr>
              <w:pStyle w:val="Compact"/>
            </w:pPr>
          </w:p>
        </w:tc>
        <w:tc>
          <w:tcPr/>
          <w:p>
            <w:pPr>
              <w:pStyle w:val="Compact"/>
            </w:pPr>
          </w:p>
        </w:tc>
        <w:tc>
          <w:tcPr/>
          <w:p>
            <w:pPr>
              <w:pStyle w:val="Compact"/>
              <w:jc w:val="right"/>
            </w:pPr>
            <w:r>
              <w:rPr>
                <w:bCs/>
                <w:b/>
              </w:rPr>
              <w:t xml:space="preserve">2.65</w:t>
            </w:r>
          </w:p>
        </w:tc>
      </w:tr>
      <w:tr>
        <w:tc>
          <w:tcPr/>
          <w:p>
            <w:pPr>
              <w:pStyle w:val="Compact"/>
              <w:jc w:val="left"/>
            </w:pPr>
            <w:r>
              <w:rPr>
                <w:bCs/>
                <w:b/>
              </w:rPr>
              <w:t xml:space="preserve">扩展不确定度 U（k=2）</w:t>
            </w:r>
          </w:p>
        </w:tc>
        <w:tc>
          <w:tcPr/>
          <w:p>
            <w:pPr>
              <w:pStyle w:val="Compact"/>
            </w:pPr>
          </w:p>
        </w:tc>
        <w:tc>
          <w:tcPr/>
          <w:p>
            <w:pPr>
              <w:pStyle w:val="Compact"/>
            </w:pPr>
          </w:p>
        </w:tc>
        <w:tc>
          <w:tcPr/>
          <w:p>
            <w:pPr>
              <w:pStyle w:val="Compact"/>
              <w:jc w:val="right"/>
            </w:pPr>
            <w:r>
              <w:rPr>
                <w:bCs/>
                <w:b/>
              </w:rPr>
              <w:t xml:space="preserve">5.29</w:t>
            </w:r>
          </w:p>
        </w:tc>
      </w:tr>
    </w:tbl>
    <w:p>
      <w:pPr>
        <w:pStyle w:val="CaptionedFigure"/>
      </w:pPr>
      <w:r>
        <w:drawing>
          <wp:inline>
            <wp:extent cx="4389120" cy="2969110"/>
            <wp:effectExtent b="0" l="0" r="0" t="0"/>
            <wp:docPr descr="图 12　不确定度预算" title="" id="86" name="Picture"/>
            <a:graphic>
              <a:graphicData uri="http://schemas.openxmlformats.org/drawingml/2006/picture">
                <pic:pic>
                  <pic:nvPicPr>
                    <pic:cNvPr descr="media/fig5_不确定度预算.png" id="87" name="Picture"/>
                    <pic:cNvPicPr>
                      <a:picLocks noChangeArrowheads="1" noChangeAspect="1"/>
                    </pic:cNvPicPr>
                  </pic:nvPicPr>
                  <pic:blipFill>
                    <a:blip r:embed="rId85"/>
                    <a:stretch>
                      <a:fillRect/>
                    </a:stretch>
                  </pic:blipFill>
                  <pic:spPr bwMode="auto">
                    <a:xfrm>
                      <a:off x="0" y="0"/>
                      <a:ext cx="4389120" cy="2969110"/>
                    </a:xfrm>
                    <a:prstGeom prst="rect">
                      <a:avLst/>
                    </a:prstGeom>
                    <a:noFill/>
                    <a:ln w="9525">
                      <a:noFill/>
                      <a:headEnd/>
                      <a:tailEnd/>
                    </a:ln>
                  </pic:spPr>
                </pic:pic>
              </a:graphicData>
            </a:graphic>
          </wp:inline>
        </w:drawing>
      </w:r>
    </w:p>
    <w:p>
      <w:pPr>
        <w:pStyle w:val="ImageCaption"/>
      </w:pPr>
      <w:r>
        <w:t xml:space="preserve">图 12　不确定度预算</w:t>
      </w:r>
    </w:p>
    <w:p>
      <w:pPr>
        <w:pStyle w:val="BodyText"/>
      </w:pPr>
      <w:r>
        <w:t xml:space="preserve">由预算表可见，主导分量是悬线扭转刚度标定误差（±2%）与偏转区磁场不均匀性（±2%），两者合计贡献了绝大部分不确定度。这提示实验阶段应优先采用更精确的扭转刚度标定方法（如砝码—镜尺法）并改善偏转区磁场均匀性。</w:t>
      </w:r>
    </w:p>
    <w:bookmarkEnd w:id="88"/>
    <w:bookmarkStart w:id="89" w:name="测量精度提升策略"/>
    <w:p>
      <w:pPr>
        <w:pStyle w:val="Heading2"/>
      </w:pPr>
      <w:r>
        <w:t xml:space="preserve">8.3　测量精度提升策略</w:t>
      </w:r>
    </w:p>
    <w:p>
      <w:pPr>
        <w:pStyle w:val="FirstParagraph"/>
      </w:pPr>
      <w:r>
        <w:t xml:space="preserve">针对上述主要误差来源，可从硬件结构、软件算法与实验流程三方面优化。</w:t>
      </w:r>
    </w:p>
    <w:p>
      <w:pPr>
        <w:pStyle w:val="BodyText"/>
      </w:pPr>
      <w:r>
        <w:t xml:space="preserve">在硬件方面，应进一步提高机械结构稳定性，通过增加防风结构、优化支撑方式以及提高光学安装精度，减少空气扰动和机械振动对悬吊系统的影响；优化永磁体与线圈相对位置，使偏转区域磁场更加均匀，提高电流与机械响应之间的线性关系；缩短模拟信号传输路径并加强屏蔽，降低外部电磁干扰。在电子部分，可采用更低噪声的运放与更稳定的参考源，降低前端噪声与温漂。</w:t>
      </w:r>
    </w:p>
    <w:p>
      <w:pPr>
        <w:pStyle w:val="BodyText"/>
      </w:pPr>
      <w:r>
        <w:t xml:space="preserve">在软件方面，通过滑动平均、异常值剔除与平滑滤波降低随机噪声影响；根据机械响应特性合理选择采样参数，避免采样频率与机械响应频率失配造成的数据波动。对于周期信号，可进一步引入锁相放大（相敏检测）等数字信号处理方法，在窄带内提取信号幅值与相位 [1]。</w:t>
      </w:r>
    </w:p>
    <w:p>
      <w:pPr>
        <w:pStyle w:val="BodyText"/>
      </w:pPr>
      <w:r>
        <w:t xml:space="preserve">在系统运行过程中，建立规范化校准流程：实验开始前完成光路调整与零点校准，长时间测量中定期检查系统基准状态，以减少温度变化、器件老化及环境变化造成的长期漂移。通过上述优化，可进一步提高系统测量精度与长期稳定性。</w:t>
      </w:r>
    </w:p>
    <w:bookmarkEnd w:id="89"/>
    <w:bookmarkEnd w:id="90"/>
    <w:bookmarkStart w:id="103" w:name="应用案例与效果分析"/>
    <w:p>
      <w:pPr>
        <w:pStyle w:val="Heading1"/>
      </w:pPr>
      <w:r>
        <w:t xml:space="preserve">9　应用案例与效果分析</w:t>
      </w:r>
    </w:p>
    <w:p>
      <w:pPr>
        <w:pStyle w:val="FirstParagraph"/>
      </w:pPr>
      <w:r>
        <w:t xml:space="preserve">本系统主要面向微弱电信号的检测与量化分析，其核心优势在于将难以直接测量的微小电信号转换为可观测的机械偏转和光学信号。本章结合典型物理实验场景，对系统在微弱光电流检测以及弱信号测量中的应用方式进行分析，并给出全链路仿真的量化效果。</w:t>
      </w:r>
    </w:p>
    <w:bookmarkStart w:id="93" w:name="光电效应实验"/>
    <w:p>
      <w:pPr>
        <w:pStyle w:val="Heading2"/>
      </w:pPr>
      <w:r>
        <w:t xml:space="preserve">9.1　光电效应实验</w:t>
      </w:r>
    </w:p>
    <w:bookmarkStart w:id="91" w:name="实验设置"/>
    <w:p>
      <w:pPr>
        <w:pStyle w:val="Heading3"/>
      </w:pPr>
      <w:r>
        <w:t xml:space="preserve">9.1.1　实验设置</w:t>
      </w:r>
    </w:p>
    <w:p>
      <w:pPr>
        <w:pStyle w:val="FirstParagraph"/>
      </w:pPr>
      <w:r>
        <w:t xml:space="preserve">光电效应实验中，光电管产生的光电流通常处于微弱电流范围，传统实验装置多采用灵敏电流计进行检测。本系统利用悬线式磁电转换结构替代传统指针式检测方式，将光电转换产生的微弱电流转化为可观测的光斑位置，实现对光电流变化的数字化测量。</w:t>
      </w:r>
    </w:p>
    <w:p>
      <w:pPr>
        <w:pStyle w:val="BodyText"/>
      </w:pPr>
      <w:r>
        <w:t xml:space="preserve">实验过程中，将光电管输出端连接至系统输入端，使产生的微弱光电流流经接收与偏转结构。在恒定磁场作用下，电流产生的安培力驱动偏转线圈发生微小转动，并带动反射镜改变激光传播方向。经过光杠杆放大后，激光光斑在PSD表面产生对应位移。数据处理模块采集PSD输出信号，并根据系统标定得到的转换关系计算对应光电流大小。</w:t>
      </w:r>
    </w:p>
    <w:p>
      <w:pPr>
        <w:pStyle w:val="BodyText"/>
      </w:pPr>
      <w:r>
        <w:t xml:space="preserve">实验保持入射光频率不变，通过改变入射光强度，记录不同光强条件下系统输出的光斑位置变化，并进一步计算对应电流值。通过分析输入光强与输出光电流之间的关系，可以验证光电效应中光电流随光强变化的规律。</w:t>
      </w:r>
    </w:p>
    <w:bookmarkEnd w:id="91"/>
    <w:bookmarkStart w:id="92" w:name="实验结果分析"/>
    <w:p>
      <w:pPr>
        <w:pStyle w:val="Heading3"/>
      </w:pPr>
      <w:r>
        <w:t xml:space="preserve">9.1.2　实验结果分析</w:t>
      </w:r>
    </w:p>
    <w:p>
      <w:pPr>
        <w:pStyle w:val="FirstParagraph"/>
      </w:pPr>
      <w:r>
        <w:t xml:space="preserve">通过该实验，可以验证系统对于微弱电流变化的响应能力。当输入信号发生变化时，偏转结构能够产生对应机械响应，PSD输出的位置变化与输入电流保持一定对应关系，说明系统能够完成从微弱电信号到数字测量结果的转换。</w:t>
      </w:r>
    </w:p>
    <w:p>
      <w:pPr>
        <w:pStyle w:val="BodyText"/>
      </w:pPr>
      <w:r>
        <w:t xml:space="preserve">相比传统机械指针式检测方式，本系统利用光杠杆结构提高了微小位移的可观测性，并结合数字采集方式实现了测量结果的实时读取，为经典物理实验提供了一种数字化改进方案。</w:t>
      </w:r>
    </w:p>
    <w:bookmarkEnd w:id="92"/>
    <w:bookmarkEnd w:id="93"/>
    <w:bookmarkStart w:id="99" w:name="微弱光电信号检测"/>
    <w:p>
      <w:pPr>
        <w:pStyle w:val="Heading2"/>
      </w:pPr>
      <w:r>
        <w:t xml:space="preserve">9.2　微弱光电信号检测</w:t>
      </w:r>
    </w:p>
    <w:bookmarkStart w:id="97" w:name="探测能力测试"/>
    <w:p>
      <w:pPr>
        <w:pStyle w:val="Heading3"/>
      </w:pPr>
      <w:r>
        <w:t xml:space="preserve">9.2.1　探测能力测试</w:t>
      </w:r>
    </w:p>
    <w:p>
      <w:pPr>
        <w:pStyle w:val="FirstParagraph"/>
      </w:pPr>
      <w:r>
        <w:t xml:space="preserve">为验证系统对微弱信号的检测能力，可通过改变输入信号强度测试系统响应范围。实验中采用可调节光源产生不同强度的光信号，经光电转换后形成不同大小的微弱电流输入系统。</w:t>
      </w:r>
    </w:p>
    <w:p>
      <w:pPr>
        <w:pStyle w:val="BodyText"/>
      </w:pPr>
      <w:r>
        <w:t xml:space="preserve">测试过程中保持机械结构、磁场环境以及电路参数不变，逐步降低输入信号强度，并记录不同条件下PSD输出的位置变化。当信号减弱至一定程度后，输出变化将逐渐接近系统噪声范围，此时可根据输出波动情况确定系统当前条件下的有效检测能力。</w:t>
      </w:r>
    </w:p>
    <w:p>
      <w:pPr>
        <w:pStyle w:val="BodyText"/>
      </w:pPr>
      <w:r>
        <w:t xml:space="preserve">基于表1参数的全链路时域仿真（输入20 µT、0.1 Hz）如图13所示：系统由含噪声的PSD输出反推出的电流幅值为0.65 nA（设定0.63 nA），估计场强20.85 µT（设定20 µT），估计频率0.100 Hz（设定0.1 Hz），与真值吻合良好。这一结果说明，对于高于噪声底的微弱信号，系统能够完整恢复其幅值、频率与场强信息。</w:t>
      </w:r>
    </w:p>
    <w:p>
      <w:pPr>
        <w:pStyle w:val="CaptionedFigure"/>
      </w:pPr>
      <w:r>
        <w:drawing>
          <wp:inline>
            <wp:extent cx="4389120" cy="4632960"/>
            <wp:effectExtent b="0" l="0" r="0" t="0"/>
            <wp:docPr descr="图 13　全链路时域仿真（20 µT @ 0.1 Hz 输入）" title="" id="95" name="Picture"/>
            <a:graphic>
              <a:graphicData uri="http://schemas.openxmlformats.org/drawingml/2006/picture">
                <pic:pic>
                  <pic:nvPicPr>
                    <pic:cNvPr descr="media/fig4_全链路时域仿真.png" id="96" name="Picture"/>
                    <pic:cNvPicPr>
                      <a:picLocks noChangeArrowheads="1" noChangeAspect="1"/>
                    </pic:cNvPicPr>
                  </pic:nvPicPr>
                  <pic:blipFill>
                    <a:blip r:embed="rId94"/>
                    <a:stretch>
                      <a:fillRect/>
                    </a:stretch>
                  </pic:blipFill>
                  <pic:spPr bwMode="auto">
                    <a:xfrm>
                      <a:off x="0" y="0"/>
                      <a:ext cx="4389120" cy="4632960"/>
                    </a:xfrm>
                    <a:prstGeom prst="rect">
                      <a:avLst/>
                    </a:prstGeom>
                    <a:noFill/>
                    <a:ln w="9525">
                      <a:noFill/>
                      <a:headEnd/>
                      <a:tailEnd/>
                    </a:ln>
                  </pic:spPr>
                </pic:pic>
              </a:graphicData>
            </a:graphic>
          </wp:inline>
        </w:drawing>
      </w:r>
    </w:p>
    <w:p>
      <w:pPr>
        <w:pStyle w:val="ImageCaption"/>
      </w:pPr>
      <w:r>
        <w:t xml:space="preserve">图 13　全链路时域仿真（20 µT @ 0.1 Hz 输入）</w:t>
      </w:r>
    </w:p>
    <w:bookmarkEnd w:id="97"/>
    <w:bookmarkStart w:id="98" w:name="弱信号检测应用分析"/>
    <w:p>
      <w:pPr>
        <w:pStyle w:val="Heading3"/>
      </w:pPr>
      <w:r>
        <w:t xml:space="preserve">9.2.2　弱信号检测应用分析</w:t>
      </w:r>
    </w:p>
    <w:p>
      <w:pPr>
        <w:pStyle w:val="FirstParagraph"/>
      </w:pPr>
      <w:r>
        <w:t xml:space="preserve">除实验室标准信号外，该系统还具备对场微弱电信号进行探测的潜力。外部变化电磁场作用于接收线圈后，会在线圈中产生微弱感应电流，并通过后续磁电转换和光学检测过程实现间接测量。</w:t>
      </w:r>
    </w:p>
    <w:p>
      <w:pPr>
        <w:pStyle w:val="BodyText"/>
      </w:pPr>
      <w:r>
        <w:t xml:space="preserve">由于系统采用空间电磁感应方式进行信号获取，因此可以用于研究不同环境条件下的弱电磁变化现象。例如，在教学实验中，可用于观察不同信号源距离、频率以及强度对检测结果的影响；在基础研究中，可作为低频弱信号探测方法的一种验证平台。</w:t>
      </w:r>
    </w:p>
    <w:p>
      <w:pPr>
        <w:pStyle w:val="BodyText"/>
      </w:pPr>
      <w:r>
        <w:t xml:space="preserve">需要指出的是，实际环境中的微弱电信号来源复杂，容易受到环境噪声、空间干扰以及设备自身漂移影响，因此该系统更适合作为受控条件下的微弱信号检测实验平台。</w:t>
      </w:r>
    </w:p>
    <w:bookmarkEnd w:id="98"/>
    <w:bookmarkEnd w:id="99"/>
    <w:bookmarkStart w:id="102" w:name="材料光电特性测试"/>
    <w:p>
      <w:pPr>
        <w:pStyle w:val="Heading2"/>
      </w:pPr>
      <w:r>
        <w:t xml:space="preserve">9.3　材料光电特性测试</w:t>
      </w:r>
    </w:p>
    <w:bookmarkStart w:id="100" w:name="测试方法"/>
    <w:p>
      <w:pPr>
        <w:pStyle w:val="Heading3"/>
      </w:pPr>
      <w:r>
        <w:t xml:space="preserve">9.3.1　测试方法</w:t>
      </w:r>
    </w:p>
    <w:p>
      <w:pPr>
        <w:pStyle w:val="FirstParagraph"/>
      </w:pPr>
      <w:r>
        <w:t xml:space="preserve">基于系统对微弱光电流的检测能力，可进一步用于不同光电材料响应特性的比较研究。实验中，将待测光电材料置于稳定光源下，使其产生光生电流，并将输出信号接入测量系统。</w:t>
      </w:r>
    </w:p>
    <w:p>
      <w:pPr>
        <w:pStyle w:val="BodyText"/>
      </w:pPr>
      <w:r>
        <w:t xml:space="preserve">测试过程中保持光源条件、机械结构参数以及数据采集参数不变，仅改变待测材料种类。不同材料由于光吸收能力、载流子产生效率以及电学性质存在差异，会产生不同大小的光电响应信号。系统通过检测对应光斑位置变化，实现对不同材料输出电流的定量比较。</w:t>
      </w:r>
    </w:p>
    <w:p>
      <w:pPr>
        <w:pStyle w:val="BodyText"/>
      </w:pPr>
      <w:r>
        <w:t xml:space="preserve">通过记录不同材料在相同条件下的输出信号，可以分析其响应强度、稳定性以及响应变化规律，为基础光电性能研究提供实验手段。</w:t>
      </w:r>
    </w:p>
    <w:bookmarkEnd w:id="100"/>
    <w:bookmarkStart w:id="101" w:name="应用价值"/>
    <w:p>
      <w:pPr>
        <w:pStyle w:val="Heading3"/>
      </w:pPr>
      <w:r>
        <w:t xml:space="preserve">9.3.2　应用价值</w:t>
      </w:r>
    </w:p>
    <w:p>
      <w:pPr>
        <w:pStyle w:val="FirstParagraph"/>
      </w:pPr>
      <w:r>
        <w:t xml:space="preserve">作为一种基于物理放大的微弱信号检测装置，本系统将传统物理实验中的机械测量方法与现代数字采集技术结合，实现了从微弱信号产生、转换到数字分析的完整过程。</w:t>
      </w:r>
    </w:p>
    <w:p>
      <w:pPr>
        <w:pStyle w:val="BodyText"/>
      </w:pPr>
      <w:r>
        <w:t xml:space="preserve">相比高精度商业检测设备，该系统具有结构简单、成本较低以及原理透明等特点，更适合作为高校物理实验教学、创新实验以及基础研究中的辅助测量平台。未来经过结构优化和电路升级后，可进一步拓展至低照度光检测、弱电磁环境分析以及新型光电材料性能测试等方向。</w:t>
      </w:r>
    </w:p>
    <w:bookmarkEnd w:id="101"/>
    <w:bookmarkEnd w:id="102"/>
    <w:bookmarkEnd w:id="103"/>
    <w:bookmarkStart w:id="107" w:name="系统局限性讨论"/>
    <w:p>
      <w:pPr>
        <w:pStyle w:val="Heading1"/>
      </w:pPr>
      <w:r>
        <w:t xml:space="preserve">10　系统局限性讨论</w:t>
      </w:r>
    </w:p>
    <w:p>
      <w:pPr>
        <w:pStyle w:val="FirstParagraph"/>
      </w:pPr>
      <w:r>
        <w:t xml:space="preserve">虽然本系统通过电磁感应、磁电转换、光学放大以及数字化处理等多级转换方式，实现了对微弱电信号的检测与量化，但由于测量原理本身涉及机械运动、光学传播以及模拟信号处理等多个环节，系统性能仍受到结构特性、工作环境以及硬件条件的限制。本章从性能、应用环境以及技术实现三个方面对系统存在的局限性进行分析，并提出后续优化方向。</w:t>
      </w:r>
    </w:p>
    <w:bookmarkStart w:id="104" w:name="性能局限性"/>
    <w:p>
      <w:pPr>
        <w:pStyle w:val="Heading2"/>
      </w:pPr>
      <w:r>
        <w:t xml:space="preserve">10.1　性能局限性</w:t>
      </w:r>
    </w:p>
    <w:p>
      <w:pPr>
        <w:pStyle w:val="FirstParagraph"/>
      </w:pPr>
      <w:r>
        <w:t xml:space="preserve">系统的测量性能主要受到机械偏转结构和信号转换链路的限制。由于本系统利用悬吊式线圈在磁场中的微小转动实现信号放大，需要通过降低机械结构刚度提高灵敏度。然而，较低的扭转刚度（</w:t>
      </w:r>
      <m:oMath>
        <m:r>
          <m:t>k</m:t>
        </m:r>
        <m:r>
          <m:rPr>
            <m:sty m:val="p"/>
          </m:rPr>
          <m:t>=</m:t>
        </m:r>
        <m:sSup>
          <m:e>
            <m:r>
              <m:t>10</m:t>
            </m:r>
          </m:e>
          <m:sup>
            <m:r>
              <m:rPr>
                <m:sty m:val="p"/>
              </m:rPr>
              <m:t>−</m:t>
            </m:r>
            <m:r>
              <m:t>6</m:t>
            </m:r>
          </m:sup>
        </m:sSup>
      </m:oMath>
      <w:r>
        <w:t xml:space="preserve"> </w:t>
      </w:r>
      <w:r>
        <w:t xml:space="preserve">N·m/rad量级）会导致系统响应速度降低（固有频率仅约0.5 Hz），同时增加外界振动、气流扰动等因素对测量结果的影响。因此，系统在提高微弱信号检测能力的同时，也会牺牲部分动态响应范围，工作频带被限制在约0.1 Hz以内。</w:t>
      </w:r>
    </w:p>
    <w:p>
      <w:pPr>
        <w:pStyle w:val="BodyText"/>
      </w:pPr>
      <w:r>
        <w:t xml:space="preserve">此外，机械偏转结构具有一定的有效转角范围。当输入信号过大时，偏转线圈产生较大角度变化，可能导致光斑超出PSD有效检测区域，使输出产生非线性甚至饱和现象（满量程电流约1 µA，对应PSD边缘</w:t>
      </w:r>
      <w:r>
        <w:t xml:space="preserve"> </w:t>
      </w:r>
      <m:oMath>
        <m:d>
          <m:dPr>
            <m:begChr m:val="|"/>
            <m:endChr m:val="|"/>
            <m:sepChr m:val=""/>
            <m:grow/>
          </m:dPr>
          <m:e>
            <m:r>
              <m:t>P</m:t>
            </m:r>
          </m:e>
        </m:d>
        <m:r>
          <m:rPr>
            <m:sty m:val="p"/>
          </m:rPr>
          <m:t>=</m:t>
        </m:r>
        <m:r>
          <m:t>0.8</m:t>
        </m:r>
      </m:oMath>
      <w:r>
        <w:t xml:space="preserve">）。因此，当前系统更适用于微弱信号检测，而不适合大范围、高动态变化信号的测量。</w:t>
      </w:r>
    </w:p>
    <w:bookmarkEnd w:id="104"/>
    <w:bookmarkStart w:id="105" w:name="应用环境局限性"/>
    <w:p>
      <w:pPr>
        <w:pStyle w:val="Heading2"/>
      </w:pPr>
      <w:r>
        <w:t xml:space="preserve">10.2　应用环境局限性</w:t>
      </w:r>
    </w:p>
    <w:p>
      <w:pPr>
        <w:pStyle w:val="FirstParagraph"/>
      </w:pPr>
      <w:r>
        <w:t xml:space="preserve">微弱信号测量对环境稳定性具有较高要求。虽然系统通过外部金属屏蔽结构降低了空间电磁干扰，并对数据处理电路进行了独立隔离，但实际环境中仍存在大量不可避免的影响因素。例如，空气流动会对悬吊线圈产生微小扰动，实验平台振动会通过机械支撑结构传递至偏转系统，环境温度变化也可能引起悬线弹性参数以及电子器件参数变化。</w:t>
      </w:r>
    </w:p>
    <w:p>
      <w:pPr>
        <w:pStyle w:val="BodyText"/>
      </w:pPr>
      <w:r>
        <w:t xml:space="preserve">同时，光杠杆检测结构虽然能够显著放大微小角位移，但其测量精度依赖于激光、反射镜以及PSD之间的相对位置关系。实验开始前需要进行光路调整，使光斑处于PSD有效线性区域；若装置受到移动或重新安装，光路可能发生偏移，需要重新校准。</w:t>
      </w:r>
    </w:p>
    <w:p>
      <w:pPr>
        <w:pStyle w:val="BodyText"/>
      </w:pPr>
      <w:r>
        <w:t xml:space="preserve">因此，目前系统更适用于实验室或受控环境下的精密测量，而在复杂户外环境、移动平台以及长期无人值守场景中的应用仍需要进一步优化。</w:t>
      </w:r>
    </w:p>
    <w:bookmarkEnd w:id="105"/>
    <w:bookmarkStart w:id="106" w:name="技术局限性"/>
    <w:p>
      <w:pPr>
        <w:pStyle w:val="Heading2"/>
      </w:pPr>
      <w:r>
        <w:t xml:space="preserve">10.3　技术局限性</w:t>
      </w:r>
    </w:p>
    <w:p>
      <w:pPr>
        <w:pStyle w:val="FirstParagraph"/>
      </w:pPr>
      <w:r>
        <w:t xml:space="preserve">从电子系统角度来看，当前数据采集与处理能力仍存在提升空间。系统采用嵌入式控制单元完成数据采集、算法计算以及结果显示，能够满足当前实验需求，但其计算资源和通信速度有限。当进一步提高采样速率、增加复杂数字滤波算法或进行实时频谱分析时，处理性能可能成为限制因素；可考虑以更高性能的嵌入式平台实现数字锁相放大等先进算法 [1][11]。</w:t>
      </w:r>
    </w:p>
    <w:p>
      <w:pPr>
        <w:pStyle w:val="BodyText"/>
      </w:pPr>
      <w:r>
        <w:t xml:space="preserve">此外，前端模拟电路虽然采用低噪声放大方案，但微弱信号测量仍不可避免受到元器件本身噪声影响。例如，运算放大器输入噪声、反馈元件温漂以及ADC量化误差都会对最终测量结果产生影响。当系统进一步向更低电流范围扩展时，需要采用更低噪声器件、更稳定的参考源以及更加完善的温度补偿措施。</w:t>
      </w:r>
    </w:p>
    <w:p>
      <w:pPr>
        <w:pStyle w:val="BodyText"/>
      </w:pPr>
      <w:r>
        <w:t xml:space="preserve">综上，本系统目前实现了微弱电信号由空间感知到数字输出的完整转换流程，但其性能仍受到机械结构、环境稳定性以及电子器件水平的共同限制。后续优化应围绕提高机械稳定性、增强信号处理能力以及提升系统自动化程度展开，使其由实验验证装置逐步向更加稳定、可靠的微弱信号测量平台发展。</w:t>
      </w:r>
    </w:p>
    <w:bookmarkEnd w:id="106"/>
    <w:bookmarkEnd w:id="107"/>
    <w:bookmarkStart w:id="111" w:name="结论与展望"/>
    <w:p>
      <w:pPr>
        <w:pStyle w:val="Heading1"/>
      </w:pPr>
      <w:r>
        <w:t xml:space="preserve">11　结论与展望</w:t>
      </w:r>
    </w:p>
    <w:bookmarkStart w:id="108" w:name="研究结论"/>
    <w:p>
      <w:pPr>
        <w:pStyle w:val="Heading2"/>
      </w:pPr>
      <w:r>
        <w:t xml:space="preserve">11.1　研究结论</w:t>
      </w:r>
    </w:p>
    <w:p>
      <w:pPr>
        <w:pStyle w:val="FirstParagraph"/>
      </w:pPr>
      <w:r>
        <w:t xml:space="preserve">本文设计了一套基于电磁感应、磁电转换和光学放大原理的低频微弱电信号测量系统。针对传统微弱信号检测过程中信号幅值低、直接测量困难的问题，系统以低频交变磁场（0.05～0.5 Hz）为信号载体，经接收线圈电磁感应转换为感应电流，由悬吊式偏转线圈在恒定磁场中受安培力矩作用产生机械偏转，再通过反射镜与PSD构成的光杠杆将难以直接观测的角位移放大为光斑位移，最后经ADS1115采样与Arduino数字处理实现定量读出。</w:t>
      </w:r>
    </w:p>
    <w:p>
      <w:pPr>
        <w:pStyle w:val="BodyText"/>
      </w:pPr>
      <w:r>
        <w:t xml:space="preserve">通过本文的理论推导与数值仿真，得到以下主要量化结论：</w:t>
      </w:r>
    </w:p>
    <w:p>
      <w:pPr>
        <w:numPr>
          <w:ilvl w:val="0"/>
          <w:numId w:val="1002"/>
        </w:numPr>
        <w:pStyle w:val="Compact"/>
      </w:pPr>
      <w:r>
        <w:rPr>
          <w:bCs/>
          <w:b/>
        </w:rPr>
        <w:t xml:space="preserve">量化模型成立。</w:t>
      </w:r>
      <w:r>
        <w:t xml:space="preserve">建立了”电—磁—力—光—电”全链路线性模型，电流灵敏度</w:t>
      </w:r>
      <w:r>
        <w:t xml:space="preserve"> </w:t>
      </w:r>
      <m:oMath>
        <m:r>
          <m:t>S</m:t>
        </m:r>
        <m:r>
          <m:rPr>
            <m:sty m:val="p"/>
          </m:rPr>
          <m:t>=</m:t>
        </m:r>
        <m:r>
          <m:t>8000</m:t>
        </m:r>
      </m:oMath>
      <w:r>
        <w:t xml:space="preserve"> </w:t>
      </w:r>
      <w:r>
        <w:t xml:space="preserve">m/A（1 µA对应光斑位移8 mm），转换系数</w:t>
      </w:r>
      <w:r>
        <w:t xml:space="preserve"> </w:t>
      </w:r>
      <m:oMath>
        <m:sSub>
          <m:e>
            <m:r>
              <m:t>K</m:t>
            </m:r>
          </m:e>
          <m:sub>
            <m:r>
              <m:rPr>
                <m:sty m:val="p"/>
              </m:rPr>
              <m:t>I</m:t>
            </m:r>
            <m:r>
              <m:rPr>
                <m:sty m:val="p"/>
              </m:rPr>
              <m:t>P</m:t>
            </m:r>
          </m:sub>
        </m:sSub>
        <m:r>
          <m:rPr>
            <m:sty m:val="p"/>
          </m:rPr>
          <m:t>=</m:t>
        </m:r>
        <m:r>
          <m:t>1.25</m:t>
        </m:r>
        <m:r>
          <m:rPr>
            <m:sty m:val="p"/>
          </m:rPr>
          <m:t>×</m:t>
        </m:r>
        <m:sSup>
          <m:e>
            <m:r>
              <m:t>10</m:t>
            </m:r>
          </m:e>
          <m:sup>
            <m:r>
              <m:rPr>
                <m:sty m:val="p"/>
              </m:rPr>
              <m:t>−</m:t>
            </m:r>
            <m:r>
              <m:t>6</m:t>
            </m:r>
          </m:sup>
        </m:sSup>
      </m:oMath>
      <w:r>
        <w:t xml:space="preserve"> </w:t>
      </w:r>
      <w:r>
        <w:t xml:space="preserve">A/单位P，与经典动圈检流计灵敏度（约25000 mm/µA）处于同一量级 [2]，证明了设计方案的物理合理性。</w:t>
      </w:r>
    </w:p>
    <w:p>
      <w:pPr>
        <w:numPr>
          <w:ilvl w:val="0"/>
          <w:numId w:val="1002"/>
        </w:numPr>
        <w:pStyle w:val="Compact"/>
      </w:pPr>
      <w:r>
        <w:rPr>
          <w:bCs/>
          <w:b/>
        </w:rPr>
        <w:t xml:space="preserve">工作频带明确。</w:t>
      </w:r>
      <w:r>
        <w:t xml:space="preserve">偏转系统固有频率约0.5 Hz，工作频带</w:t>
      </w:r>
      <w:r>
        <w:t xml:space="preserve"> </w:t>
      </w:r>
      <m:oMath>
        <m:r>
          <m:t>f</m:t>
        </m:r>
        <m:r>
          <m:rPr>
            <m:sty m:val="p"/>
          </m:rPr>
          <m:t>≤</m:t>
        </m:r>
        <m:r>
          <m:t>0.1</m:t>
        </m:r>
      </m:oMath>
      <w:r>
        <w:t xml:space="preserve"> </w:t>
      </w:r>
      <w:r>
        <w:t xml:space="preserve">Hz（幅值误差小于5%），信号源设计与该带宽匹配。</w:t>
      </w:r>
    </w:p>
    <w:p>
      <w:pPr>
        <w:numPr>
          <w:ilvl w:val="0"/>
          <w:numId w:val="1002"/>
        </w:numPr>
        <w:pStyle w:val="Compact"/>
      </w:pPr>
      <w:r>
        <w:rPr>
          <w:bCs/>
          <w:b/>
        </w:rPr>
        <w:t xml:space="preserve">标定闭合、线性度好。</w:t>
      </w:r>
      <w:r>
        <w:t xml:space="preserve">两级标定（后端”电流—P”、前端”磁场—电流”）闭合了全链路转换关系；仿真标定线性度0.008%、</w:t>
      </w:r>
      <m:oMath>
        <m:sSup>
          <m:e>
            <m:r>
              <m:t>R</m:t>
            </m:r>
          </m:e>
          <m:sup>
            <m:r>
              <m:t>2</m:t>
            </m:r>
          </m:sup>
        </m:sSup>
        <m:r>
          <m:rPr>
            <m:sty m:val="p"/>
          </m:rPr>
          <m:t>=</m:t>
        </m:r>
        <m:r>
          <m:t>1.000</m:t>
        </m:r>
      </m:oMath>
      <w:r>
        <w:t xml:space="preserve">。</w:t>
      </w:r>
    </w:p>
    <w:p>
      <w:pPr>
        <w:numPr>
          <w:ilvl w:val="0"/>
          <w:numId w:val="1002"/>
        </w:numPr>
        <w:pStyle w:val="Compact"/>
      </w:pPr>
      <w:r>
        <w:rPr>
          <w:bCs/>
          <w:b/>
        </w:rPr>
        <w:t xml:space="preserve">性能可预期。</w:t>
      </w:r>
      <w:r>
        <w:t xml:space="preserve">单次检测极限约0.2 nA，经约8 s最优平均可降至约13 pA；全链路盲测在信号高于噪声底时偏差小于6%。</w:t>
      </w:r>
    </w:p>
    <w:p>
      <w:pPr>
        <w:numPr>
          <w:ilvl w:val="0"/>
          <w:numId w:val="1002"/>
        </w:numPr>
        <w:pStyle w:val="Compact"/>
      </w:pPr>
      <w:r>
        <w:rPr>
          <w:bCs/>
          <w:b/>
        </w:rPr>
        <w:t xml:space="preserve">不确定度可控。</w:t>
      </w:r>
      <w:r>
        <w:t xml:space="preserve">按GUM方法给出端到端不确定度预算，合成标准不确定度</w:t>
      </w:r>
      <w:r>
        <w:t xml:space="preserve"> </w:t>
      </w:r>
      <m:oMath>
        <m:sSub>
          <m:e>
            <m:r>
              <m:t>u</m:t>
            </m:r>
          </m:e>
          <m:sub>
            <m:r>
              <m:t>c</m:t>
            </m:r>
          </m:sub>
        </m:sSub>
        <m:r>
          <m:rPr>
            <m:sty m:val="p"/>
          </m:rPr>
          <m:t>=</m:t>
        </m:r>
        <m:r>
          <m:t>2.65</m:t>
        </m:r>
        <m:r>
          <m:rPr>
            <m:sty m:val="p"/>
          </m:rPr>
          <m:t>%</m:t>
        </m:r>
      </m:oMath>
      <w:r>
        <w:t xml:space="preserve">，扩展不确定度</w:t>
      </w:r>
      <w:r>
        <w:t xml:space="preserve"> </w:t>
      </w:r>
      <m:oMath>
        <m:r>
          <m:t>U</m:t>
        </m:r>
        <m:r>
          <m:rPr>
            <m:sty m:val="p"/>
          </m:rPr>
          <m:t>=</m:t>
        </m:r>
        <m:r>
          <m:t>5.29</m:t>
        </m:r>
        <m:r>
          <m:rPr>
            <m:sty m:val="p"/>
          </m:rPr>
          <m:t>%</m:t>
        </m:r>
      </m:oMath>
      <w:r>
        <w:t xml:space="preserve">（k=2），主导分量来自扭转刚度标定与磁场均匀性。</w:t>
      </w:r>
    </w:p>
    <w:p>
      <w:pPr>
        <w:pStyle w:val="FirstParagraph"/>
      </w:pPr>
      <w:r>
        <w:t xml:space="preserve">相比传统电流检测方式，本系统将力学放大、光学放大与数字处理相结合，形成了一种”电信号—机械偏转—光学位移—数字量”的多级转换检测方案，为微弱电信号检测提供了一种结构简单、原理直观且具有教学价值的实现方案。</w:t>
      </w:r>
    </w:p>
    <w:bookmarkEnd w:id="108"/>
    <w:bookmarkStart w:id="109" w:name="研究创新点"/>
    <w:p>
      <w:pPr>
        <w:pStyle w:val="Heading2"/>
      </w:pPr>
      <w:r>
        <w:t xml:space="preserve">11.2　研究创新点</w:t>
      </w:r>
    </w:p>
    <w:p>
      <w:pPr>
        <w:pStyle w:val="FirstParagraph"/>
      </w:pPr>
      <w:r>
        <w:t xml:space="preserve">需要首先说明的是，本系统的物理放大路径（悬吊线圈 + 光杠杆）在原理上承袭了1858年开尔文镜像检流计 [2]，其”新颖性”不在发明新的物理放大机理，而在以低成本嵌入式平台对经典装置进行数字化重构，并使其性能可量化、可检验。在此基础上，本文的贡献体现在以下三点：</w:t>
      </w:r>
    </w:p>
    <w:p>
      <w:pPr>
        <w:numPr>
          <w:ilvl w:val="0"/>
          <w:numId w:val="1003"/>
        </w:numPr>
        <w:pStyle w:val="Compact"/>
      </w:pPr>
      <w:r>
        <w:rPr>
          <w:bCs/>
          <w:b/>
        </w:rPr>
        <w:t xml:space="preserve">经典物理测量先例的数字化重构。</w:t>
      </w:r>
      <w:r>
        <w:t xml:space="preserve">将”悬吊线圈 + 反射镜 + 光杠杆”的经典结构，与一维PSD位置读出、ADS1115高精度ADC及Arduino数字处理相结合，以电学读出与数字标定替代传统指针与目视读数，实现了经典装置的数字化、自动化与数据化。与经典动圈检流计的对照如表6所示。</w:t>
      </w:r>
    </w:p>
    <w:p>
      <w:pPr>
        <w:pStyle w:val="TableCaption"/>
      </w:pPr>
      <w:r>
        <w:t xml:space="preserve">表 6　与经典动圈检流计的对比</w:t>
      </w:r>
    </w:p>
    <w:tbl>
      <w:tblPr>
        <w:tblStyle w:val="Table"/>
        <w:tblW w:type="pct" w:w="5000"/>
        <w:tblLook w:firstRow="1" w:lastRow="0" w:firstColumn="0" w:lastColumn="0" w:noHBand="0" w:noVBand="0" w:val="0020"/>
        <w:jc w:val="start"/>
        <w:tblCaption w:val="表 6　与经典动圈检流计的对比"/>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经典动圈检流计 [2]</w:t>
            </w:r>
          </w:p>
        </w:tc>
        <w:tc>
          <w:tcPr/>
          <w:p>
            <w:pPr>
              <w:pStyle w:val="Compact"/>
              <w:jc w:val="left"/>
            </w:pPr>
            <w:r>
              <w:t xml:space="preserve">本系统（理论/仿真）</w:t>
            </w:r>
          </w:p>
        </w:tc>
      </w:tr>
      <w:tr>
        <w:tc>
          <w:tcPr/>
          <w:p>
            <w:pPr>
              <w:pStyle w:val="Compact"/>
              <w:jc w:val="left"/>
            </w:pPr>
            <w:r>
              <w:t xml:space="preserve">灵敏度</w:t>
            </w:r>
          </w:p>
        </w:tc>
        <w:tc>
          <w:tcPr/>
          <w:p>
            <w:pPr>
              <w:pStyle w:val="Compact"/>
              <w:jc w:val="left"/>
            </w:pPr>
            <w:r>
              <w:t xml:space="preserve">约25000 mm/µA（1 m标尺）</w:t>
            </w:r>
          </w:p>
        </w:tc>
        <w:tc>
          <w:tcPr/>
          <w:p>
            <w:pPr>
              <w:pStyle w:val="Compact"/>
              <w:jc w:val="left"/>
            </w:pPr>
            <w:r>
              <w:t xml:space="preserve">8000 m/A（8 mm/µA）</w:t>
            </w:r>
          </w:p>
        </w:tc>
      </w:tr>
      <w:tr>
        <w:tc>
          <w:tcPr/>
          <w:p>
            <w:pPr>
              <w:pStyle w:val="Compact"/>
              <w:jc w:val="left"/>
            </w:pPr>
            <w:r>
              <w:t xml:space="preserve">检测极限</w:t>
            </w:r>
          </w:p>
        </w:tc>
        <w:tc>
          <w:tcPr/>
          <w:p>
            <w:pPr>
              <w:pStyle w:val="Compact"/>
              <w:jc w:val="left"/>
            </w:pPr>
            <w:r>
              <w:t xml:space="preserve">约4×10⁻¹¹ A</w:t>
            </w:r>
          </w:p>
        </w:tc>
        <w:tc>
          <w:tcPr/>
          <w:p>
            <w:pPr>
              <w:pStyle w:val="Compact"/>
              <w:jc w:val="left"/>
            </w:pPr>
            <w:r>
              <w:t xml:space="preserve">约2×10⁻¹⁰ A（单次）/ 1.3×10⁻¹¹ A（最优平均）</w:t>
            </w:r>
          </w:p>
        </w:tc>
      </w:tr>
      <w:tr>
        <w:tc>
          <w:tcPr/>
          <w:p>
            <w:pPr>
              <w:pStyle w:val="Compact"/>
              <w:jc w:val="left"/>
            </w:pPr>
            <w:r>
              <w:t xml:space="preserve">读数方式</w:t>
            </w:r>
          </w:p>
        </w:tc>
        <w:tc>
          <w:tcPr/>
          <w:p>
            <w:pPr>
              <w:pStyle w:val="Compact"/>
              <w:jc w:val="left"/>
            </w:pPr>
            <w:r>
              <w:t xml:space="preserve">指针/光斑标尺目视</w:t>
            </w:r>
          </w:p>
        </w:tc>
        <w:tc>
          <w:tcPr/>
          <w:p>
            <w:pPr>
              <w:pStyle w:val="Compact"/>
              <w:jc w:val="left"/>
            </w:pPr>
            <w:r>
              <w:t xml:space="preserve">PSD电读出 + Arduino数字输出</w:t>
            </w:r>
          </w:p>
        </w:tc>
      </w:tr>
      <w:tr>
        <w:tc>
          <w:tcPr/>
          <w:p>
            <w:pPr>
              <w:pStyle w:val="Compact"/>
              <w:jc w:val="left"/>
            </w:pPr>
            <w:r>
              <w:t xml:space="preserve">标定</w:t>
            </w:r>
          </w:p>
        </w:tc>
        <w:tc>
          <w:tcPr/>
          <w:p>
            <w:pPr>
              <w:pStyle w:val="Compact"/>
              <w:jc w:val="left"/>
            </w:pPr>
            <w:r>
              <w:t xml:space="preserve">人工刻度</w:t>
            </w:r>
          </w:p>
        </w:tc>
        <w:tc>
          <w:tcPr/>
          <w:p>
            <w:pPr>
              <w:pStyle w:val="Compact"/>
              <w:jc w:val="left"/>
            </w:pPr>
            <w:r>
              <w:t xml:space="preserve">数字两级标定，自动写入程序</w:t>
            </w:r>
          </w:p>
        </w:tc>
      </w:tr>
      <w:tr>
        <w:tc>
          <w:tcPr/>
          <w:p>
            <w:pPr>
              <w:pStyle w:val="Compact"/>
              <w:jc w:val="left"/>
            </w:pPr>
            <w:r>
              <w:t xml:space="preserve">光源波动影响</w:t>
            </w:r>
          </w:p>
        </w:tc>
        <w:tc>
          <w:tcPr/>
          <w:p>
            <w:pPr>
              <w:pStyle w:val="Compact"/>
              <w:jc w:val="left"/>
            </w:pPr>
            <w:r>
              <w:t xml:space="preserve">无对策</w:t>
            </w:r>
          </w:p>
        </w:tc>
        <w:tc>
          <w:tcPr/>
          <w:p>
            <w:pPr>
              <w:pStyle w:val="Compact"/>
              <w:jc w:val="left"/>
            </w:pPr>
            <w:r>
              <w:t xml:space="preserve">归一化算子一阶消除</w:t>
            </w:r>
          </w:p>
        </w:tc>
      </w:tr>
    </w:tbl>
    <w:p>
      <w:pPr>
        <w:numPr>
          <w:ilvl w:val="0"/>
          <w:numId w:val="1004"/>
        </w:numPr>
        <w:pStyle w:val="Compact"/>
      </w:pPr>
      <w:r>
        <w:rPr>
          <w:bCs/>
          <w:b/>
        </w:rPr>
        <w:t xml:space="preserve">归一化算子与两级标定的量化标定体系。</w:t>
      </w:r>
      <w:r>
        <w:t xml:space="preserve">以归一化位置算子</w:t>
      </w:r>
      <w:r>
        <w:t xml:space="preserve"> </w:t>
      </w:r>
      <m:oMath>
        <m:r>
          <m:t>P</m:t>
        </m:r>
        <m:r>
          <m:rPr>
            <m:sty m:val="p"/>
          </m:rPr>
          <m:t>=</m:t>
        </m:r>
        <m:d>
          <m:dPr>
            <m:begChr m:val="("/>
            <m:endChr m:val=")"/>
            <m:sepChr m:val=""/>
            <m:grow/>
          </m:dPr>
          <m:e>
            <m:sSub>
              <m:e>
                <m:r>
                  <m:t>I</m:t>
                </m:r>
              </m:e>
              <m:sub>
                <m:r>
                  <m:t>2</m:t>
                </m:r>
              </m:sub>
            </m:sSub>
            <m:r>
              <m:rPr>
                <m:sty m:val="p"/>
              </m:rPr>
              <m:t>−</m:t>
            </m:r>
            <m:sSub>
              <m:e>
                <m:r>
                  <m:t>I</m:t>
                </m:r>
              </m:e>
              <m:sub>
                <m:r>
                  <m:t>1</m:t>
                </m:r>
              </m:sub>
            </m:sSub>
          </m:e>
        </m:d>
        <m:r>
          <m:rPr>
            <m:sty m:val="p"/>
          </m:rPr>
          <m:t>/</m:t>
        </m:r>
        <m:d>
          <m:dPr>
            <m:begChr m:val="("/>
            <m:endChr m:val=")"/>
            <m:sepChr m:val=""/>
            <m:grow/>
          </m:dPr>
          <m:e>
            <m:sSub>
              <m:e>
                <m:r>
                  <m:t>I</m:t>
                </m:r>
              </m:e>
              <m:sub>
                <m:r>
                  <m:t>1</m:t>
                </m:r>
              </m:sub>
            </m:sSub>
            <m:r>
              <m:rPr>
                <m:sty m:val="p"/>
              </m:rPr>
              <m:t>+</m:t>
            </m:r>
            <m:sSub>
              <m:e>
                <m:r>
                  <m:t>I</m:t>
                </m:r>
              </m:e>
              <m:sub>
                <m:r>
                  <m:t>2</m:t>
                </m:r>
              </m:sub>
            </m:sSub>
          </m:e>
        </m:d>
      </m:oMath>
      <w:r>
        <w:t xml:space="preserve"> </w:t>
      </w:r>
      <w:r>
        <w:t xml:space="preserve">作为统一测量量，对激光功率波动与增益漂移一阶不敏感 [5]；两级标定（后端”电流—P”、前端”磁场—电流”）闭合了”磁场→电流→算子”的完整链路，避免了单一标定绕过接收线圈的系统性缺陷。</w:t>
      </w:r>
    </w:p>
    <w:p>
      <w:pPr>
        <w:numPr>
          <w:ilvl w:val="0"/>
          <w:numId w:val="1004"/>
        </w:numPr>
        <w:pStyle w:val="Compact"/>
      </w:pPr>
      <w:r>
        <w:rPr>
          <w:bCs/>
          <w:b/>
        </w:rPr>
        <w:t xml:space="preserve">性能的端到端量化。</w:t>
      </w:r>
      <w:r>
        <w:t xml:space="preserve">将噪声底（布朗、约翰逊、读出与漂移）、探测极限、工作频带与GUM不确定度预算显式纳入设计过程，使”物理放大 + 数字处理”方案的性能可预期、可检验，为教学实验的定量化提供了模板。</w:t>
      </w:r>
    </w:p>
    <w:bookmarkEnd w:id="109"/>
    <w:bookmarkStart w:id="110" w:name="未来展望"/>
    <w:p>
      <w:pPr>
        <w:pStyle w:val="Heading2"/>
      </w:pPr>
      <w:r>
        <w:t xml:space="preserve">11.3　未来展望</w:t>
      </w:r>
    </w:p>
    <w:p>
      <w:pPr>
        <w:pStyle w:val="FirstParagraph"/>
      </w:pPr>
      <w:r>
        <w:t xml:space="preserve">虽然本系统已经完成了微弱电信号从产生、接收、转换到数字输出的完整实验流程，但在测量精度、稳定性以及应用范围方面仍存在进一步优化空间。</w:t>
      </w:r>
    </w:p>
    <w:p>
      <w:pPr>
        <w:pStyle w:val="BodyText"/>
      </w:pPr>
      <w:r>
        <w:t xml:space="preserve">在结构优化方面，未来可进一步提升机械系统稳定性。例如，通过优化悬线材料、降低结构质量以及改进阻尼设计，提高系统灵敏度和动态响应能力；同时，可增加更加完善的防振、防风结构，降低环境扰动对微小机械运动的影响。</w:t>
      </w:r>
    </w:p>
    <w:p>
      <w:pPr>
        <w:pStyle w:val="BodyText"/>
      </w:pPr>
      <w:r>
        <w:t xml:space="preserve">在信号处理方面，未来可采用性能更高的嵌入式处理平台，提高采样速度和数据处理能力，并引入数字锁相放大、频谱分析以及自动校准算法，使系统能够适应更加复杂的信号环境 [11]。</w:t>
      </w:r>
    </w:p>
    <w:p>
      <w:pPr>
        <w:pStyle w:val="BodyText"/>
      </w:pPr>
      <w:r>
        <w:t xml:space="preserve">在系统应用方面，可进一步探索多通道和阵列化设计。例如，通过增加多个接收线圈实现空间方向上的信号检测，结合二维位置传感器实现多维信号分析；同时，也可以针对不同应用场景优化结构尺寸和封装方式，提高系统的便携性和实际应用能力。</w:t>
      </w:r>
    </w:p>
    <w:p>
      <w:pPr>
        <w:pStyle w:val="BodyText"/>
      </w:pPr>
      <w:r>
        <w:t xml:space="preserve">总体而言，本研究验证了一种利用物理转换与数字处理相结合的微弱信号检测方案。未来随着机械结构、传感器以及嵌入式技术的发展，该系统有望进一步应用于教学实验、弱信号研究以及低成本精密检测领域。</w:t>
      </w:r>
    </w:p>
    <w:p>
      <w:pPr>
        <w:pStyle w:val="BodyText"/>
      </w:pPr>
      <w:r>
        <w:t xml:space="preserve">——2026.7.31</w:t>
      </w:r>
    </w:p>
    <w:p>
      <w:r>
        <w:br w:type="page"/>
      </w:r>
    </w:p>
    <w:bookmarkEnd w:id="110"/>
    <w:bookmarkEnd w:id="111"/>
    <w:bookmarkStart w:id="112" w:name="参考文献"/>
    <w:p>
      <w:pPr>
        <w:pStyle w:val="Heading1"/>
      </w:pPr>
      <w:r>
        <w:t xml:space="preserve">参考文献</w:t>
      </w:r>
    </w:p>
    <w:p>
      <w:pPr>
        <w:pStyle w:val="FirstParagraph"/>
      </w:pPr>
      <w:r>
        <w:t xml:space="preserve">[1] Zhang Q, Jeong H, Kang S. Lock-in amplifiers as a platform for weak signal measurements: Development and applications[J]. Current Applied Physics, 2024. https://www.sciencedirect.com/science/article/abs/pii/S1567173924001512</w:t>
      </w:r>
    </w:p>
    <w:p>
      <w:pPr>
        <w:pStyle w:val="BodyText"/>
      </w:pPr>
      <w:r>
        <w:t xml:space="preserve">[2] Mirror galvanometer[EB/OL]. (Wikipedia archive). https://web.archive.org/web/20051215000000/http://en.wikipedia.org/wiki/Mirror_galvanometer</w:t>
      </w:r>
    </w:p>
    <w:p>
      <w:pPr>
        <w:pStyle w:val="BodyText"/>
      </w:pPr>
      <w:r>
        <w:t xml:space="preserve">[3] Meyer G, Amer N M. Novel optical approach to atomic force microscopy[J]. Applied Physics Letters, 1988, 53(12): 1045-1047. https://pubs.aip.org/aip/apl/article-abstract/53/12/1045/54207/Novel-optical-approach-to-atomic-force-microscopy</w:t>
      </w:r>
    </w:p>
    <w:p>
      <w:pPr>
        <w:pStyle w:val="BodyText"/>
      </w:pPr>
      <w:r>
        <w:t xml:space="preserve">[4] Fleming J A. Waves and Ripples in Water, Air, and Aether; Electricity and Magnetism[M]. (Classical textbook on moving-coil galvanometer and optical-lever reading). https://babel.hathitrust.org/cgi/ssd?id=mdp.39015002919069</w:t>
      </w:r>
    </w:p>
    <w:p>
      <w:pPr>
        <w:pStyle w:val="BodyText"/>
      </w:pPr>
      <w:r>
        <w:t xml:space="preserve">[5] Hamamatsu Photonics. S3932: Position Sensitive Detector（数据手册）[EB/OL]. https://www.alldatasheet.co.nz/datasheet-pdf/pdf/80324/ETC/S3932.html</w:t>
      </w:r>
    </w:p>
    <w:p>
      <w:pPr>
        <w:pStyle w:val="BodyText"/>
      </w:pPr>
      <w:r>
        <w:t xml:space="preserve">[6] Analog Devices. AD8628/AD8629/AD8630: Zero-Drift, Single-Supply, Rail-to-Rail Input/Output Operational Amplifier（数据手册）[EB/OL]. https://www.analog.com/en/products/ad8628.html</w:t>
      </w:r>
    </w:p>
    <w:p>
      <w:pPr>
        <w:pStyle w:val="BodyText"/>
      </w:pPr>
      <w:r>
        <w:t xml:space="preserve">[7] Texas Instruments. ADS1115: Ultra-Small, Low-Power, 16-Bit ADC with Internal Reference（数据手册）[EB/OL]. https://www.ti.com/product/ADS1115</w:t>
      </w:r>
    </w:p>
    <w:p>
      <w:pPr>
        <w:pStyle w:val="BodyText"/>
      </w:pPr>
      <w:r>
        <w:t xml:space="preserve">[8] Arduino. What is Arduino?[EB/OL]. Arduino Documentation. https://docs.arduino.cc/learn/starting-guide/whats-arduino/</w:t>
      </w:r>
    </w:p>
    <w:p>
      <w:pPr>
        <w:pStyle w:val="BodyText"/>
      </w:pPr>
      <w:r>
        <w:t xml:space="preserve">[9] JCGM 100:2008. Evaluation of measurement data — Guide to the expression of uncertainty in measurement (GUM)[S]. BIPM, 2008.</w:t>
      </w:r>
    </w:p>
    <w:p>
      <w:pPr>
        <w:pStyle w:val="BodyText"/>
      </w:pPr>
      <w:r>
        <w:t xml:space="preserve">[10] 全国法制计量管理计量技术委员会. JJF 1059.1-2012 测量不确定度评定与表示[S]. 北京: 中国质检出版社, 2012.</w:t>
      </w:r>
    </w:p>
    <w:p>
      <w:pPr>
        <w:pStyle w:val="BodyText"/>
      </w:pPr>
      <w:r>
        <w:t xml:space="preserve">[11] Khan M A U, et al. Field-Programmable Gate Array (FPGA)-Based Lock-In Amplifier System with Signal Enhancement: A Comprehensive Review[J]. Sensors, 2025, 25(2): 584. https://www.mdpi.com/1424-8220/25/2/584</w:t>
      </w:r>
    </w:p>
    <w:p>
      <w:r>
        <w:br w:type="page"/>
      </w:r>
    </w:p>
    <w:bookmarkEnd w:id="112"/>
    <w:bookmarkStart w:id="113" w:name="致-谢"/>
    <w:p>
      <w:pPr>
        <w:pStyle w:val="Heading1"/>
      </w:pPr>
      <w:r>
        <w:t xml:space="preserve">致　谢</w:t>
      </w:r>
    </w:p>
    <w:p>
      <w:pPr>
        <w:pStyle w:val="FirstParagraph"/>
      </w:pPr>
      <w:r>
        <w:t xml:space="preserve">本项目的顺利完成，离不开多位师长、同学与家人的支持与帮助，在此谨向所有给予关心与支持的老师、同学及亲友致以诚挚的感谢。</w:t>
      </w:r>
    </w:p>
    <w:p>
      <w:pPr>
        <w:pStyle w:val="BodyText"/>
      </w:pPr>
      <w:r>
        <w:t xml:space="preserve">首先，感谢北方工业大学理学院为本项目提供参赛机会与良好的科研实践平台，为项目开展提供了必要的条件与支持。</w:t>
      </w:r>
    </w:p>
    <w:p>
      <w:pPr>
        <w:pStyle w:val="BodyText"/>
      </w:pPr>
      <w:r>
        <w:t xml:space="preserve">特别感谢铁小匀老师在项目开展过程中的指导与支持。铁老师为实验提供了良好的研究环境与开放的实验空间，在实验条件、资料获取、团队组织以及项目推进等方面给予了重要帮助，同时为实验资源配置和项目实施提供了有力支持。</w:t>
      </w:r>
    </w:p>
    <w:p>
      <w:pPr>
        <w:pStyle w:val="BodyText"/>
      </w:pPr>
      <w:r>
        <w:t xml:space="preserve">感谢肖晓和同学在项目方案设计与实验实施过程中提供的帮助。肖晓和同学提出了基于光杠杆的总体实验方案与信号源部分的设计方案，并在实验装置搭建、接收模块设计改进以及实验材料采购等方面给予了重要支持。</w:t>
      </w:r>
    </w:p>
    <w:p>
      <w:pPr>
        <w:pStyle w:val="BodyText"/>
      </w:pPr>
      <w:r>
        <w:t xml:space="preserve">感谢任金棚同学在项目实施过程中所做的工作，包括装置结构设计图绘制、实验材料提供、实验装置组装以及实验过程中的后勤保障，为项目顺利开展提供了支持。</w:t>
      </w:r>
    </w:p>
    <w:p>
      <w:pPr>
        <w:pStyle w:val="BodyText"/>
      </w:pPr>
      <w:r>
        <w:t xml:space="preserve">感谢我的父母以及同专业其他同学在项目开展期间给予的理解、鼓励与支持，使我能够专注于实验研究与论文撰写。</w:t>
      </w:r>
    </w:p>
    <w:p>
      <w:pPr>
        <w:pStyle w:val="BodyText"/>
      </w:pPr>
      <w:r>
        <w:t xml:space="preserve">感谢实验过程中使用的各类软硬件设备，它们为方案验证、数据采集和研究工作提供了必要的技术支撑。同时，感谢相关大语言模型公司提供的技术辅助，在项目方案整理、文档撰写、代码调试以及研究过程中提高了研究工作的效率。</w:t>
      </w:r>
    </w:p>
    <w:p>
      <w:pPr>
        <w:pStyle w:val="BodyText"/>
      </w:pPr>
      <w:r>
        <w:t xml:space="preserve">再次感谢所有直接或间接帮助过本项目的老师、同学与亲友。</w:t>
      </w:r>
    </w:p>
    <w:p>
      <w:r>
        <w:br w:type="page"/>
      </w:r>
    </w:p>
    <w:bookmarkEnd w:id="113"/>
    <w:bookmarkStart w:id="114" w:name="附录a-词汇对照表"/>
    <w:p>
      <w:pPr>
        <w:pStyle w:val="Heading1"/>
      </w:pPr>
      <w:r>
        <w:t xml:space="preserve">附录A　词汇对照表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术语</w:t>
            </w:r>
          </w:p>
        </w:tc>
        <w:tc>
          <w:tcPr/>
          <w:p>
            <w:pPr>
              <w:pStyle w:val="Compact"/>
              <w:jc w:val="left"/>
            </w:pPr>
            <w:r>
              <w:t xml:space="preserve">英文对照</w:t>
            </w:r>
          </w:p>
        </w:tc>
        <w:tc>
          <w:tcPr/>
          <w:p>
            <w:pPr>
              <w:pStyle w:val="Compact"/>
              <w:jc w:val="left"/>
            </w:pPr>
            <w:r>
              <w:t xml:space="preserve">中文释义</w:t>
            </w:r>
          </w:p>
        </w:tc>
      </w:tr>
      <w:tr>
        <w:tc>
          <w:tcPr/>
          <w:p>
            <w:pPr>
              <w:pStyle w:val="Compact"/>
              <w:jc w:val="left"/>
            </w:pPr>
            <w:r>
              <w:t xml:space="preserve">微弱电信号</w:t>
            </w:r>
          </w:p>
        </w:tc>
        <w:tc>
          <w:tcPr/>
          <w:p>
            <w:pPr>
              <w:pStyle w:val="Compact"/>
              <w:jc w:val="left"/>
            </w:pPr>
            <w:r>
              <w:t xml:space="preserve">Weak Electrical Signal</w:t>
            </w:r>
          </w:p>
        </w:tc>
        <w:tc>
          <w:tcPr/>
          <w:p>
            <w:pPr>
              <w:pStyle w:val="Compact"/>
              <w:jc w:val="left"/>
            </w:pPr>
            <w:r>
              <w:t xml:space="preserve">幅值较低、容易受到噪声干扰的电信号，需要通过放大、滤波和高精度采集等方法进行检测与分析。</w:t>
            </w:r>
          </w:p>
        </w:tc>
      </w:tr>
      <w:tr>
        <w:tc>
          <w:tcPr/>
          <w:p>
            <w:pPr>
              <w:pStyle w:val="Compact"/>
              <w:jc w:val="left"/>
            </w:pPr>
            <w:r>
              <w:t xml:space="preserve">Arduino UNO</w:t>
            </w:r>
          </w:p>
        </w:tc>
        <w:tc>
          <w:tcPr/>
          <w:p>
            <w:pPr>
              <w:pStyle w:val="Compact"/>
              <w:jc w:val="left"/>
            </w:pPr>
            <w:r>
              <w:t xml:space="preserve">Arduino UNO</w:t>
            </w:r>
          </w:p>
        </w:tc>
        <w:tc>
          <w:tcPr/>
          <w:p>
            <w:pPr>
              <w:pStyle w:val="Compact"/>
              <w:jc w:val="left"/>
            </w:pPr>
            <w:r>
              <w:t xml:space="preserve">一种开源嵌入式硬件开发平台，用于实现传感器数据采集、控制及信号处理。</w:t>
            </w:r>
          </w:p>
        </w:tc>
      </w:tr>
      <w:tr>
        <w:tc>
          <w:tcPr/>
          <w:p>
            <w:pPr>
              <w:pStyle w:val="Compact"/>
              <w:jc w:val="left"/>
            </w:pPr>
            <w:r>
              <w:t xml:space="preserve">光杠杆</w:t>
            </w:r>
          </w:p>
        </w:tc>
        <w:tc>
          <w:tcPr/>
          <w:p>
            <w:pPr>
              <w:pStyle w:val="Compact"/>
              <w:jc w:val="left"/>
            </w:pPr>
            <w:r>
              <w:t xml:space="preserve">Optical Lever</w:t>
            </w:r>
          </w:p>
        </w:tc>
        <w:tc>
          <w:tcPr/>
          <w:p>
            <w:pPr>
              <w:pStyle w:val="Compact"/>
              <w:jc w:val="left"/>
            </w:pPr>
            <w:r>
              <w:t xml:space="preserve">利用光线反射原理，将微小机械偏转转换为较大的光斑位置以实现放大的光学测量结构。</w:t>
            </w:r>
          </w:p>
        </w:tc>
      </w:tr>
      <w:tr>
        <w:tc>
          <w:tcPr/>
          <w:p>
            <w:pPr>
              <w:pStyle w:val="Compact"/>
              <w:jc w:val="left"/>
            </w:pPr>
            <w:r>
              <w:t xml:space="preserve">PSD</w:t>
            </w:r>
          </w:p>
        </w:tc>
        <w:tc>
          <w:tcPr/>
          <w:p>
            <w:pPr>
              <w:pStyle w:val="Compact"/>
              <w:jc w:val="left"/>
            </w:pPr>
            <w:r>
              <w:t xml:space="preserve">Position Sensitive Detector</w:t>
            </w:r>
          </w:p>
        </w:tc>
        <w:tc>
          <w:tcPr/>
          <w:p>
            <w:pPr>
              <w:pStyle w:val="Compact"/>
              <w:jc w:val="left"/>
            </w:pPr>
            <w:r>
              <w:t xml:space="preserve">一维位置敏感探测器，可根据光斑位置变化输出对应电信号，用于精确检测光斑位置。</w:t>
            </w:r>
          </w:p>
        </w:tc>
      </w:tr>
      <w:tr>
        <w:tc>
          <w:tcPr/>
          <w:p>
            <w:pPr>
              <w:pStyle w:val="Compact"/>
              <w:jc w:val="left"/>
            </w:pPr>
            <w:r>
              <w:t xml:space="preserve">微弱电信号发生模块</w:t>
            </w:r>
          </w:p>
        </w:tc>
        <w:tc>
          <w:tcPr/>
          <w:p>
            <w:pPr>
              <w:pStyle w:val="Compact"/>
              <w:jc w:val="left"/>
            </w:pPr>
            <w:r>
              <w:t xml:space="preserve">Weak Electrical Signal Generation Module</w:t>
            </w:r>
          </w:p>
        </w:tc>
        <w:tc>
          <w:tcPr/>
          <w:p>
            <w:pPr>
              <w:pStyle w:val="Compact"/>
              <w:jc w:val="left"/>
            </w:pPr>
            <w:r>
              <w:t xml:space="preserve">用于产生幅值可控的微弱电信号（低频交变磁场），为测量系统提供测试输入和标定信号。</w:t>
            </w:r>
          </w:p>
        </w:tc>
      </w:tr>
      <w:tr>
        <w:tc>
          <w:tcPr/>
          <w:p>
            <w:pPr>
              <w:pStyle w:val="Compact"/>
              <w:jc w:val="left"/>
            </w:pPr>
            <w:r>
              <w:t xml:space="preserve">I2C</w:t>
            </w:r>
          </w:p>
        </w:tc>
        <w:tc>
          <w:tcPr/>
          <w:p>
            <w:pPr>
              <w:pStyle w:val="Compact"/>
              <w:jc w:val="left"/>
            </w:pPr>
            <w:r>
              <w:t xml:space="preserve">Inter-Integrated Circuit</w:t>
            </w:r>
          </w:p>
        </w:tc>
        <w:tc>
          <w:tcPr/>
          <w:p>
            <w:pPr>
              <w:pStyle w:val="Compact"/>
              <w:jc w:val="left"/>
            </w:pPr>
            <w:r>
              <w:t xml:space="preserve">一种串行通信协议，用于实现微控制器与传感器、ADC等设备之间的数据通信。</w:t>
            </w:r>
          </w:p>
        </w:tc>
      </w:tr>
      <w:tr>
        <w:tc>
          <w:tcPr/>
          <w:p>
            <w:pPr>
              <w:pStyle w:val="Compact"/>
              <w:jc w:val="left"/>
            </w:pPr>
            <w:r>
              <w:t xml:space="preserve">信号接收模块</w:t>
            </w:r>
          </w:p>
        </w:tc>
        <w:tc>
          <w:tcPr/>
          <w:p>
            <w:pPr>
              <w:pStyle w:val="Compact"/>
              <w:jc w:val="left"/>
            </w:pPr>
            <w:r>
              <w:t xml:space="preserve">Signal Receiving Module</w:t>
            </w:r>
          </w:p>
        </w:tc>
        <w:tc>
          <w:tcPr/>
          <w:p>
            <w:pPr>
              <w:pStyle w:val="Compact"/>
              <w:jc w:val="left"/>
            </w:pPr>
            <w:r>
              <w:t xml:space="preserve">用于接收外部微弱电信号（交变磁场），并通过电磁感应转换为可处理电流的功能模块。</w:t>
            </w:r>
          </w:p>
        </w:tc>
      </w:tr>
      <w:tr>
        <w:tc>
          <w:tcPr/>
          <w:p>
            <w:pPr>
              <w:pStyle w:val="Compact"/>
              <w:jc w:val="left"/>
            </w:pPr>
            <w:r>
              <w:t xml:space="preserve">接收线圈</w:t>
            </w:r>
          </w:p>
        </w:tc>
        <w:tc>
          <w:tcPr/>
          <w:p>
            <w:pPr>
              <w:pStyle w:val="Compact"/>
              <w:jc w:val="left"/>
            </w:pPr>
            <w:r>
              <w:t xml:space="preserve">Receiving Coil</w:t>
            </w:r>
          </w:p>
        </w:tc>
        <w:tc>
          <w:tcPr/>
          <w:p>
            <w:pPr>
              <w:pStyle w:val="Compact"/>
              <w:jc w:val="left"/>
            </w:pPr>
            <w:r>
              <w:t xml:space="preserve">利用电磁感应原理将变化磁场转换为感应电流的线圈。</w:t>
            </w:r>
          </w:p>
        </w:tc>
      </w:tr>
      <w:tr>
        <w:tc>
          <w:tcPr/>
          <w:p>
            <w:pPr>
              <w:pStyle w:val="Compact"/>
              <w:jc w:val="left"/>
            </w:pPr>
            <w:r>
              <w:t xml:space="preserve">偏转模块</w:t>
            </w:r>
          </w:p>
        </w:tc>
        <w:tc>
          <w:tcPr/>
          <w:p>
            <w:pPr>
              <w:pStyle w:val="Compact"/>
              <w:jc w:val="left"/>
            </w:pPr>
            <w:r>
              <w:t xml:space="preserve">Deflection Module</w:t>
            </w:r>
          </w:p>
        </w:tc>
        <w:tc>
          <w:tcPr/>
          <w:p>
            <w:pPr>
              <w:pStyle w:val="Compact"/>
              <w:jc w:val="left"/>
            </w:pPr>
            <w:r>
              <w:t xml:space="preserve">将电信号转换为机械偏转运动，实现信号变化到光斑位置变化转换的结构模块。</w:t>
            </w:r>
          </w:p>
        </w:tc>
      </w:tr>
      <w:tr>
        <w:tc>
          <w:tcPr/>
          <w:p>
            <w:pPr>
              <w:pStyle w:val="Compact"/>
              <w:jc w:val="left"/>
            </w:pPr>
            <w:r>
              <w:t xml:space="preserve">偏转线圈</w:t>
            </w:r>
          </w:p>
        </w:tc>
        <w:tc>
          <w:tcPr/>
          <w:p>
            <w:pPr>
              <w:pStyle w:val="Compact"/>
              <w:jc w:val="left"/>
            </w:pPr>
            <w:r>
              <w:t xml:space="preserve">Deflection Coil</w:t>
            </w:r>
          </w:p>
        </w:tc>
        <w:tc>
          <w:tcPr/>
          <w:p>
            <w:pPr>
              <w:pStyle w:val="Compact"/>
              <w:jc w:val="left"/>
            </w:pPr>
            <w:r>
              <w:t xml:space="preserve">在磁场作用下产生安培力矩使线圈发生偏转运动的线圈。</w:t>
            </w:r>
          </w:p>
        </w:tc>
      </w:tr>
      <w:tr>
        <w:tc>
          <w:tcPr/>
          <w:p>
            <w:pPr>
              <w:pStyle w:val="Compact"/>
              <w:jc w:val="left"/>
            </w:pPr>
            <w:r>
              <w:t xml:space="preserve">数据处理模块</w:t>
            </w:r>
          </w:p>
        </w:tc>
        <w:tc>
          <w:tcPr/>
          <w:p>
            <w:pPr>
              <w:pStyle w:val="Compact"/>
              <w:jc w:val="left"/>
            </w:pPr>
            <w:r>
              <w:t xml:space="preserve">Data Processing Module</w:t>
            </w:r>
          </w:p>
        </w:tc>
        <w:tc>
          <w:tcPr/>
          <w:p>
            <w:pPr>
              <w:pStyle w:val="Compact"/>
              <w:jc w:val="left"/>
            </w:pPr>
            <w:r>
              <w:t xml:space="preserve">对采集到的数字信号进行计算、分析、转换和输出处理的功能模块。</w:t>
            </w:r>
          </w:p>
        </w:tc>
      </w:tr>
      <w:tr>
        <w:tc>
          <w:tcPr/>
          <w:p>
            <w:pPr>
              <w:pStyle w:val="Compact"/>
              <w:jc w:val="left"/>
            </w:pPr>
            <w:r>
              <w:t xml:space="preserve">模拟调理电路</w:t>
            </w:r>
          </w:p>
        </w:tc>
        <w:tc>
          <w:tcPr/>
          <w:p>
            <w:pPr>
              <w:pStyle w:val="Compact"/>
              <w:jc w:val="left"/>
            </w:pPr>
            <w:r>
              <w:t xml:space="preserve">Analog Conditioning Circuit</w:t>
            </w:r>
          </w:p>
        </w:tc>
        <w:tc>
          <w:tcPr/>
          <w:p>
            <w:pPr>
              <w:pStyle w:val="Compact"/>
              <w:jc w:val="left"/>
            </w:pPr>
            <w:r>
              <w:t xml:space="preserve">对传感器输出的模拟信号进行放大、滤波、阻抗匹配等处理的电路。</w:t>
            </w:r>
          </w:p>
        </w:tc>
      </w:tr>
      <w:tr>
        <w:tc>
          <w:tcPr/>
          <w:p>
            <w:pPr>
              <w:pStyle w:val="Compact"/>
              <w:jc w:val="left"/>
            </w:pPr>
            <w:r>
              <w:t xml:space="preserve">数模转换</w:t>
            </w:r>
          </w:p>
        </w:tc>
        <w:tc>
          <w:tcPr/>
          <w:p>
            <w:pPr>
              <w:pStyle w:val="Compact"/>
              <w:jc w:val="left"/>
            </w:pPr>
            <w:r>
              <w:t xml:space="preserve">Digital-to-Analog Conversion (DAC)</w:t>
            </w:r>
          </w:p>
        </w:tc>
        <w:tc>
          <w:tcPr/>
          <w:p>
            <w:pPr>
              <w:pStyle w:val="Compact"/>
              <w:jc w:val="left"/>
            </w:pPr>
            <w:r>
              <w:t xml:space="preserve">将数字信号转换为连续模拟信号的过程。</w:t>
            </w:r>
          </w:p>
        </w:tc>
      </w:tr>
      <w:tr>
        <w:tc>
          <w:tcPr/>
          <w:p>
            <w:pPr>
              <w:pStyle w:val="Compact"/>
              <w:jc w:val="left"/>
            </w:pPr>
            <w:r>
              <w:t xml:space="preserve">发射线圈</w:t>
            </w:r>
          </w:p>
        </w:tc>
        <w:tc>
          <w:tcPr/>
          <w:p>
            <w:pPr>
              <w:pStyle w:val="Compact"/>
              <w:jc w:val="left"/>
            </w:pPr>
            <w:r>
              <w:t xml:space="preserve">Transmitter Coil</w:t>
            </w:r>
          </w:p>
        </w:tc>
        <w:tc>
          <w:tcPr/>
          <w:p>
            <w:pPr>
              <w:pStyle w:val="Compact"/>
              <w:jc w:val="left"/>
            </w:pPr>
            <w:r>
              <w:t xml:space="preserve">通以低频电流并在空间中建立交变磁场的线圈，是信号源的辐射单元。</w:t>
            </w:r>
          </w:p>
        </w:tc>
      </w:tr>
      <w:tr>
        <w:tc>
          <w:tcPr/>
          <w:p>
            <w:pPr>
              <w:pStyle w:val="Compact"/>
              <w:jc w:val="left"/>
            </w:pPr>
            <w:r>
              <w:t xml:space="preserve">ADS1115</w:t>
            </w:r>
          </w:p>
        </w:tc>
        <w:tc>
          <w:tcPr/>
          <w:p>
            <w:pPr>
              <w:pStyle w:val="Compact"/>
              <w:jc w:val="left"/>
            </w:pPr>
            <w:r>
              <w:t xml:space="preserve">ADS1115</w:t>
            </w:r>
          </w:p>
        </w:tc>
        <w:tc>
          <w:tcPr/>
          <w:p>
            <w:pPr>
              <w:pStyle w:val="Compact"/>
              <w:jc w:val="left"/>
            </w:pPr>
            <w:r>
              <w:t xml:space="preserve">一款高精度16位模数转换芯片，用于实现模拟信号的高精度数字采集。</w:t>
            </w:r>
          </w:p>
        </w:tc>
      </w:tr>
      <w:tr>
        <w:tc>
          <w:tcPr/>
          <w:p>
            <w:pPr>
              <w:pStyle w:val="Compact"/>
              <w:jc w:val="left"/>
            </w:pPr>
            <w:r>
              <w:t xml:space="preserve">AD8628</w:t>
            </w:r>
          </w:p>
        </w:tc>
        <w:tc>
          <w:tcPr/>
          <w:p>
            <w:pPr>
              <w:pStyle w:val="Compact"/>
              <w:jc w:val="left"/>
            </w:pPr>
            <w:r>
              <w:t xml:space="preserve">AD8628 Precision Operational Amplifier</w:t>
            </w:r>
          </w:p>
        </w:tc>
        <w:tc>
          <w:tcPr/>
          <w:p>
            <w:pPr>
              <w:pStyle w:val="Compact"/>
              <w:jc w:val="left"/>
            </w:pPr>
            <w:r>
              <w:t xml:space="preserve">一种低噪声、高精度运算放大器，用于微弱信号放大与调理。</w:t>
            </w:r>
          </w:p>
        </w:tc>
      </w:tr>
      <w:tr>
        <w:tc>
          <w:tcPr/>
          <w:p>
            <w:pPr>
              <w:pStyle w:val="Compact"/>
              <w:jc w:val="left"/>
            </w:pPr>
            <w:r>
              <w:t xml:space="preserve">回路总电阻</w:t>
            </w:r>
          </w:p>
        </w:tc>
        <w:tc>
          <w:tcPr/>
          <w:p>
            <w:pPr>
              <w:pStyle w:val="Compact"/>
              <w:jc w:val="left"/>
            </w:pPr>
            <w:r>
              <w:t xml:space="preserve">Loop Resistance</w:t>
            </w:r>
          </w:p>
        </w:tc>
        <w:tc>
          <w:tcPr/>
          <w:p>
            <w:pPr>
              <w:pStyle w:val="Compact"/>
              <w:jc w:val="left"/>
            </w:pPr>
            <w:r>
              <w:t xml:space="preserve">感应电流回路的总等效电阻，由接收线圈、连接导线、偏转线圈与采样电阻构成。</w:t>
            </w:r>
          </w:p>
        </w:tc>
      </w:tr>
      <w:tr>
        <w:tc>
          <w:tcPr/>
          <w:p>
            <w:pPr>
              <w:pStyle w:val="Compact"/>
              <w:jc w:val="left"/>
            </w:pPr>
            <w:r>
              <w:t xml:space="preserve">归一化算子</w:t>
            </w:r>
          </w:p>
        </w:tc>
        <w:tc>
          <w:tcPr/>
          <w:p>
            <w:pPr>
              <w:pStyle w:val="Compact"/>
              <w:jc w:val="left"/>
            </w:pPr>
            <w:r>
              <w:t xml:space="preserve">Normalization Operator</w:t>
            </w:r>
          </w:p>
        </w:tc>
        <w:tc>
          <w:tcPr/>
          <w:p>
            <w:pPr>
              <w:pStyle w:val="Compact"/>
              <w:jc w:val="left"/>
            </w:pPr>
            <w:r>
              <w:t xml:space="preserve">一种对PSD采集的两端信号比例化处理的方法，结果与光源强度无关。</w:t>
            </w:r>
          </w:p>
        </w:tc>
      </w:tr>
      <w:tr>
        <w:tc>
          <w:tcPr/>
          <w:p>
            <w:pPr>
              <w:pStyle w:val="Compact"/>
              <w:jc w:val="left"/>
            </w:pPr>
            <w:r>
              <w:t xml:space="preserve">模拟信号调理</w:t>
            </w:r>
          </w:p>
        </w:tc>
        <w:tc>
          <w:tcPr/>
          <w:p>
            <w:pPr>
              <w:pStyle w:val="Compact"/>
              <w:jc w:val="left"/>
            </w:pPr>
            <w:r>
              <w:t xml:space="preserve">Analog Signal Conditioning</w:t>
            </w:r>
          </w:p>
        </w:tc>
        <w:tc>
          <w:tcPr/>
          <w:p>
            <w:pPr>
              <w:pStyle w:val="Compact"/>
              <w:jc w:val="left"/>
            </w:pPr>
            <w:r>
              <w:t xml:space="preserve">对原始模拟信号进行放大、滤波、偏置调整和噪声抑制等处理的过程。</w:t>
            </w:r>
          </w:p>
        </w:tc>
      </w:tr>
      <w:tr>
        <w:tc>
          <w:tcPr/>
          <w:p>
            <w:pPr>
              <w:pStyle w:val="Compact"/>
              <w:jc w:val="left"/>
            </w:pPr>
            <w:r>
              <w:t xml:space="preserve">偏转系统等效扭转刚度</w:t>
            </w:r>
          </w:p>
        </w:tc>
        <w:tc>
          <w:tcPr/>
          <w:p>
            <w:pPr>
              <w:pStyle w:val="Compact"/>
              <w:jc w:val="left"/>
            </w:pPr>
            <w:r>
              <w:t xml:space="preserve">Equivalent Torsional Stiffness of Deflection System</w:t>
            </w:r>
          </w:p>
        </w:tc>
        <w:tc>
          <w:tcPr/>
          <w:p>
            <w:pPr>
              <w:pStyle w:val="Compact"/>
              <w:jc w:val="left"/>
            </w:pPr>
            <w:r>
              <w:t xml:space="preserve">描述偏转结构抵抗旋转变形能力的等效参数。</w:t>
            </w:r>
          </w:p>
        </w:tc>
      </w:tr>
      <w:tr>
        <w:tc>
          <w:tcPr/>
          <w:p>
            <w:pPr>
              <w:pStyle w:val="Compact"/>
              <w:jc w:val="left"/>
            </w:pPr>
            <w:r>
              <w:t xml:space="preserve">两级标定</w:t>
            </w:r>
          </w:p>
        </w:tc>
        <w:tc>
          <w:tcPr/>
          <w:p>
            <w:pPr>
              <w:pStyle w:val="Compact"/>
              <w:jc w:val="left"/>
            </w:pPr>
            <w:r>
              <w:t xml:space="preserve">Two-stage Calibration</w:t>
            </w:r>
          </w:p>
        </w:tc>
        <w:tc>
          <w:tcPr/>
          <w:p>
            <w:pPr>
              <w:pStyle w:val="Compact"/>
              <w:jc w:val="left"/>
            </w:pPr>
            <w:r>
              <w:t xml:space="preserve">分”磁场—电流”与”电流—归一化算子”两段闭合全链路转换关系的标定方法。</w:t>
            </w:r>
          </w:p>
        </w:tc>
      </w:tr>
    </w:tbl>
    <w:p>
      <w:pPr>
        <w:pStyle w:val="Center"/>
      </w:pPr>
      <w:r>
        <w:t xml:space="preserve">——全文完——</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
    <w:p>
      <w:pPr>
        <w:pStyle w:val="FootnoteText"/>
      </w:pPr>
      <w:r>
        <w:rPr>
          <w:rStyle w:val="FootnoteReference"/>
        </w:rPr>
        <w:footnoteRef/>
      </w:r>
      <w:r>
        <w:t xml:space="preserve"> </w:t>
      </w:r>
      <w:r>
        <w:t xml:space="preserve">实际操作时应保证</w:t>
      </w:r>
      <w:r>
        <w:t xml:space="preserve"> </w:t>
      </w:r>
      <m:oMath>
        <m:r>
          <m:t>θ</m:t>
        </m:r>
        <m:r>
          <m:rPr>
            <m:sty m:val="p"/>
          </m:rPr>
          <m:t>≤</m:t>
        </m:r>
        <m:sSup>
          <m:e>
            <m:r>
              <m:t>5</m:t>
            </m:r>
          </m:e>
          <m:sup>
            <m:r>
              <m:rPr>
                <m:sty m:val="p"/>
              </m:rPr>
              <m:t>∘</m:t>
            </m:r>
          </m:sup>
        </m:sSup>
      </m:oMath>
      <w:r>
        <w:t xml:space="preserve"> </w:t>
      </w:r>
      <w:r>
        <w:t xml:space="preserve">以控制非线性误差在1%以内。</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eastAsia="宋体" w:hAnsi="Times New Roman"/>
      <w:b w:val="0"/>
      <w:i w:val="0"/>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style>
  <w:style w:styleId="Title" w:type="paragraph">
    <w:name w:val="Title"/>
    <w:basedOn w:val="Normal"/>
    <w:next w:val="BodyText"/>
    <w:qFormat/>
    <w:pPr>
      <w:keepNext/>
      <w:keepLines/>
      <w:spacing w:after="240" w:before="480"/>
      <w:jc w:val="center"/>
    </w:pPr>
    <w:rPr>
      <w:rFonts w:ascii="Times New Roman" w:asciiTheme="majorHAnsi" w:cstheme="majorBidi" w:eastAsia="黑体" w:eastAsiaTheme="majorEastAsia" w:hAnsi="Times New Roman" w:hAnsiTheme="majorHAnsi"/>
      <w:b/>
      <w:bCs/>
      <w:i w:val="0"/>
      <w:color w:val="000000"/>
      <w:sz w:val="44"/>
      <w:szCs w:val="36"/>
    </w:rPr>
  </w:style>
  <w:style w:styleId="Subtitle" w:type="paragraph">
    <w:name w:val="Subtitle"/>
    <w:basedOn w:val="Title"/>
    <w:next w:val="BodyText"/>
    <w:qFormat/>
    <w:pPr>
      <w:keepNext/>
      <w:keepLines/>
      <w:spacing w:after="360" w:before="240"/>
      <w:jc w:val="center"/>
    </w:pPr>
    <w:rPr>
      <w:rFonts w:ascii="Times New Roman" w:eastAsia="宋体" w:hAnsi="Times New Roman"/>
      <w:b w:val="0"/>
      <w:i w:val="0"/>
      <w:color w:val="333333"/>
      <w:sz w:val="26"/>
      <w:szCs w:val="30"/>
    </w:rPr>
  </w:style>
  <w:style w:customStyle="1" w:styleId="Author" w:type="paragraph">
    <w:name w:val="Author"/>
    <w:next w:val="BodyText"/>
    <w:qFormat/>
    <w:pPr>
      <w:keepNext/>
      <w:keepLines/>
      <w:jc w:val="center"/>
    </w:pPr>
    <w:rPr>
      <w:rFonts w:ascii="Times New Roman" w:eastAsia="宋体" w:hAnsi="Times New Roman"/>
      <w:b w:val="0"/>
      <w:i w:val="0"/>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120"/>
      <w:jc w:val="center"/>
    </w:pPr>
    <w:rPr>
      <w:rFonts w:ascii="Times New Roman" w:eastAsia="宋体" w:hAnsi="Times New Roman"/>
      <w:b w:val="0"/>
      <w:i w:val="0"/>
      <w:sz w:val="21"/>
    </w:rPr>
  </w:style>
  <w:style w:customStyle="1" w:styleId="TableCaption" w:type="paragraph">
    <w:name w:val="Table Caption"/>
    <w:basedOn w:val="Caption"/>
    <w:pPr>
      <w:keepNext/>
      <w:spacing w:after="200" w:before="120"/>
      <w:jc w:val="center"/>
    </w:pPr>
    <w:rPr>
      <w:rFonts w:ascii="Times New Roman" w:eastAsia="宋体" w:hAnsi="Times New Roman"/>
      <w:b w:val="0"/>
      <w:i w:val="0"/>
      <w:sz w:val="21"/>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240" w:before="240" w:line="259" w:lineRule="auto"/>
      <w:jc w:val="center"/>
      <w:outlineLvl w:val="9"/>
    </w:pPr>
    <w:rPr>
      <w:rFonts w:ascii="Times New Roman" w:asciiTheme="majorHAnsi" w:cstheme="majorBidi" w:eastAsia="黑体" w:eastAsiaTheme="majorEastAsia" w:hAnsi="Times New Roman" w:hAnsiTheme="majorHAnsi"/>
      <w:b/>
      <w:bCs w:val="0"/>
      <w:i w:val="0"/>
      <w:color w:val="000000"/>
      <w:sz w:val="32"/>
    </w:rPr>
  </w:style>
  <w:style w:customStyle="1" w:styleId="Heading1" w:type="paragraph">
    <w:name w:val="heading 1"/>
    <w:basedOn w:val="Normal"/>
    <w:pPr>
      <w:spacing w:after="240" w:before="360"/>
    </w:pPr>
    <w:rPr>
      <w:rFonts w:ascii="Times New Roman" w:eastAsia="黑体" w:hAnsi="Times New Roman"/>
      <w:b/>
      <w:i w:val="0"/>
      <w:color w:val="000000"/>
      <w:sz w:val="32"/>
    </w:rPr>
  </w:style>
  <w:style w:customStyle="1" w:styleId="Heading2" w:type="paragraph">
    <w:name w:val="heading 2"/>
    <w:basedOn w:val="Normal"/>
    <w:pPr>
      <w:spacing w:after="160" w:before="240"/>
    </w:pPr>
    <w:rPr>
      <w:rFonts w:ascii="Times New Roman" w:eastAsia="黑体" w:hAnsi="Times New Roman"/>
      <w:b/>
      <w:i w:val="0"/>
      <w:color w:val="000000"/>
      <w:sz w:val="28"/>
    </w:rPr>
  </w:style>
  <w:style w:customStyle="1" w:styleId="Heading3" w:type="paragraph">
    <w:name w:val="heading 3"/>
    <w:basedOn w:val="Normal"/>
    <w:pPr>
      <w:spacing w:after="120" w:before="160"/>
    </w:pPr>
    <w:rPr>
      <w:rFonts w:ascii="Times New Roman" w:eastAsia="黑体" w:hAnsi="Times New Roman"/>
      <w:b/>
      <w:i w:val="0"/>
      <w:color w:val="000000"/>
      <w:sz w:val="26"/>
    </w:rPr>
  </w:style>
  <w:style w:customStyle="1" w:styleId="SourceCode" w:type="paragraph">
    <w:name w:val="SourceCode"/>
    <w:basedOn w:val="Normal"/>
    <w:pPr>
      <w:spacing w:after="80" w:line="240" w:lineRule="auto"/>
      <w:ind w:left="120"/>
      <w:shd w:color="auto" w:fill="F2F2F2" w:val="clear"/>
    </w:pPr>
    <w:rPr>
      <w:rFonts w:ascii="Consolas" w:eastAsia="宋体" w:hAnsi="Consolas"/>
      <w:b w:val="0"/>
      <w:i w:val="0"/>
      <w:sz w:val="18"/>
    </w:rPr>
  </w:style>
  <w:style w:customStyle="1" w:styleId="Center" w:type="paragraph">
    <w:name w:val="Center"/>
    <w:basedOn w:val="Normal"/>
    <w:pPr>
      <w:jc w:val="center"/>
    </w:pPr>
    <w:rPr>
      <w:rFonts w:ascii="Times New Roman" w:eastAsia="宋体" w:hAnsi="Times New Roman"/>
      <w:b w:val="0"/>
      <w:i w:val="0"/>
      <w:sz w:val="24"/>
    </w:rPr>
  </w:style>
  <w:style w:customStyle="1" w:styleId="TOC1" w:type="paragraph">
    <w:name w:val="TOC 1"/>
    <w:basedOn w:val="Normal"/>
    <w:pPr>
      <w:spacing w:after="0" w:line="312" w:lineRule="auto"/>
      <w:ind w:left="0"/>
      <w:tabs>
        <w:tab w:leader="dot" w:pos="9360" w:val="right"/>
      </w:tabs>
    </w:pPr>
    <w:rPr>
      <w:rFonts w:ascii="Times New Roman" w:eastAsia="宋体" w:hAnsi="Times New Roman"/>
      <w:b w:val="0"/>
      <w:i w:val="0"/>
      <w:sz w:val="24"/>
    </w:rPr>
  </w:style>
  <w:style w:customStyle="1" w:styleId="TOC2" w:type="paragraph">
    <w:name w:val="TOC 2"/>
    <w:basedOn w:val="Normal"/>
    <w:pPr>
      <w:spacing w:after="0" w:line="312" w:lineRule="auto"/>
      <w:ind w:left="360"/>
      <w:tabs>
        <w:tab w:leader="dot" w:pos="9360" w:val="right"/>
      </w:tabs>
    </w:pPr>
    <w:rPr>
      <w:rFonts w:ascii="Times New Roman" w:eastAsia="宋体" w:hAnsi="Times New Roman"/>
      <w:b w:val="0"/>
      <w:i w:val="0"/>
      <w:sz w:val="24"/>
    </w:rPr>
  </w:style>
  <w:style w:customStyle="1" w:styleId="TOC3" w:type="paragraph">
    <w:name w:val="TOC 3"/>
    <w:basedOn w:val="Normal"/>
    <w:pPr>
      <w:spacing w:after="0" w:line="312" w:lineRule="auto"/>
      <w:ind w:left="720"/>
      <w:tabs>
        <w:tab w:leader="dot" w:pos="9360" w:val="right"/>
      </w:tabs>
    </w:pPr>
    <w:rPr>
      <w:rFonts w:ascii="Times New Roman" w:eastAsia="宋体" w:hAnsi="Times New Roman"/>
      <w:b w:val="0"/>
      <w:i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image" Target="media/rId74.png"/><Relationship Id="rId47" Type="http://schemas.openxmlformats.org/officeDocument/2006/relationships/image" Target="media/rId47.png"/><Relationship Id="rId81" Type="http://schemas.openxmlformats.org/officeDocument/2006/relationships/image" Target="media/rId81.png"/><Relationship Id="rId94" Type="http://schemas.openxmlformats.org/officeDocument/2006/relationships/image" Target="media/rId94.png"/><Relationship Id="rId85" Type="http://schemas.openxmlformats.org/officeDocument/2006/relationships/image" Target="media/rId85.png"/><Relationship Id="rId27" Type="http://schemas.openxmlformats.org/officeDocument/2006/relationships/image" Target="media/rId27.png"/><Relationship Id="rId64" Type="http://schemas.openxmlformats.org/officeDocument/2006/relationships/image" Target="media/rId64.png"/><Relationship Id="rId68" Type="http://schemas.openxmlformats.org/officeDocument/2006/relationships/image" Target="media/rId68.png"/><Relationship Id="rId60" Type="http://schemas.openxmlformats.org/officeDocument/2006/relationships/image" Target="media/rId60.png"/><Relationship Id="rId57" Type="http://schemas.openxmlformats.org/officeDocument/2006/relationships/image" Target="media/rId57.png"/><Relationship Id="rId30" Type="http://schemas.openxmlformats.org/officeDocument/2006/relationships/image" Target="media/rId30.png"/><Relationship Id="rId40" Type="http://schemas.openxmlformats.org/officeDocument/2006/relationships/image" Target="media/rId40.png"/><Relationship Id="rId34" Type="http://schemas.openxmlformats.org/officeDocument/2006/relationships/image" Target="media/rId34.png"/><Relationship Id="rId23" Type="http://schemas.openxmlformats.org/officeDocument/2006/relationships/image" Target="media/rId23.png"/><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2026-08-03T06:18:24Z</dcterms:created>
  <dcterms:modified xsi:type="dcterms:W3CDTF">2026-08-03T06:18:24Z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　录</vt:lpwstr>
  </property>
</Properties>
</file>