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5276"/>
          <w:sz w:val="56"/>
        </w:rPr>
        <w:t>KOPONIX</w:t>
      </w:r>
    </w:p>
    <w:p>
      <w:pPr>
        <w:spacing w:after="40"/>
        <w:jc w:val="center"/>
      </w:pPr>
      <w:r>
        <w:rPr>
          <w:rFonts w:ascii="Calibri" w:hAnsi="Calibri"/>
          <w:color w:val="2E86C1"/>
          <w:sz w:val="22"/>
        </w:rPr>
        <w:t>AI-Powered Koperasi Digital Marketplace Platform</w:t>
      </w:r>
    </w:p>
    <w:p>
      <w:pPr>
        <w:spacing w:after="240"/>
        <w:jc w:val="center"/>
      </w:pPr>
      <w:r>
        <w:rPr>
          <w:rFonts w:ascii="Calibri" w:hAnsi="Calibri"/>
          <w:i/>
          <w:color w:val="646464"/>
          <w:sz w:val="20"/>
        </w:rPr>
        <w:t>Exclusively developed for Koperasi Kakitangan Bank Rakyat (KKBR)</w:t>
      </w:r>
    </w:p>
    <w:p>
      <w:pPr>
        <w:spacing w:after="240"/>
        <w:pBdr>
          <w:bottom w:val="single" w:sz="12" w:space="1" w:color="1A5276"/>
        </w:pBdr>
      </w:pPr>
    </w:p>
    <w:p>
      <w:pPr>
        <w:spacing w:after="40"/>
      </w:pPr>
      <w:r>
        <w:rPr>
          <w:rFonts w:ascii="Calibri" w:hAnsi="Calibri"/>
          <w:b/>
          <w:i w:val="0"/>
          <w:sz w:val="22"/>
        </w:rPr>
        <w:t xml:space="preserve">Our Reference: </w:t>
      </w:r>
      <w:r>
        <w:rPr>
          <w:rFonts w:ascii="Calibri" w:hAnsi="Calibri"/>
          <w:b w:val="0"/>
          <w:i w:val="0"/>
          <w:sz w:val="22"/>
        </w:rPr>
        <w:t>KPX/PROP/20260428/001</w:t>
      </w:r>
    </w:p>
    <w:p>
      <w:pPr>
        <w:spacing w:after="40"/>
      </w:pPr>
      <w:r>
        <w:rPr>
          <w:rFonts w:ascii="Calibri" w:hAnsi="Calibri"/>
          <w:b/>
          <w:i w:val="0"/>
          <w:sz w:val="22"/>
        </w:rPr>
        <w:t xml:space="preserve">Date: </w:t>
      </w:r>
      <w:r>
        <w:rPr>
          <w:rFonts w:ascii="Calibri" w:hAnsi="Calibri"/>
          <w:b w:val="0"/>
          <w:i w:val="0"/>
          <w:sz w:val="22"/>
        </w:rPr>
        <w:t>28 April 2026</w:t>
      </w:r>
    </w:p>
    <w:p/>
    <w:p>
      <w:pPr>
        <w:spacing w:after="40" w:before="0"/>
        <w:jc w:val="left"/>
      </w:pPr>
      <w:r>
        <w:rPr>
          <w:rFonts w:ascii="Calibri" w:hAnsi="Calibri"/>
          <w:b/>
          <w:i w:val="0"/>
          <w:sz w:val="22"/>
        </w:rPr>
        <w:t>Attention To:</w:t>
      </w:r>
    </w:p>
    <w:p>
      <w:pPr>
        <w:spacing w:after="40" w:before="0"/>
        <w:jc w:val="left"/>
      </w:pPr>
      <w:r>
        <w:rPr>
          <w:rFonts w:ascii="Calibri" w:hAnsi="Calibri"/>
          <w:b w:val="0"/>
          <w:i w:val="0"/>
          <w:sz w:val="22"/>
        </w:rPr>
        <w:t>Yang Berbahagia Dato' / Tuan / Puan,</w:t>
      </w:r>
    </w:p>
    <w:p>
      <w:pPr>
        <w:spacing w:after="40" w:before="0"/>
        <w:jc w:val="left"/>
      </w:pPr>
      <w:r>
        <w:rPr>
          <w:rFonts w:ascii="Calibri" w:hAnsi="Calibri"/>
          <w:b w:val="0"/>
          <w:i w:val="0"/>
          <w:sz w:val="22"/>
        </w:rPr>
        <w:t>Chief Executive Officer (CEO)</w:t>
      </w:r>
    </w:p>
    <w:p>
      <w:pPr>
        <w:spacing w:after="40" w:before="0"/>
        <w:jc w:val="left"/>
      </w:pPr>
      <w:r>
        <w:rPr>
          <w:rFonts w:ascii="Calibri" w:hAnsi="Calibri"/>
          <w:b w:val="0"/>
          <w:i w:val="0"/>
          <w:sz w:val="22"/>
        </w:rPr>
        <w:t>Koperasi Kakitangan Bank Rakyat (KKBR)</w:t>
      </w:r>
    </w:p>
    <w:p>
      <w:pPr>
        <w:spacing w:after="40" w:before="0"/>
        <w:jc w:val="left"/>
      </w:pPr>
      <w:r>
        <w:rPr>
          <w:rFonts w:ascii="Calibri" w:hAnsi="Calibri"/>
          <w:b w:val="0"/>
          <w:i w:val="0"/>
          <w:sz w:val="22"/>
        </w:rPr>
        <w:t>Wisma Bank Rakyat, Kuala Lumpur.</w:t>
      </w:r>
    </w:p>
    <w:p/>
    <w:p>
      <w:pPr>
        <w:spacing w:after="280"/>
      </w:pPr>
      <w:r>
        <w:rPr>
          <w:rFonts w:ascii="Calibri" w:hAnsi="Calibri"/>
          <w:b/>
          <w:i w:val="0"/>
          <w:color w:val="1A5276"/>
          <w:sz w:val="24"/>
        </w:rPr>
        <w:t xml:space="preserve">SUBJECT: </w:t>
      </w:r>
      <w:r>
        <w:rPr>
          <w:rFonts w:ascii="Calibri" w:hAnsi="Calibri"/>
          <w:b/>
          <w:i w:val="0"/>
          <w:color w:val="1A5276"/>
          <w:sz w:val="24"/>
        </w:rPr>
        <w:t>PROPOSAL FOR THE DEVELOPMENT, DEPLOYMENT AND MAINTENANCE OF KOPONIX — AI-POWERED DIGITAL MARKETPLACE PLATFORM FOR KOPERASI KAKITANGAN BANK RAKYAT</w:t>
      </w:r>
    </w:p>
    <w:p>
      <w:pPr>
        <w:spacing w:before="280" w:after="80"/>
        <w:jc w:val="left"/>
        <w:pBdr>
          <w:bottom w:val="single" w:sz="6" w:space="1" w:color="1A5276"/>
        </w:pBdr>
      </w:pPr>
      <w:r>
        <w:rPr>
          <w:rFonts w:ascii="Calibri" w:hAnsi="Calibri"/>
          <w:b/>
          <w:color w:val="1A5276"/>
          <w:sz w:val="26"/>
        </w:rPr>
        <w:t>1.  INTRODUCTION</w:t>
      </w:r>
    </w:p>
    <w:p>
      <w:pPr>
        <w:spacing w:after="120" w:before="0"/>
        <w:jc w:val="left"/>
      </w:pPr>
      <w:r>
        <w:rPr>
          <w:rFonts w:ascii="Calibri" w:hAnsi="Calibri"/>
          <w:b w:val="0"/>
          <w:i w:val="0"/>
          <w:sz w:val="22"/>
        </w:rPr>
        <w:t>We are pleased to present this proposal to the Management of Koperasi Kakitangan Bank Rakyat (KKBR) for the deployment and ongoing maintenance of KOPONIX — an AI-powered Koperasi Digital Economy Activation System specifically designed and built for KKBR members.</w:t>
      </w:r>
    </w:p>
    <w:p>
      <w:pPr>
        <w:spacing w:after="120" w:before="0"/>
        <w:jc w:val="left"/>
      </w:pPr>
      <w:r>
        <w:rPr>
          <w:rFonts w:ascii="Calibri" w:hAnsi="Calibri"/>
          <w:b w:val="0"/>
          <w:i w:val="0"/>
          <w:sz w:val="22"/>
        </w:rPr>
        <w:t>Koponix is a fully operational digital marketplace platform that enables KKBR members to list professional services and skills, discover trusted providers within the cooperative community, post service requests, communicate via in-app messaging with AI assistance, and transact in a structured and traceable manner — all under the KKBR brand.</w:t>
      </w:r>
    </w:p>
    <w:p>
      <w:pPr>
        <w:spacing w:after="120" w:before="0"/>
        <w:jc w:val="left"/>
      </w:pPr>
      <w:r>
        <w:rPr>
          <w:rFonts w:ascii="Calibri" w:hAnsi="Calibri"/>
          <w:b w:val="0"/>
          <w:i w:val="0"/>
          <w:sz w:val="22"/>
        </w:rPr>
        <w:t>The platform has been purpose-built with Malaysian koperasi values at its core: trust, transparency, community empowerment, and member economic participation. It is ready for immediate deployment on KKBR's own hosting infrastructure.</w:t>
      </w:r>
    </w:p>
    <w:p>
      <w:pPr>
        <w:spacing w:before="280" w:after="80"/>
        <w:jc w:val="left"/>
        <w:pBdr>
          <w:bottom w:val="single" w:sz="6" w:space="1" w:color="1A5276"/>
        </w:pBdr>
      </w:pPr>
      <w:r>
        <w:rPr>
          <w:rFonts w:ascii="Calibri" w:hAnsi="Calibri"/>
          <w:b/>
          <w:color w:val="1A5276"/>
          <w:sz w:val="26"/>
        </w:rPr>
        <w:t>2.  PLATFORM OVERVIEW — KOPONIX FEATURES</w:t>
      </w:r>
    </w:p>
    <w:p>
      <w:pPr>
        <w:spacing w:after="120" w:before="0"/>
        <w:jc w:val="left"/>
      </w:pPr>
      <w:r>
        <w:rPr>
          <w:rFonts w:ascii="Calibri" w:hAnsi="Calibri"/>
          <w:b w:val="0"/>
          <w:i w:val="0"/>
          <w:sz w:val="22"/>
        </w:rPr>
        <w:t>The Koponix platform comprises the following modules, all fully developed and tested:</w:t>
      </w:r>
    </w:p>
    <w:p>
      <w:pPr>
        <w:spacing w:after="80"/>
        <w:ind w:left="283"/>
      </w:pPr>
      <w:r>
        <w:rPr>
          <w:rFonts w:ascii="Calibri" w:hAnsi="Calibri"/>
          <w:b/>
          <w:i w:val="0"/>
          <w:sz w:val="22"/>
        </w:rPr>
        <w:t xml:space="preserve">✔  Public Marketplace: </w:t>
      </w:r>
      <w:r>
        <w:rPr>
          <w:rFonts w:ascii="Calibri" w:hAnsi="Calibri"/>
          <w:b w:val="0"/>
          <w:i w:val="0"/>
          <w:sz w:val="22"/>
        </w:rPr>
        <w:t>Browse and search member services by category and location — accessible to the public without login.</w:t>
      </w:r>
    </w:p>
    <w:p>
      <w:pPr>
        <w:spacing w:after="80"/>
        <w:ind w:left="283"/>
      </w:pPr>
      <w:r>
        <w:rPr>
          <w:rFonts w:ascii="Calibri" w:hAnsi="Calibri"/>
          <w:b/>
          <w:i w:val="0"/>
          <w:sz w:val="22"/>
        </w:rPr>
        <w:t xml:space="preserve">✔  Member Registration: </w:t>
      </w:r>
      <w:r>
        <w:rPr>
          <w:rFonts w:ascii="Calibri" w:hAnsi="Calibri"/>
          <w:b w:val="0"/>
          <w:i w:val="0"/>
          <w:sz w:val="22"/>
        </w:rPr>
        <w:t>KKBR-format member ID (KKBR-XXXXX) registration with admin approval workflow.</w:t>
      </w:r>
    </w:p>
    <w:p>
      <w:pPr>
        <w:spacing w:after="80"/>
        <w:ind w:left="283"/>
      </w:pPr>
      <w:r>
        <w:rPr>
          <w:rFonts w:ascii="Calibri" w:hAnsi="Calibri"/>
          <w:b/>
          <w:i w:val="0"/>
          <w:sz w:val="22"/>
        </w:rPr>
        <w:t xml:space="preserve">✔  Provider Listings: </w:t>
      </w:r>
      <w:r>
        <w:rPr>
          <w:rFonts w:ascii="Calibri" w:hAnsi="Calibri"/>
          <w:b w:val="0"/>
          <w:i w:val="0"/>
          <w:sz w:val="22"/>
        </w:rPr>
        <w:t>Members list skills and services with up to 3 photos, pricing, and availability details.</w:t>
      </w:r>
    </w:p>
    <w:p>
      <w:pPr>
        <w:spacing w:after="80"/>
        <w:ind w:left="283"/>
      </w:pPr>
      <w:r>
        <w:rPr>
          <w:rFonts w:ascii="Calibri" w:hAnsi="Calibri"/>
          <w:b/>
          <w:i w:val="0"/>
          <w:sz w:val="22"/>
        </w:rPr>
        <w:t xml:space="preserve">✔  Admin Approval Workflow: </w:t>
      </w:r>
      <w:r>
        <w:rPr>
          <w:rFonts w:ascii="Calibri" w:hAnsi="Calibri"/>
          <w:b w:val="0"/>
          <w:i w:val="0"/>
          <w:sz w:val="22"/>
        </w:rPr>
        <w:t>All new listings require admin review before going live, with approve/reject notes.</w:t>
      </w:r>
    </w:p>
    <w:p>
      <w:pPr>
        <w:spacing w:after="80"/>
        <w:ind w:left="283"/>
      </w:pPr>
      <w:r>
        <w:rPr>
          <w:rFonts w:ascii="Calibri" w:hAnsi="Calibri"/>
          <w:b/>
          <w:i w:val="0"/>
          <w:sz w:val="22"/>
        </w:rPr>
        <w:t xml:space="preserve">✔  Service Request Board: </w:t>
      </w:r>
      <w:r>
        <w:rPr>
          <w:rFonts w:ascii="Calibri" w:hAnsi="Calibri"/>
          <w:b w:val="0"/>
          <w:i w:val="0"/>
          <w:sz w:val="22"/>
        </w:rPr>
        <w:t>Members post service requests; demand insights and AI-generated market analysis shown.</w:t>
      </w:r>
    </w:p>
    <w:p>
      <w:pPr>
        <w:spacing w:after="80"/>
        <w:ind w:left="283"/>
      </w:pPr>
      <w:r>
        <w:rPr>
          <w:rFonts w:ascii="Calibri" w:hAnsi="Calibri"/>
          <w:b/>
          <w:i w:val="0"/>
          <w:sz w:val="22"/>
        </w:rPr>
        <w:t xml:space="preserve">✔  AI Match Engine: </w:t>
      </w:r>
      <w:r>
        <w:rPr>
          <w:rFonts w:ascii="Calibri" w:hAnsi="Calibri"/>
          <w:b w:val="0"/>
          <w:i w:val="0"/>
          <w:sz w:val="22"/>
        </w:rPr>
        <w:t>Intelligent matching of service requests to active providers by category, location, and experience.</w:t>
      </w:r>
    </w:p>
    <w:p>
      <w:pPr>
        <w:spacing w:after="80"/>
        <w:ind w:left="283"/>
      </w:pPr>
      <w:r>
        <w:rPr>
          <w:rFonts w:ascii="Calibri" w:hAnsi="Calibri"/>
          <w:b/>
          <w:i w:val="0"/>
          <w:sz w:val="22"/>
        </w:rPr>
        <w:t xml:space="preserve">✔  In-App Messaging + AI Bot: </w:t>
      </w:r>
      <w:r>
        <w:rPr>
          <w:rFonts w:ascii="Calibri" w:hAnsi="Calibri"/>
          <w:b w:val="0"/>
          <w:i w:val="0"/>
          <w:sz w:val="22"/>
        </w:rPr>
        <w:t>Real-time buyer-seller messaging with Claude AI assistant integration.</w:t>
      </w:r>
    </w:p>
    <w:p>
      <w:pPr>
        <w:spacing w:after="80"/>
        <w:ind w:left="283"/>
      </w:pPr>
      <w:r>
        <w:rPr>
          <w:rFonts w:ascii="Calibri" w:hAnsi="Calibri"/>
          <w:b/>
          <w:i w:val="0"/>
          <w:sz w:val="22"/>
        </w:rPr>
        <w:t xml:space="preserve">✔  AI Business Tools: </w:t>
      </w:r>
      <w:r>
        <w:rPr>
          <w:rFonts w:ascii="Calibri" w:hAnsi="Calibri"/>
          <w:b w:val="0"/>
          <w:i w:val="0"/>
          <w:sz w:val="22"/>
        </w:rPr>
        <w:t>AI-powered monthly performance report, promo content generator, and seller coaching.</w:t>
      </w:r>
    </w:p>
    <w:p>
      <w:pPr>
        <w:spacing w:after="80"/>
        <w:ind w:left="283"/>
      </w:pPr>
      <w:r>
        <w:rPr>
          <w:rFonts w:ascii="Calibri" w:hAnsi="Calibri"/>
          <w:b/>
          <w:i w:val="0"/>
          <w:sz w:val="22"/>
        </w:rPr>
        <w:t xml:space="preserve">✔  Referral &amp; Credits System: </w:t>
      </w:r>
      <w:r>
        <w:rPr>
          <w:rFonts w:ascii="Calibri" w:hAnsi="Calibri"/>
          <w:b w:val="0"/>
          <w:i w:val="0"/>
          <w:sz w:val="22"/>
        </w:rPr>
        <w:t>Every member earns 10 credits on registration; 10 credits per successful referral. 1 credit = RM 1.00 service discount.</w:t>
      </w:r>
    </w:p>
    <w:p>
      <w:pPr>
        <w:spacing w:after="80"/>
        <w:ind w:left="283"/>
      </w:pPr>
      <w:r>
        <w:rPr>
          <w:rFonts w:ascii="Calibri" w:hAnsi="Calibri"/>
          <w:b/>
          <w:i w:val="0"/>
          <w:sz w:val="22"/>
        </w:rPr>
        <w:t xml:space="preserve">✔  Role-Based Navigation: </w:t>
      </w:r>
      <w:r>
        <w:rPr>
          <w:rFonts w:ascii="Calibri" w:hAnsi="Calibri"/>
          <w:b w:val="0"/>
          <w:i w:val="0"/>
          <w:sz w:val="22"/>
        </w:rPr>
        <w:t>Separate views for Public, Member, Provider, and Admin — each with appropriate access controls.</w:t>
      </w:r>
    </w:p>
    <w:p>
      <w:pPr>
        <w:spacing w:after="80"/>
        <w:ind w:left="283"/>
      </w:pPr>
      <w:r>
        <w:rPr>
          <w:rFonts w:ascii="Calibri" w:hAnsi="Calibri"/>
          <w:b/>
          <w:i w:val="0"/>
          <w:sz w:val="22"/>
        </w:rPr>
        <w:t xml:space="preserve">✔  Mobile Member Dashboard: </w:t>
      </w:r>
      <w:r>
        <w:rPr>
          <w:rFonts w:ascii="Calibri" w:hAnsi="Calibri"/>
          <w:b w:val="0"/>
          <w:i w:val="0"/>
          <w:sz w:val="22"/>
        </w:rPr>
        <w:t>Native app-style mobile page with tab navigation for all member functions on smartphone.</w:t>
      </w:r>
    </w:p>
    <w:p>
      <w:pPr>
        <w:spacing w:after="80"/>
        <w:ind w:left="283"/>
      </w:pPr>
      <w:r>
        <w:rPr>
          <w:rFonts w:ascii="Calibri" w:hAnsi="Calibri"/>
          <w:b/>
          <w:i w:val="0"/>
          <w:sz w:val="22"/>
        </w:rPr>
        <w:t xml:space="preserve">✔  Admin Dashboard: </w:t>
      </w:r>
      <w:r>
        <w:rPr>
          <w:rFonts w:ascii="Calibri" w:hAnsi="Calibri"/>
          <w:b w:val="0"/>
          <w:i w:val="0"/>
          <w:sz w:val="22"/>
        </w:rPr>
        <w:t>Full admin panel: listing approvals, member management, bulk CSV import, password reset, demand analytics.</w:t>
      </w:r>
    </w:p>
    <w:p>
      <w:pPr>
        <w:spacing w:after="80"/>
        <w:ind w:left="283"/>
      </w:pPr>
      <w:r>
        <w:rPr>
          <w:rFonts w:ascii="Calibri" w:hAnsi="Calibri"/>
          <w:b/>
          <w:i w:val="0"/>
          <w:sz w:val="22"/>
        </w:rPr>
        <w:t xml:space="preserve">✔  Bulk Member Import: </w:t>
      </w:r>
      <w:r>
        <w:rPr>
          <w:rFonts w:ascii="Calibri" w:hAnsi="Calibri"/>
          <w:b w:val="0"/>
          <w:i w:val="0"/>
          <w:sz w:val="22"/>
        </w:rPr>
        <w:t>Upload member CSV to onboard all existing KKBR members in one operation.</w:t>
      </w:r>
    </w:p>
    <w:p>
      <w:pPr>
        <w:spacing w:before="280" w:after="80"/>
        <w:jc w:val="left"/>
        <w:pBdr>
          <w:bottom w:val="single" w:sz="6" w:space="1" w:color="1A5276"/>
        </w:pBdr>
      </w:pPr>
      <w:r>
        <w:rPr>
          <w:rFonts w:ascii="Calibri" w:hAnsi="Calibri"/>
          <w:b/>
          <w:color w:val="1A5276"/>
          <w:sz w:val="26"/>
        </w:rPr>
        <w:t>3.  TECHNOLOGY STACK</w:t>
      </w:r>
    </w:p>
    <w:p>
      <w:pPr>
        <w:spacing w:after="120" w:before="0"/>
        <w:jc w:val="left"/>
      </w:pPr>
      <w:r>
        <w:rPr>
          <w:rFonts w:ascii="Calibri" w:hAnsi="Calibri"/>
          <w:b w:val="0"/>
          <w:i w:val="0"/>
          <w:sz w:val="22"/>
        </w:rPr>
        <w:t>Koponix is built on proven, widely-supported technologies suitable for shared hosting environments:</w:t>
      </w:r>
    </w:p>
    <w:p>
      <w:pPr>
        <w:spacing w:after="80"/>
        <w:ind w:left="283"/>
      </w:pPr>
      <w:r>
        <w:rPr>
          <w:rFonts w:ascii="Calibri" w:hAnsi="Calibri"/>
          <w:b/>
          <w:i w:val="0"/>
          <w:sz w:val="22"/>
        </w:rPr>
        <w:t xml:space="preserve">Backend:  </w:t>
      </w:r>
      <w:r>
        <w:rPr>
          <w:rFonts w:ascii="Calibri" w:hAnsi="Calibri"/>
          <w:b w:val="0"/>
          <w:i w:val="0"/>
          <w:sz w:val="22"/>
        </w:rPr>
        <w:t>PHP 8.1 with PDO/MySQL — compatible with Hostinger shared hosting (no special server required)</w:t>
      </w:r>
    </w:p>
    <w:p>
      <w:pPr>
        <w:spacing w:after="80"/>
        <w:ind w:left="283"/>
      </w:pPr>
      <w:r>
        <w:rPr>
          <w:rFonts w:ascii="Calibri" w:hAnsi="Calibri"/>
          <w:b/>
          <w:i w:val="0"/>
          <w:sz w:val="22"/>
        </w:rPr>
        <w:t xml:space="preserve">Database:  </w:t>
      </w:r>
      <w:r>
        <w:rPr>
          <w:rFonts w:ascii="Calibri" w:hAnsi="Calibri"/>
          <w:b w:val="0"/>
          <w:i w:val="0"/>
          <w:sz w:val="22"/>
        </w:rPr>
        <w:t>MySQL 8 — fully relational with 6 tables (members, sellers, requests, conversations, messages, credit_transactions)</w:t>
      </w:r>
    </w:p>
    <w:p>
      <w:pPr>
        <w:spacing w:after="80"/>
        <w:ind w:left="283"/>
      </w:pPr>
      <w:r>
        <w:rPr>
          <w:rFonts w:ascii="Calibri" w:hAnsi="Calibri"/>
          <w:b/>
          <w:i w:val="0"/>
          <w:sz w:val="22"/>
        </w:rPr>
        <w:t xml:space="preserve">Frontend:  </w:t>
      </w:r>
      <w:r>
        <w:rPr>
          <w:rFonts w:ascii="Calibri" w:hAnsi="Calibri"/>
          <w:b w:val="0"/>
          <w:i w:val="0"/>
          <w:sz w:val="22"/>
        </w:rPr>
        <w:t>Bootstrap 5 CDN — responsive, mobile-first design without additional dependencies</w:t>
      </w:r>
    </w:p>
    <w:p>
      <w:pPr>
        <w:spacing w:after="80"/>
        <w:ind w:left="283"/>
      </w:pPr>
      <w:r>
        <w:rPr>
          <w:rFonts w:ascii="Calibri" w:hAnsi="Calibri"/>
          <w:b/>
          <w:i w:val="0"/>
          <w:sz w:val="22"/>
        </w:rPr>
        <w:t xml:space="preserve">AI Engine:  </w:t>
      </w:r>
      <w:r>
        <w:rPr>
          <w:rFonts w:ascii="Calibri" w:hAnsi="Calibri"/>
          <w:b w:val="0"/>
          <w:i w:val="0"/>
          <w:sz w:val="22"/>
        </w:rPr>
        <w:t>Anthropic Claude API (claude-sonnet-4-6 / claude-opus-4-6) for matching, messaging, coaching, and market insights</w:t>
      </w:r>
    </w:p>
    <w:p>
      <w:pPr>
        <w:spacing w:after="80"/>
        <w:ind w:left="283"/>
      </w:pPr>
      <w:r>
        <w:rPr>
          <w:rFonts w:ascii="Calibri" w:hAnsi="Calibri"/>
          <w:b/>
          <w:i w:val="0"/>
          <w:sz w:val="22"/>
        </w:rPr>
        <w:t xml:space="preserve">Security:  </w:t>
      </w:r>
      <w:r>
        <w:rPr>
          <w:rFonts w:ascii="Calibri" w:hAnsi="Calibri"/>
          <w:b w:val="0"/>
          <w:i w:val="0"/>
          <w:sz w:val="22"/>
        </w:rPr>
        <w:t>SHA-256 password hashing, MIME-validated file uploads, PHP-blocked uploads directory, session-based auth</w:t>
      </w:r>
    </w:p>
    <w:p>
      <w:pPr>
        <w:spacing w:after="80"/>
        <w:ind w:left="283"/>
      </w:pPr>
      <w:r>
        <w:rPr>
          <w:rFonts w:ascii="Calibri" w:hAnsi="Calibri"/>
          <w:b/>
          <w:i w:val="0"/>
          <w:sz w:val="22"/>
        </w:rPr>
        <w:t xml:space="preserve">Deployment:  </w:t>
      </w:r>
      <w:r>
        <w:rPr>
          <w:rFonts w:ascii="Calibri" w:hAnsi="Calibri"/>
          <w:b w:val="0"/>
          <w:i w:val="0"/>
          <w:sz w:val="22"/>
        </w:rPr>
        <w:t>Single folder upload to public_html — no Docker, no Composer, no server configuration required</w:t>
      </w:r>
    </w:p>
    <w:p>
      <w:pPr>
        <w:spacing w:before="280" w:after="80"/>
        <w:jc w:val="left"/>
        <w:pBdr>
          <w:bottom w:val="single" w:sz="6" w:space="1" w:color="1A5276"/>
        </w:pBdr>
      </w:pPr>
      <w:r>
        <w:rPr>
          <w:rFonts w:ascii="Calibri" w:hAnsi="Calibri"/>
          <w:b/>
          <w:color w:val="1A5276"/>
          <w:sz w:val="26"/>
        </w:rPr>
        <w:t>4.  PROPOSED COMMERCIAL TERMS</w:t>
      </w:r>
    </w:p>
    <w:p>
      <w:pPr>
        <w:spacing w:after="200" w:before="0"/>
        <w:jc w:val="left"/>
      </w:pPr>
      <w:r>
        <w:rPr>
          <w:rFonts w:ascii="Calibri" w:hAnsi="Calibri"/>
          <w:b w:val="0"/>
          <w:i w:val="0"/>
          <w:sz w:val="22"/>
        </w:rPr>
        <w:t>We propose the following commercial arrangement for the full deployment, branding, and ongoing operation of the Koponix platform under Koperasi Kakitangan Bank Rakyat: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680"/>
            <w:shd w:val="clear" w:color="auto" w:fill="1A5276"/>
          </w:tcPr>
          <w:p>
            <w:pPr>
              <w:jc w:val="center"/>
            </w:pPr>
            <w:r>
              <w:rPr>
                <w:rFonts w:ascii="Calibri" w:hAnsi="Calibri"/>
                <w:b/>
                <w:i w:val="0"/>
                <w:color w:val="FFFFFF"/>
                <w:sz w:val="22"/>
              </w:rPr>
              <w:t>No.</w:t>
            </w:r>
          </w:p>
        </w:tc>
        <w:tc>
          <w:tcPr>
            <w:tcW w:type="dxa" w:w="2551"/>
            <w:shd w:val="clear" w:color="auto" w:fill="1A5276"/>
          </w:tcPr>
          <w:p>
            <w:pPr>
              <w:jc w:val="center"/>
            </w:pPr>
            <w:r>
              <w:rPr>
                <w:rFonts w:ascii="Calibri" w:hAnsi="Calibri"/>
                <w:b/>
                <w:i w:val="0"/>
                <w:color w:val="FFFFFF"/>
                <w:sz w:val="22"/>
              </w:rPr>
              <w:t>Item</w:t>
            </w:r>
          </w:p>
        </w:tc>
        <w:tc>
          <w:tcPr>
            <w:tcW w:type="dxa" w:w="4819"/>
            <w:shd w:val="clear" w:color="auto" w:fill="1A5276"/>
          </w:tcPr>
          <w:p>
            <w:pPr>
              <w:jc w:val="center"/>
            </w:pPr>
            <w:r>
              <w:rPr>
                <w:rFonts w:ascii="Calibri" w:hAnsi="Calibri"/>
                <w:b/>
                <w:i w:val="0"/>
                <w:color w:val="FFFFFF"/>
                <w:sz w:val="22"/>
              </w:rPr>
              <w:t>Description</w:t>
            </w:r>
          </w:p>
        </w:tc>
        <w:tc>
          <w:tcPr>
            <w:tcW w:type="dxa" w:w="1871"/>
            <w:shd w:val="clear" w:color="auto" w:fill="1A5276"/>
          </w:tcPr>
          <w:p>
            <w:pPr>
              <w:jc w:val="center"/>
            </w:pPr>
            <w:r>
              <w:rPr>
                <w:rFonts w:ascii="Calibri" w:hAnsi="Calibri"/>
                <w:b/>
                <w:i w:val="0"/>
                <w:color w:val="FFFFFF"/>
                <w:sz w:val="22"/>
              </w:rPr>
              <w:t>Fee</w:t>
            </w:r>
          </w:p>
        </w:tc>
      </w:tr>
      <w:tr>
        <w:tc>
          <w:tcPr>
            <w:tcW w:type="dxa" w:w="680"/>
            <w:vAlign w:val="center"/>
          </w:tcPr>
          <w:p>
            <w:pPr>
              <w:jc w:val="center"/>
            </w:pPr>
            <w:r>
              <w:rPr>
                <w:rFonts w:ascii="Calibri" w:hAnsi="Calibri"/>
                <w:b w:val="0"/>
                <w:i w:val="0"/>
                <w:sz w:val="21"/>
              </w:rPr>
              <w:t>1</w:t>
            </w:r>
          </w:p>
        </w:tc>
        <w:tc>
          <w:tcPr>
            <w:tcW w:type="dxa" w:w="2551"/>
            <w:vAlign w:val="center"/>
          </w:tcPr>
          <w:p>
            <w:pPr>
              <w:jc w:val="left"/>
            </w:pPr>
            <w:r>
              <w:rPr>
                <w:rFonts w:ascii="Calibri" w:hAnsi="Calibri"/>
                <w:b/>
                <w:i w:val="0"/>
                <w:sz w:val="21"/>
              </w:rPr>
              <w:t>Platform Setup &amp;</w:t>
              <w:br/>
              <w:t>Deployment Fee</w:t>
            </w:r>
          </w:p>
        </w:tc>
        <w:tc>
          <w:tcPr>
            <w:tcW w:type="dxa" w:w="4819"/>
            <w:vAlign w:val="center"/>
          </w:tcPr>
          <w:p>
            <w:pPr>
              <w:jc w:val="left"/>
            </w:pPr>
            <w:r>
              <w:rPr>
                <w:rFonts w:ascii="Calibri" w:hAnsi="Calibri"/>
                <w:b w:val="0"/>
                <w:i w:val="0"/>
                <w:sz w:val="21"/>
              </w:rPr>
              <w:t>One-time setup, domain configuration, database initialisation, member data import, admin training session (1 day)</w:t>
            </w:r>
          </w:p>
        </w:tc>
        <w:tc>
          <w:tcPr>
            <w:tcW w:type="dxa" w:w="1871"/>
            <w:vAlign w:val="center"/>
          </w:tcPr>
          <w:p>
            <w:pPr>
              <w:jc w:val="center"/>
            </w:pPr>
            <w:r>
              <w:rPr>
                <w:rFonts w:ascii="Calibri" w:hAnsi="Calibri"/>
                <w:b/>
                <w:i w:val="0"/>
                <w:sz w:val="21"/>
              </w:rPr>
              <w:t>RM 8,500</w:t>
              <w:br/>
              <w:t>(one-time)</w:t>
            </w:r>
          </w:p>
        </w:tc>
      </w:tr>
      <w:tr>
        <w:tc>
          <w:tcPr>
            <w:tcW w:type="dxa" w:w="680"/>
            <w:shd w:val="clear" w:color="auto" w:fill="EAF2F8"/>
            <w:vAlign w:val="center"/>
          </w:tcPr>
          <w:p>
            <w:pPr>
              <w:jc w:val="center"/>
            </w:pPr>
            <w:r>
              <w:rPr>
                <w:rFonts w:ascii="Calibri" w:hAnsi="Calibri"/>
                <w:b w:val="0"/>
                <w:i w:val="0"/>
                <w:sz w:val="21"/>
              </w:rPr>
              <w:t>2</w:t>
            </w:r>
          </w:p>
        </w:tc>
        <w:tc>
          <w:tcPr>
            <w:tcW w:type="dxa" w:w="2551"/>
            <w:shd w:val="clear" w:color="auto" w:fill="EAF2F8"/>
            <w:vAlign w:val="center"/>
          </w:tcPr>
          <w:p>
            <w:pPr>
              <w:jc w:val="left"/>
            </w:pPr>
            <w:r>
              <w:rPr>
                <w:rFonts w:ascii="Calibri" w:hAnsi="Calibri"/>
                <w:b/>
                <w:i w:val="0"/>
                <w:sz w:val="21"/>
              </w:rPr>
              <w:t>Monthly Platform</w:t>
              <w:br/>
              <w:t>Maintenance</w:t>
            </w:r>
          </w:p>
        </w:tc>
        <w:tc>
          <w:tcPr>
            <w:tcW w:type="dxa" w:w="4819"/>
            <w:shd w:val="clear" w:color="auto" w:fill="EAF2F8"/>
            <w:vAlign w:val="center"/>
          </w:tcPr>
          <w:p>
            <w:pPr>
              <w:jc w:val="left"/>
            </w:pPr>
            <w:r>
              <w:rPr>
                <w:rFonts w:ascii="Calibri" w:hAnsi="Calibri"/>
                <w:b w:val="0"/>
                <w:i w:val="0"/>
                <w:sz w:val="21"/>
              </w:rPr>
              <w:t>Hosting management, platform updates &amp; patches, AI API cost coverage, technical support (5-day response), monthly usage report, admin assistance</w:t>
            </w:r>
          </w:p>
        </w:tc>
        <w:tc>
          <w:tcPr>
            <w:tcW w:type="dxa" w:w="1871"/>
            <w:shd w:val="clear" w:color="auto" w:fill="EAF2F8"/>
            <w:vAlign w:val="center"/>
          </w:tcPr>
          <w:p>
            <w:pPr>
              <w:jc w:val="center"/>
            </w:pPr>
            <w:r>
              <w:rPr>
                <w:rFonts w:ascii="Calibri" w:hAnsi="Calibri"/>
                <w:b/>
                <w:i w:val="0"/>
                <w:sz w:val="21"/>
              </w:rPr>
              <w:t>RM 5,800</w:t>
              <w:br/>
              <w:t>per month</w:t>
            </w:r>
          </w:p>
        </w:tc>
      </w:tr>
      <w:tr>
        <w:tc>
          <w:tcPr>
            <w:tcW w:type="dxa" w:w="680"/>
            <w:vAlign w:val="center"/>
          </w:tcPr>
          <w:p>
            <w:pPr>
              <w:jc w:val="center"/>
            </w:pPr>
            <w:r>
              <w:rPr>
                <w:rFonts w:ascii="Calibri" w:hAnsi="Calibri"/>
                <w:b w:val="0"/>
                <w:i w:val="0"/>
                <w:sz w:val="21"/>
              </w:rPr>
              <w:t>3</w:t>
            </w:r>
          </w:p>
        </w:tc>
        <w:tc>
          <w:tcPr>
            <w:tcW w:type="dxa" w:w="2551"/>
            <w:vAlign w:val="center"/>
          </w:tcPr>
          <w:p>
            <w:pPr>
              <w:jc w:val="left"/>
            </w:pPr>
            <w:r>
              <w:rPr>
                <w:rFonts w:ascii="Calibri" w:hAnsi="Calibri"/>
                <w:b/>
                <w:i w:val="0"/>
                <w:sz w:val="21"/>
              </w:rPr>
              <w:t>Transaction Revenue</w:t>
              <w:br/>
              <w:t>Share</w:t>
            </w:r>
          </w:p>
        </w:tc>
        <w:tc>
          <w:tcPr>
            <w:tcW w:type="dxa" w:w="4819"/>
            <w:vAlign w:val="center"/>
          </w:tcPr>
          <w:p>
            <w:pPr>
              <w:jc w:val="left"/>
            </w:pPr>
            <w:r>
              <w:rPr>
                <w:rFonts w:ascii="Calibri" w:hAnsi="Calibri"/>
                <w:b w:val="0"/>
                <w:i w:val="0"/>
                <w:sz w:val="21"/>
              </w:rPr>
              <w:t>A service charge of 1.5% on the value of each completed service transaction facilitated through the Koponix platform</w:t>
            </w:r>
          </w:p>
        </w:tc>
        <w:tc>
          <w:tcPr>
            <w:tcW w:type="dxa" w:w="1871"/>
            <w:vAlign w:val="center"/>
          </w:tcPr>
          <w:p>
            <w:pPr>
              <w:jc w:val="center"/>
            </w:pPr>
            <w:r>
              <w:rPr>
                <w:rFonts w:ascii="Calibri" w:hAnsi="Calibri"/>
                <w:b/>
                <w:i w:val="0"/>
                <w:sz w:val="21"/>
              </w:rPr>
              <w:t>1.5% of</w:t>
              <w:br/>
              <w:t>transaction value</w:t>
            </w:r>
          </w:p>
        </w:tc>
      </w:tr>
      <w:tr>
        <w:tc>
          <w:tcPr>
            <w:tcW w:type="dxa" w:w="680"/>
            <w:shd w:val="clear" w:color="auto" w:fill="EAF2F8"/>
            <w:vAlign w:val="center"/>
          </w:tcPr>
          <w:p>
            <w:pPr>
              <w:jc w:val="center"/>
            </w:pPr>
            <w:r>
              <w:rPr>
                <w:rFonts w:ascii="Calibri" w:hAnsi="Calibri"/>
                <w:b w:val="0"/>
                <w:i w:val="0"/>
                <w:sz w:val="21"/>
              </w:rPr>
              <w:t>4</w:t>
            </w:r>
          </w:p>
        </w:tc>
        <w:tc>
          <w:tcPr>
            <w:tcW w:type="dxa" w:w="2551"/>
            <w:shd w:val="clear" w:color="auto" w:fill="EAF2F8"/>
            <w:vAlign w:val="center"/>
          </w:tcPr>
          <w:p>
            <w:pPr>
              <w:jc w:val="left"/>
            </w:pPr>
            <w:r>
              <w:rPr>
                <w:rFonts w:ascii="Calibri" w:hAnsi="Calibri"/>
                <w:b/>
                <w:i w:val="0"/>
                <w:sz w:val="21"/>
              </w:rPr>
              <w:t>Referral Credits</w:t>
              <w:br/>
              <w:t>System</w:t>
            </w:r>
          </w:p>
        </w:tc>
        <w:tc>
          <w:tcPr>
            <w:tcW w:type="dxa" w:w="4819"/>
            <w:shd w:val="clear" w:color="auto" w:fill="EAF2F8"/>
            <w:vAlign w:val="center"/>
          </w:tcPr>
          <w:p>
            <w:pPr>
              <w:jc w:val="left"/>
            </w:pPr>
            <w:r>
              <w:rPr>
                <w:rFonts w:ascii="Calibri" w:hAnsi="Calibri"/>
                <w:b w:val="0"/>
                <w:i w:val="0"/>
                <w:sz w:val="21"/>
              </w:rPr>
              <w:t>Included — members earn credits through referrals; credits used as RM discount on service orders. No additional charge.</w:t>
            </w:r>
          </w:p>
        </w:tc>
        <w:tc>
          <w:tcPr>
            <w:tcW w:type="dxa" w:w="1871"/>
            <w:shd w:val="clear" w:color="auto" w:fill="EAF2F8"/>
            <w:vAlign w:val="center"/>
          </w:tcPr>
          <w:p>
            <w:pPr>
              <w:jc w:val="center"/>
            </w:pPr>
            <w:r>
              <w:rPr>
                <w:rFonts w:ascii="Calibri" w:hAnsi="Calibri"/>
                <w:b/>
                <w:i w:val="0"/>
                <w:sz w:val="21"/>
              </w:rPr>
              <w:t>Included</w:t>
            </w:r>
          </w:p>
        </w:tc>
      </w:tr>
    </w:tbl>
    <w:p/>
    <w:p>
      <w:pPr>
        <w:spacing w:after="120" w:before="0"/>
        <w:jc w:val="left"/>
      </w:pPr>
      <w:r>
        <w:rPr>
          <w:rFonts w:ascii="Calibri" w:hAnsi="Calibri"/>
          <w:b w:val="0"/>
          <w:i/>
          <w:color w:val="646464"/>
          <w:sz w:val="20"/>
        </w:rPr>
        <w:t>Note: Monthly maintenance fee is payable on the 1st of each month. Transaction revenue share will be reconciled and invoiced monthly based on confirmed completed transactions. All fees are exclusive of SST (if applicable).</w:t>
      </w:r>
    </w:p>
    <w:p>
      <w:pPr>
        <w:spacing w:before="280" w:after="80"/>
        <w:jc w:val="left"/>
        <w:pBdr>
          <w:bottom w:val="single" w:sz="6" w:space="1" w:color="1A5276"/>
        </w:pBdr>
      </w:pPr>
      <w:r>
        <w:rPr>
          <w:rFonts w:ascii="Calibri" w:hAnsi="Calibri"/>
          <w:b/>
          <w:color w:val="1A5276"/>
          <w:sz w:val="26"/>
        </w:rPr>
        <w:t>5.  IMPLEMENTATION TIMELINE</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2E86C1"/>
          </w:tcPr>
          <w:p>
            <w:pPr>
              <w:jc w:val="center"/>
            </w:pPr>
            <w:r>
              <w:rPr>
                <w:rFonts w:ascii="Calibri" w:hAnsi="Calibri"/>
                <w:b/>
                <w:i w:val="0"/>
                <w:color w:val="FFFFFF"/>
                <w:sz w:val="22"/>
              </w:rPr>
              <w:t>Phase</w:t>
            </w:r>
          </w:p>
        </w:tc>
        <w:tc>
          <w:tcPr>
            <w:tcW w:type="dxa" w:w="2929"/>
            <w:shd w:val="clear" w:color="auto" w:fill="2E86C1"/>
          </w:tcPr>
          <w:p>
            <w:pPr>
              <w:jc w:val="center"/>
            </w:pPr>
            <w:r>
              <w:rPr>
                <w:rFonts w:ascii="Calibri" w:hAnsi="Calibri"/>
                <w:b/>
                <w:i w:val="0"/>
                <w:color w:val="FFFFFF"/>
                <w:sz w:val="22"/>
              </w:rPr>
              <w:t>Activities</w:t>
            </w:r>
          </w:p>
        </w:tc>
        <w:tc>
          <w:tcPr>
            <w:tcW w:type="dxa" w:w="2929"/>
            <w:shd w:val="clear" w:color="auto" w:fill="2E86C1"/>
          </w:tcPr>
          <w:p>
            <w:pPr>
              <w:jc w:val="center"/>
            </w:pPr>
            <w:r>
              <w:rPr>
                <w:rFonts w:ascii="Calibri" w:hAnsi="Calibri"/>
                <w:b/>
                <w:i w:val="0"/>
                <w:color w:val="FFFFFF"/>
                <w:sz w:val="22"/>
              </w:rPr>
              <w:t>Duration</w:t>
            </w:r>
          </w:p>
        </w:tc>
      </w:tr>
      <w:tr>
        <w:tc>
          <w:tcPr>
            <w:tcW w:type="dxa" w:w="2929"/>
            <w:vAlign w:val="center"/>
          </w:tcPr>
          <w:p>
            <w:pPr>
              <w:jc w:val="center"/>
            </w:pPr>
            <w:r>
              <w:rPr>
                <w:rFonts w:ascii="Calibri" w:hAnsi="Calibri"/>
                <w:b/>
                <w:i w:val="0"/>
                <w:sz w:val="21"/>
              </w:rPr>
              <w:t>Phase 1</w:t>
              <w:br/>
              <w:t>Preparation</w:t>
            </w:r>
          </w:p>
        </w:tc>
        <w:tc>
          <w:tcPr>
            <w:tcW w:type="dxa" w:w="2929"/>
            <w:vAlign w:val="center"/>
          </w:tcPr>
          <w:p>
            <w:pPr>
              <w:jc w:val="left"/>
            </w:pPr>
            <w:r>
              <w:rPr>
                <w:rFonts w:ascii="Calibri" w:hAnsi="Calibri"/>
                <w:b w:val="0"/>
                <w:i w:val="0"/>
                <w:sz w:val="21"/>
              </w:rPr>
              <w:t>MOU signing, domain setup, config.php customisation (KKBR branding, colours, logo), database initialisation via setup.php</w:t>
            </w:r>
          </w:p>
        </w:tc>
        <w:tc>
          <w:tcPr>
            <w:tcW w:type="dxa" w:w="2929"/>
            <w:vAlign w:val="center"/>
          </w:tcPr>
          <w:p>
            <w:pPr>
              <w:jc w:val="center"/>
            </w:pPr>
            <w:r>
              <w:rPr>
                <w:rFonts w:ascii="Calibri" w:hAnsi="Calibri"/>
                <w:b/>
                <w:i w:val="0"/>
                <w:sz w:val="21"/>
              </w:rPr>
              <w:t>1 – 2 weeks</w:t>
            </w:r>
          </w:p>
        </w:tc>
      </w:tr>
      <w:tr>
        <w:tc>
          <w:tcPr>
            <w:tcW w:type="dxa" w:w="2929"/>
            <w:shd w:val="clear" w:color="auto" w:fill="EAF2F8"/>
            <w:vAlign w:val="center"/>
          </w:tcPr>
          <w:p>
            <w:pPr>
              <w:jc w:val="center"/>
            </w:pPr>
            <w:r>
              <w:rPr>
                <w:rFonts w:ascii="Calibri" w:hAnsi="Calibri"/>
                <w:b/>
                <w:i w:val="0"/>
                <w:sz w:val="21"/>
              </w:rPr>
              <w:t>Phase 2</w:t>
              <w:br/>
              <w:t>Onboarding</w:t>
            </w:r>
          </w:p>
        </w:tc>
        <w:tc>
          <w:tcPr>
            <w:tcW w:type="dxa" w:w="2929"/>
            <w:shd w:val="clear" w:color="auto" w:fill="EAF2F8"/>
            <w:vAlign w:val="center"/>
          </w:tcPr>
          <w:p>
            <w:pPr>
              <w:jc w:val="left"/>
            </w:pPr>
            <w:r>
              <w:rPr>
                <w:rFonts w:ascii="Calibri" w:hAnsi="Calibri"/>
                <w:b w:val="0"/>
                <w:i w:val="0"/>
                <w:sz w:val="21"/>
              </w:rPr>
              <w:t>Bulk member CSV import, admin training, pilot group onboarding (20–50 volunteer members)</w:t>
            </w:r>
          </w:p>
        </w:tc>
        <w:tc>
          <w:tcPr>
            <w:tcW w:type="dxa" w:w="2929"/>
            <w:shd w:val="clear" w:color="auto" w:fill="EAF2F8"/>
            <w:vAlign w:val="center"/>
          </w:tcPr>
          <w:p>
            <w:pPr>
              <w:jc w:val="center"/>
            </w:pPr>
            <w:r>
              <w:rPr>
                <w:rFonts w:ascii="Calibri" w:hAnsi="Calibri"/>
                <w:b/>
                <w:i w:val="0"/>
                <w:sz w:val="21"/>
              </w:rPr>
              <w:t>2 – 3 weeks</w:t>
            </w:r>
          </w:p>
        </w:tc>
      </w:tr>
      <w:tr>
        <w:tc>
          <w:tcPr>
            <w:tcW w:type="dxa" w:w="2929"/>
            <w:vAlign w:val="center"/>
          </w:tcPr>
          <w:p>
            <w:pPr>
              <w:jc w:val="center"/>
            </w:pPr>
            <w:r>
              <w:rPr>
                <w:rFonts w:ascii="Calibri" w:hAnsi="Calibri"/>
                <w:b/>
                <w:i w:val="0"/>
                <w:sz w:val="21"/>
              </w:rPr>
              <w:t>Phase 3</w:t>
              <w:br/>
              <w:t>Soft Launch</w:t>
            </w:r>
          </w:p>
        </w:tc>
        <w:tc>
          <w:tcPr>
            <w:tcW w:type="dxa" w:w="2929"/>
            <w:vAlign w:val="center"/>
          </w:tcPr>
          <w:p>
            <w:pPr>
              <w:jc w:val="left"/>
            </w:pPr>
            <w:r>
              <w:rPr>
                <w:rFonts w:ascii="Calibri" w:hAnsi="Calibri"/>
                <w:b w:val="0"/>
                <w:i w:val="0"/>
                <w:sz w:val="21"/>
              </w:rPr>
              <w:t>Pilot run with selected members, monitoring, feedback collection, refinements</w:t>
            </w:r>
          </w:p>
        </w:tc>
        <w:tc>
          <w:tcPr>
            <w:tcW w:type="dxa" w:w="2929"/>
            <w:vAlign w:val="center"/>
          </w:tcPr>
          <w:p>
            <w:pPr>
              <w:jc w:val="center"/>
            </w:pPr>
            <w:r>
              <w:rPr>
                <w:rFonts w:ascii="Calibri" w:hAnsi="Calibri"/>
                <w:b/>
                <w:i w:val="0"/>
                <w:sz w:val="21"/>
              </w:rPr>
              <w:t>4 weeks</w:t>
            </w:r>
          </w:p>
        </w:tc>
      </w:tr>
      <w:tr>
        <w:tc>
          <w:tcPr>
            <w:tcW w:type="dxa" w:w="2929"/>
            <w:shd w:val="clear" w:color="auto" w:fill="EAF2F8"/>
            <w:vAlign w:val="center"/>
          </w:tcPr>
          <w:p>
            <w:pPr>
              <w:jc w:val="center"/>
            </w:pPr>
            <w:r>
              <w:rPr>
                <w:rFonts w:ascii="Calibri" w:hAnsi="Calibri"/>
                <w:b/>
                <w:i w:val="0"/>
                <w:sz w:val="21"/>
              </w:rPr>
              <w:t>Phase 4</w:t>
              <w:br/>
              <w:t>Full Launch</w:t>
            </w:r>
          </w:p>
        </w:tc>
        <w:tc>
          <w:tcPr>
            <w:tcW w:type="dxa" w:w="2929"/>
            <w:shd w:val="clear" w:color="auto" w:fill="EAF2F8"/>
            <w:vAlign w:val="center"/>
          </w:tcPr>
          <w:p>
            <w:pPr>
              <w:jc w:val="left"/>
            </w:pPr>
            <w:r>
              <w:rPr>
                <w:rFonts w:ascii="Calibri" w:hAnsi="Calibri"/>
                <w:b w:val="0"/>
                <w:i w:val="0"/>
                <w:sz w:val="21"/>
              </w:rPr>
              <w:t>Official launch event, mass WhatsApp announcement, public marketplace goes live</w:t>
            </w:r>
          </w:p>
        </w:tc>
        <w:tc>
          <w:tcPr>
            <w:tcW w:type="dxa" w:w="2929"/>
            <w:shd w:val="clear" w:color="auto" w:fill="EAF2F8"/>
            <w:vAlign w:val="center"/>
          </w:tcPr>
          <w:p>
            <w:pPr>
              <w:jc w:val="center"/>
            </w:pPr>
            <w:r>
              <w:rPr>
                <w:rFonts w:ascii="Calibri" w:hAnsi="Calibri"/>
                <w:b/>
                <w:i w:val="0"/>
                <w:sz w:val="21"/>
              </w:rPr>
              <w:t>Week 7 onward</w:t>
            </w:r>
          </w:p>
        </w:tc>
      </w:tr>
      <w:tr>
        <w:tc>
          <w:tcPr>
            <w:tcW w:type="dxa" w:w="2929"/>
            <w:vAlign w:val="center"/>
          </w:tcPr>
          <w:p>
            <w:pPr>
              <w:jc w:val="center"/>
            </w:pPr>
            <w:r>
              <w:rPr>
                <w:rFonts w:ascii="Calibri" w:hAnsi="Calibri"/>
                <w:b/>
                <w:i w:val="0"/>
                <w:sz w:val="21"/>
              </w:rPr>
              <w:t>Ongoing</w:t>
              <w:br/>
              <w:t>Operations</w:t>
            </w:r>
          </w:p>
        </w:tc>
        <w:tc>
          <w:tcPr>
            <w:tcW w:type="dxa" w:w="2929"/>
            <w:vAlign w:val="center"/>
          </w:tcPr>
          <w:p>
            <w:pPr>
              <w:jc w:val="left"/>
            </w:pPr>
            <w:r>
              <w:rPr>
                <w:rFonts w:ascii="Calibri" w:hAnsi="Calibri"/>
                <w:b w:val="0"/>
                <w:i w:val="0"/>
                <w:sz w:val="21"/>
              </w:rPr>
              <w:t>Monthly reporting, platform updates, credit system monitoring, new feature rollout as agreed</w:t>
            </w:r>
          </w:p>
        </w:tc>
        <w:tc>
          <w:tcPr>
            <w:tcW w:type="dxa" w:w="2929"/>
            <w:vAlign w:val="center"/>
          </w:tcPr>
          <w:p>
            <w:pPr>
              <w:jc w:val="center"/>
            </w:pPr>
            <w:r>
              <w:rPr>
                <w:rFonts w:ascii="Calibri" w:hAnsi="Calibri"/>
                <w:b/>
                <w:i w:val="0"/>
                <w:sz w:val="21"/>
              </w:rPr>
              <w:t>Monthly</w:t>
            </w:r>
          </w:p>
        </w:tc>
      </w:tr>
    </w:tbl>
    <w:p/>
    <w:p>
      <w:pPr>
        <w:spacing w:before="280" w:after="80"/>
        <w:jc w:val="left"/>
        <w:pBdr>
          <w:bottom w:val="single" w:sz="6" w:space="1" w:color="1A5276"/>
        </w:pBdr>
      </w:pPr>
      <w:r>
        <w:rPr>
          <w:rFonts w:ascii="Calibri" w:hAnsi="Calibri"/>
          <w:b/>
          <w:color w:val="1A5276"/>
          <w:sz w:val="26"/>
        </w:rPr>
        <w:t>6.  STRATEGIC BENEFITS TO KOPERASI KAKITANGAN BANK RAKYAT</w:t>
      </w:r>
    </w:p>
    <w:p>
      <w:pPr>
        <w:pStyle w:val="ListBullet"/>
        <w:spacing w:after="60"/>
        <w:ind w:left="397"/>
      </w:pPr>
      <w:r>
        <w:rPr>
          <w:rFonts w:ascii="Calibri" w:hAnsi="Calibri"/>
          <w:b w:val="0"/>
          <w:i w:val="0"/>
          <w:sz w:val="22"/>
        </w:rPr>
        <w:t>New revenue stream through the 1.5% transaction commission without capital investment in platform development.</w:t>
      </w:r>
    </w:p>
    <w:p>
      <w:pPr>
        <w:pStyle w:val="ListBullet"/>
        <w:spacing w:after="60"/>
        <w:ind w:left="397"/>
      </w:pPr>
      <w:r>
        <w:rPr>
          <w:rFonts w:ascii="Calibri" w:hAnsi="Calibri"/>
          <w:b w:val="0"/>
          <w:i w:val="0"/>
          <w:sz w:val="22"/>
        </w:rPr>
        <w:t>Strengthen member loyalty and engagement — members have a trusted, exclusive marketplace within KKBR.</w:t>
      </w:r>
    </w:p>
    <w:p>
      <w:pPr>
        <w:pStyle w:val="ListBullet"/>
        <w:spacing w:after="60"/>
        <w:ind w:left="397"/>
      </w:pPr>
      <w:r>
        <w:rPr>
          <w:rFonts w:ascii="Calibri" w:hAnsi="Calibri"/>
          <w:b w:val="0"/>
          <w:i w:val="0"/>
          <w:sz w:val="22"/>
        </w:rPr>
        <w:t>Digital transformation milestone — positions KKBR as a progressive, technology-forward cooperative.</w:t>
      </w:r>
    </w:p>
    <w:p>
      <w:pPr>
        <w:pStyle w:val="ListBullet"/>
        <w:spacing w:after="60"/>
        <w:ind w:left="397"/>
      </w:pPr>
      <w:r>
        <w:rPr>
          <w:rFonts w:ascii="Calibri" w:hAnsi="Calibri"/>
          <w:b w:val="0"/>
          <w:i w:val="0"/>
          <w:sz w:val="22"/>
        </w:rPr>
        <w:t>Fully branded under KKBR — the platform carries the KKBR identity, increasing brand visibility.</w:t>
      </w:r>
    </w:p>
    <w:p>
      <w:pPr>
        <w:pStyle w:val="ListBullet"/>
        <w:spacing w:after="60"/>
        <w:ind w:left="397"/>
      </w:pPr>
      <w:r>
        <w:rPr>
          <w:rFonts w:ascii="Calibri" w:hAnsi="Calibri"/>
          <w:b w:val="0"/>
          <w:i w:val="0"/>
          <w:sz w:val="22"/>
        </w:rPr>
        <w:t>Data insights — admin dashboard provides real-time demand analytics, request trends, and member activity.</w:t>
      </w:r>
    </w:p>
    <w:p>
      <w:pPr>
        <w:pStyle w:val="ListBullet"/>
        <w:spacing w:after="60"/>
        <w:ind w:left="397"/>
      </w:pPr>
      <w:r>
        <w:rPr>
          <w:rFonts w:ascii="Calibri" w:hAnsi="Calibri"/>
          <w:b w:val="0"/>
          <w:i w:val="0"/>
          <w:sz w:val="22"/>
        </w:rPr>
        <w:t>No technical burden — full maintenance and AI API costs are covered under the monthly retainer.</w:t>
      </w:r>
    </w:p>
    <w:p>
      <w:pPr>
        <w:pStyle w:val="ListBullet"/>
        <w:spacing w:after="60"/>
        <w:ind w:left="397"/>
      </w:pPr>
      <w:r>
        <w:rPr>
          <w:rFonts w:ascii="Calibri" w:hAnsi="Calibri"/>
          <w:b w:val="0"/>
          <w:i w:val="0"/>
          <w:sz w:val="22"/>
        </w:rPr>
        <w:t>Referral system drives organic member acquisition and platform adoption at zero additional cost to KKBR.</w:t>
      </w:r>
    </w:p>
    <w:p>
      <w:pPr>
        <w:pStyle w:val="ListBullet"/>
        <w:spacing w:after="60"/>
        <w:ind w:left="397"/>
      </w:pPr>
      <w:r>
        <w:rPr>
          <w:rFonts w:ascii="Calibri" w:hAnsi="Calibri"/>
          <w:b w:val="0"/>
          <w:i w:val="0"/>
          <w:sz w:val="22"/>
        </w:rPr>
        <w:t>SKM-compliant member-to-member services with traceable, structured transaction records.</w:t>
      </w:r>
    </w:p>
    <w:p/>
    <w:p>
      <w:pPr>
        <w:spacing w:before="280" w:after="80"/>
        <w:jc w:val="left"/>
        <w:pBdr>
          <w:bottom w:val="single" w:sz="6" w:space="1" w:color="1A5276"/>
        </w:pBdr>
      </w:pPr>
      <w:r>
        <w:rPr>
          <w:rFonts w:ascii="Calibri" w:hAnsi="Calibri"/>
          <w:b/>
          <w:color w:val="1A5276"/>
          <w:sz w:val="26"/>
        </w:rPr>
        <w:t>7.  TERMS &amp; CONDITIONS</w:t>
      </w:r>
    </w:p>
    <w:p>
      <w:pPr>
        <w:spacing w:after="80"/>
        <w:ind w:left="170"/>
      </w:pPr>
      <w:r>
        <w:rPr>
          <w:rFonts w:ascii="Calibri" w:hAnsi="Calibri"/>
          <w:b/>
          <w:i w:val="0"/>
          <w:sz w:val="22"/>
        </w:rPr>
        <w:t xml:space="preserve">Contract Duration:  </w:t>
      </w:r>
      <w:r>
        <w:rPr>
          <w:rFonts w:ascii="Calibri" w:hAnsi="Calibri"/>
          <w:b w:val="0"/>
          <w:i w:val="0"/>
          <w:sz w:val="22"/>
        </w:rPr>
        <w:t>12 months, renewable annually by mutual agreement.</w:t>
      </w:r>
    </w:p>
    <w:p>
      <w:pPr>
        <w:spacing w:after="80"/>
        <w:ind w:left="170"/>
      </w:pPr>
      <w:r>
        <w:rPr>
          <w:rFonts w:ascii="Calibri" w:hAnsi="Calibri"/>
          <w:b/>
          <w:i w:val="0"/>
          <w:sz w:val="22"/>
        </w:rPr>
        <w:t xml:space="preserve">Notice Period:  </w:t>
      </w:r>
      <w:r>
        <w:rPr>
          <w:rFonts w:ascii="Calibri" w:hAnsi="Calibri"/>
          <w:b w:val="0"/>
          <w:i w:val="0"/>
          <w:sz w:val="22"/>
        </w:rPr>
        <w:t>60 days written notice required for termination by either party.</w:t>
      </w:r>
    </w:p>
    <w:p>
      <w:pPr>
        <w:spacing w:after="80"/>
        <w:ind w:left="170"/>
      </w:pPr>
      <w:r>
        <w:rPr>
          <w:rFonts w:ascii="Calibri" w:hAnsi="Calibri"/>
          <w:b/>
          <w:i w:val="0"/>
          <w:sz w:val="22"/>
        </w:rPr>
        <w:t xml:space="preserve">Data Ownership:  </w:t>
      </w:r>
      <w:r>
        <w:rPr>
          <w:rFonts w:ascii="Calibri" w:hAnsi="Calibri"/>
          <w:b w:val="0"/>
          <w:i w:val="0"/>
          <w:sz w:val="22"/>
        </w:rPr>
        <w:t>All member data remains the exclusive property of Koperasi Kakitangan Bank Rakyat.</w:t>
      </w:r>
    </w:p>
    <w:p>
      <w:pPr>
        <w:spacing w:after="80"/>
        <w:ind w:left="170"/>
      </w:pPr>
      <w:r>
        <w:rPr>
          <w:rFonts w:ascii="Calibri" w:hAnsi="Calibri"/>
          <w:b/>
          <w:i w:val="0"/>
          <w:sz w:val="22"/>
        </w:rPr>
        <w:t xml:space="preserve">Confidentiality:  </w:t>
      </w:r>
      <w:r>
        <w:rPr>
          <w:rFonts w:ascii="Calibri" w:hAnsi="Calibri"/>
          <w:b w:val="0"/>
          <w:i w:val="0"/>
          <w:sz w:val="22"/>
        </w:rPr>
        <w:t>Both parties agree to maintain strict confidentiality of all member data and commercial terms.</w:t>
      </w:r>
    </w:p>
    <w:p>
      <w:pPr>
        <w:spacing w:after="80"/>
        <w:ind w:left="170"/>
      </w:pPr>
      <w:r>
        <w:rPr>
          <w:rFonts w:ascii="Calibri" w:hAnsi="Calibri"/>
          <w:b/>
          <w:i w:val="0"/>
          <w:sz w:val="22"/>
        </w:rPr>
        <w:t xml:space="preserve">Uptime Commitment:  </w:t>
      </w:r>
      <w:r>
        <w:rPr>
          <w:rFonts w:ascii="Calibri" w:hAnsi="Calibri"/>
          <w:b w:val="0"/>
          <w:i w:val="0"/>
          <w:sz w:val="22"/>
        </w:rPr>
        <w:t>Platform availability of 99% per month. Scheduled maintenance communicated 48 hours in advance.</w:t>
      </w:r>
    </w:p>
    <w:p>
      <w:pPr>
        <w:spacing w:after="80"/>
        <w:ind w:left="170"/>
      </w:pPr>
      <w:r>
        <w:rPr>
          <w:rFonts w:ascii="Calibri" w:hAnsi="Calibri"/>
          <w:b/>
          <w:i w:val="0"/>
          <w:sz w:val="22"/>
        </w:rPr>
        <w:t xml:space="preserve">IP Ownership:  </w:t>
      </w:r>
      <w:r>
        <w:rPr>
          <w:rFonts w:ascii="Calibri" w:hAnsi="Calibri"/>
          <w:b w:val="0"/>
          <w:i w:val="0"/>
          <w:sz w:val="22"/>
        </w:rPr>
        <w:t>Platform source code and AI configurations developed for this engagement are licensed exclusively to KKBR for the duration of the agreement.</w:t>
      </w:r>
    </w:p>
    <w:p>
      <w:pPr>
        <w:spacing w:after="80"/>
        <w:ind w:left="170"/>
      </w:pPr>
      <w:r>
        <w:rPr>
          <w:rFonts w:ascii="Calibri" w:hAnsi="Calibri"/>
          <w:b/>
          <w:i w:val="0"/>
          <w:sz w:val="22"/>
        </w:rPr>
        <w:t xml:space="preserve">Scope Changes:  </w:t>
      </w:r>
      <w:r>
        <w:rPr>
          <w:rFonts w:ascii="Calibri" w:hAnsi="Calibri"/>
          <w:b w:val="0"/>
          <w:i w:val="0"/>
          <w:sz w:val="22"/>
        </w:rPr>
        <w:t>Any feature development beyond the current scope will be quoted separately and require written approval.</w:t>
      </w:r>
    </w:p>
    <w:p>
      <w:pPr>
        <w:spacing w:after="80"/>
        <w:ind w:left="170"/>
      </w:pPr>
      <w:r>
        <w:rPr>
          <w:rFonts w:ascii="Calibri" w:hAnsi="Calibri"/>
          <w:b/>
          <w:i w:val="0"/>
          <w:sz w:val="22"/>
        </w:rPr>
        <w:t xml:space="preserve">Payment Terms:  </w:t>
      </w:r>
      <w:r>
        <w:rPr>
          <w:rFonts w:ascii="Calibri" w:hAnsi="Calibri"/>
          <w:b w:val="0"/>
          <w:i w:val="0"/>
          <w:sz w:val="22"/>
        </w:rPr>
        <w:t>Monthly maintenance fee is payable within 7 days of invoice. Transaction revenue share is reconciled monthly.</w:t>
      </w:r>
    </w:p>
    <w:p>
      <w:pPr>
        <w:spacing w:before="280" w:after="80"/>
        <w:jc w:val="left"/>
        <w:pBdr>
          <w:bottom w:val="single" w:sz="6" w:space="1" w:color="1A5276"/>
        </w:pBdr>
      </w:pPr>
      <w:r>
        <w:rPr>
          <w:rFonts w:ascii="Calibri" w:hAnsi="Calibri"/>
          <w:b/>
          <w:color w:val="1A5276"/>
          <w:sz w:val="26"/>
        </w:rPr>
        <w:t>8.  CONCLUSION &amp; NEXT STEPS</w:t>
      </w:r>
    </w:p>
    <w:p>
      <w:pPr>
        <w:spacing w:after="120" w:before="0"/>
        <w:jc w:val="left"/>
      </w:pPr>
      <w:r>
        <w:rPr>
          <w:rFonts w:ascii="Calibri" w:hAnsi="Calibri"/>
          <w:b w:val="0"/>
          <w:i w:val="0"/>
          <w:sz w:val="22"/>
        </w:rPr>
        <w:t>Koponix represents a ready-to-deploy, fully branded digital economic platform that places Koperasi Kakitangan Bank Rakyat at the forefront of cooperative digitalisation in Malaysia. The platform has been designed specifically for KKBR's membership community, with all branding, AI configuration, and workflow already aligned to KKBR's operational context.</w:t>
      </w:r>
    </w:p>
    <w:p>
      <w:pPr>
        <w:spacing w:after="120" w:before="0"/>
        <w:jc w:val="left"/>
      </w:pPr>
      <w:r>
        <w:rPr>
          <w:rFonts w:ascii="Calibri" w:hAnsi="Calibri"/>
          <w:b w:val="0"/>
          <w:i w:val="0"/>
          <w:sz w:val="22"/>
        </w:rPr>
        <w:t>We respectfully request the Management's favourable consideration and approval of this proposal. Upon approval, we are prepared to proceed immediately with Phase 1 activities including finalising the MOU, configuring the live domain, and scheduling the admin training session.</w:t>
      </w:r>
    </w:p>
    <w:p>
      <w:pPr>
        <w:spacing w:after="400" w:before="0"/>
        <w:jc w:val="left"/>
      </w:pPr>
      <w:r>
        <w:rPr>
          <w:rFonts w:ascii="Calibri" w:hAnsi="Calibri"/>
          <w:b w:val="0"/>
          <w:i w:val="0"/>
          <w:sz w:val="22"/>
        </w:rPr>
        <w:t>We look forward to a long and productive partnership with Koperasi Kakitangan Bank Rakyat.</w:t>
      </w:r>
    </w:p>
    <w:p>
      <w:pPr>
        <w:spacing w:after="80" w:before="0"/>
        <w:jc w:val="left"/>
      </w:pPr>
      <w:r>
        <w:rPr>
          <w:rFonts w:ascii="Calibri" w:hAnsi="Calibri"/>
          <w:b/>
          <w:i w:val="0"/>
          <w:sz w:val="22"/>
        </w:rPr>
        <w:t>Prepared and Submitted by:</w:t>
      </w:r>
    </w:p>
    <w:p>
      <w:pPr>
        <w:spacing w:after="40" w:before="0"/>
        <w:jc w:val="left"/>
      </w:pPr>
      <w:r>
        <w:rPr>
          <w:rFonts w:ascii="Calibri" w:hAnsi="Calibri"/>
          <w:b/>
          <w:i w:val="0"/>
          <w:color w:val="1A5276"/>
          <w:sz w:val="24"/>
        </w:rPr>
        <w:t>Koponix Platform Team</w:t>
      </w:r>
    </w:p>
    <w:p>
      <w:pPr>
        <w:spacing w:after="600" w:before="0"/>
        <w:jc w:val="left"/>
      </w:pPr>
      <w:r>
        <w:rPr>
          <w:rFonts w:ascii="Calibri" w:hAnsi="Calibri"/>
          <w:b w:val="0"/>
          <w:i w:val="0"/>
          <w:sz w:val="22"/>
        </w:rPr>
        <w:t>Date: 28 April 2026</w:t>
      </w:r>
    </w:p>
    <w:p>
      <w:pPr>
        <w:pBdr>
          <w:top w:val="single" w:sz="6" w:space="1" w:color="1A5276"/>
        </w:pBdr>
        <w:spacing w:before="400"/>
      </w:pPr>
    </w:p>
    <w:p>
      <w:pPr>
        <w:spacing w:after="280" w:before="0"/>
        <w:jc w:val="center"/>
      </w:pPr>
      <w:r>
        <w:rPr>
          <w:rFonts w:ascii="Calibri" w:hAnsi="Calibri"/>
          <w:b/>
          <w:i w:val="0"/>
          <w:color w:val="1A5276"/>
          <w:sz w:val="20"/>
        </w:rPr>
        <w:t>FOR OFFICIAL USE — APPROVAL SECTION</w:t>
      </w:r>
    </w:p>
    <w:tbl>
      <w:tblPr>
        <w:tblStyle w:val="TableGrid"/>
        <w:tblW w:type="auto" w:w="0"/>
        <w:tblLook w:firstColumn="1" w:firstRow="1" w:lastColumn="0" w:lastRow="0" w:noHBand="0" w:noVBand="1" w:val="04A0"/>
      </w:tblPr>
      <w:tblGrid>
        <w:gridCol w:w="4394"/>
        <w:gridCol w:w="4394"/>
      </w:tblGrid>
      <w:tr>
        <w:tc>
          <w:tcPr>
            <w:tcW w:type="dxa" w:w="4394"/>
            <w:shd w:val="clear" w:color="auto" w:fill="EAF2F8"/>
          </w:tcPr>
          <w:p>
            <w:r>
              <w:rPr>
                <w:rFonts w:ascii="Calibri" w:hAnsi="Calibri"/>
                <w:b/>
                <w:i w:val="0"/>
                <w:color w:val="1A5276"/>
                <w:sz w:val="20"/>
              </w:rPr>
              <w:t>Recommended by / Disyorkan oleh:</w:t>
            </w:r>
          </w:p>
        </w:tc>
        <w:tc>
          <w:tcPr>
            <w:tcW w:type="dxa" w:w="4394"/>
            <w:shd w:val="clear" w:color="auto" w:fill="EAF2F8"/>
          </w:tcPr>
          <w:p>
            <w:r>
              <w:rPr>
                <w:rFonts w:ascii="Calibri" w:hAnsi="Calibri"/>
                <w:b/>
                <w:i w:val="0"/>
                <w:color w:val="1A5276"/>
                <w:sz w:val="20"/>
              </w:rPr>
              <w:t>Approved by / Diluluskan oleh:</w:t>
            </w:r>
          </w:p>
        </w:tc>
      </w:tr>
      <w:tr>
        <w:tc>
          <w:tcPr>
            <w:tcW w:type="dxa" w:w="4394"/>
          </w:tcPr>
          <w:p>
            <w:pPr>
              <w:spacing w:before="80"/>
            </w:pPr>
            <w:r>
              <w:rPr>
                <w:rFonts w:ascii="Calibri" w:hAnsi="Calibri"/>
                <w:b w:val="0"/>
                <w:i w:val="0"/>
                <w:sz w:val="21"/>
              </w:rPr>
              <w:t>Name: ____________________________</w:t>
              <w:br/>
              <w:t>Designation: ______________________</w:t>
              <w:br/>
              <w:t>Date: _____________________________</w:t>
              <w:br/>
              <w:t>Signature: _________________________</w:t>
            </w:r>
          </w:p>
        </w:tc>
        <w:tc>
          <w:tcPr>
            <w:tcW w:type="dxa" w:w="4394"/>
          </w:tcPr>
          <w:p>
            <w:pPr>
              <w:spacing w:before="80"/>
            </w:pPr>
            <w:r>
              <w:rPr>
                <w:rFonts w:ascii="Calibri" w:hAnsi="Calibri"/>
                <w:b w:val="0"/>
                <w:i w:val="0"/>
                <w:sz w:val="21"/>
              </w:rPr>
              <w:t>Name: ____________________________</w:t>
              <w:br/>
              <w:t>Designation: Chief Executive Officer</w:t>
              <w:br/>
              <w:t>Date: _____________________________</w:t>
              <w:br/>
              <w:t>Signature: _________________________</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