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部分实现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 步）：API Key 维度按自然分钟固定窗口限流，单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可覆盖全局默认，超限 429 且不扣配额，Redis 不可用时放行并记录故障。待做：登录用户与匿名 IP 维度、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响应头、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汇报（1.3）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部分实现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 / 1.2 步）：全局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豁免）、客户端 IP 解析（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决定是否信任转发头）、审计自动写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、API Key 级 IP 白名单（CIDR，拒绝时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）、API Key 按创建人隔离与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/api-keys/{id}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。待做：前端 API Key 页的编辑入口、白名单与限速字段、菜单对 developer 开放（1.3）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按模型连续失败计数熔断，熔断期内快速失败 503，半开探测自动恢复；状态经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 + 变量声明 + 自动版本与回滚 + 渲染预览；智能体可绑定模板，保存时渲染进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，运行时链路不变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（汇聚）两类节点；分支内只允许线性节点；保存与运行前校验图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子集，模型按结构化参数调用；测试接口按 schema 校验入参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摘要与已覆盖的消息 ID 存到会话；按批增量折叠，不再每轮重算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（校验、原子扣配额），鉴权来源记在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条原文，更早的用 LLM 压缩成摘要作为 SystemMessage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 xml:space="preserve">（参数是一个 JSON 字符串 </w:t>
      </w:r>
      <w:r>
        <w:rPr>
          <w:rFonts w:ascii="Consolas" w:hAnsi="Consolas" w:eastAsia="Consolas"/>
          <w:b w:val="0"/>
          <w:i w:val="0"/>
          <w:sz w:val="20"/>
        </w:rPr>
        <w:t>arguments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对话历史摘要每轮重新生成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实现简单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长会话每轮多一次模型调用；应持久化摘要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"https://api.example.com/search", "method": "POST", "headers": {"Authorization": "Bearer ..."}}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不可用时放行并记录故障。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 响应头与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rate_limit</w:t>
      </w:r>
      <w:r>
        <w:rPr>
          <w:rFonts w:ascii="宋体" w:hAnsi="宋体" w:eastAsia="宋体"/>
          <w:b w:val="0"/>
          <w:i w:val="0"/>
          <w:sz w:val="21"/>
        </w:rPr>
        <w:t xml:space="preserve"> 块尚未接入，见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 xml:space="preserve"> 1.3。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；401 密码错、403 停用、429 锁定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