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"/>
        <w:tblW w:w="1077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131"/>
        <w:gridCol w:w="250"/>
        <w:gridCol w:w="5376"/>
        <w:gridCol w:w="250"/>
        <w:gridCol w:w="3766"/>
      </w:tblGrid>
      <w:tr>
        <w:trPr/>
        <w:tc>
          <w:tcPr>
            <w:tcW w:w="11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drawing>
                <wp:inline distT="0" distB="0" distL="0" distR="0">
                  <wp:extent cx="428625" cy="660400"/>
                  <wp:effectExtent l="0" t="0" r="0" b="0"/>
                  <wp:docPr id="1" name="image1.jpg" descr="https://www.ufba.br/sites/portal.ufba.br/files/brasao_ufb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g" descr="https://www.ufba.br/sites/portal.ufba.br/files/brasao_ufb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  <w:tcBorders/>
          </w:tcPr>
          <w:p>
            <w:pPr>
              <w:pStyle w:val="Normal"/>
              <w:widowControl w:val="false"/>
              <w:rPr>
                <w:sz w:val="34"/>
                <w:szCs w:val="34"/>
              </w:rPr>
            </w:pPr>
            <w:r>
              <w:rPr>
                <w:sz w:val="34"/>
                <w:szCs w:val="34"/>
              </w:rPr>
            </w:r>
          </w:p>
        </w:tc>
        <w:tc>
          <w:tcPr>
            <w:tcW w:w="537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rPr>
                <w:b/>
              </w:rPr>
            </w:pPr>
            <w:r>
              <w:rPr>
                <w:b/>
              </w:rPr>
              <w:t>UNIVERSIDADE FEDERAL DA BAHIA</w:t>
            </w:r>
          </w:p>
          <w:p>
            <w:pPr>
              <w:pStyle w:val="Normal"/>
              <w:widowControl w:val="false"/>
              <w:spacing w:before="0" w:after="40"/>
              <w:rPr>
                <w:b/>
              </w:rPr>
            </w:pPr>
            <w:r>
              <w:rPr>
                <w:b/>
              </w:rPr>
              <w:t>PRÓ-REITORIA DE ENSINO DE GRADUAÇÃO</w:t>
            </w:r>
          </w:p>
        </w:tc>
        <w:tc>
          <w:tcPr>
            <w:tcW w:w="250" w:type="dxa"/>
            <w:tcBorders/>
            <w:vAlign w:val="center"/>
          </w:tcPr>
          <w:p>
            <w:pPr>
              <w:pStyle w:val="Normal"/>
              <w:widowControl w:val="false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</w:tc>
        <w:tc>
          <w:tcPr>
            <w:tcW w:w="376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PLANO DE ENSINO-APRENDIZAGEM DO COMPONENTE CURRICULAR</w:t>
            </w:r>
          </w:p>
          <w:p>
            <w:pPr>
              <w:pStyle w:val="Normal"/>
              <w:widowControl w:val="false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a0"/>
        <w:tblW w:w="1078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338"/>
        <w:gridCol w:w="295"/>
        <w:gridCol w:w="5205"/>
        <w:gridCol w:w="250"/>
        <w:gridCol w:w="250"/>
        <w:gridCol w:w="3194"/>
        <w:gridCol w:w="250"/>
      </w:tblGrid>
      <w:tr>
        <w:trPr/>
        <w:tc>
          <w:tcPr>
            <w:tcW w:w="10782" w:type="dxa"/>
            <w:gridSpan w:val="7"/>
            <w:tcBorders>
              <w:top w:val="single" w:sz="24" w:space="0" w:color="000000"/>
              <w:bottom w:val="single" w:sz="24" w:space="0" w:color="000000"/>
            </w:tcBorders>
          </w:tcPr>
          <w:p>
            <w:pPr>
              <w:pStyle w:val="Normal"/>
              <w:widowControl w:val="false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DADOS DE IDENTIFICAÇÃO E ATRIBUTOS</w:t>
            </w:r>
            <w:r>
              <w:rPr>
                <w:rStyle w:val="FootnoteReference"/>
                <w:b/>
                <w:vertAlign w:val="superscript"/>
              </w:rPr>
              <w:footnoteReference w:id="2"/>
            </w:r>
          </w:p>
        </w:tc>
      </w:tr>
      <w:tr>
        <w:trPr/>
        <w:tc>
          <w:tcPr>
            <w:tcW w:w="1338" w:type="dxa"/>
            <w:tcBorders>
              <w:top w:val="single" w:sz="2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2"/>
                <w:szCs w:val="2"/>
              </w:rPr>
            </w:pPr>
            <w:r>
              <w:rPr>
                <w:b/>
                <w:sz w:val="2"/>
                <w:szCs w:val="2"/>
              </w:rPr>
            </w:r>
          </w:p>
        </w:tc>
        <w:tc>
          <w:tcPr>
            <w:tcW w:w="295" w:type="dxa"/>
            <w:tcBorders>
              <w:top w:val="single" w:sz="24" w:space="0" w:color="000000"/>
            </w:tcBorders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2"/>
                <w:szCs w:val="2"/>
              </w:rPr>
            </w:pPr>
            <w:r>
              <w:rPr>
                <w:b/>
                <w:sz w:val="2"/>
                <w:szCs w:val="2"/>
              </w:rPr>
            </w:r>
          </w:p>
        </w:tc>
        <w:tc>
          <w:tcPr>
            <w:tcW w:w="5205" w:type="dxa"/>
            <w:tcBorders>
              <w:top w:val="single" w:sz="2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0"/>
              <w:rPr>
                <w:b/>
                <w:sz w:val="2"/>
                <w:szCs w:val="2"/>
              </w:rPr>
            </w:pPr>
            <w:r>
              <w:rPr>
                <w:b/>
                <w:sz w:val="2"/>
                <w:szCs w:val="2"/>
              </w:rPr>
            </w:r>
          </w:p>
        </w:tc>
        <w:tc>
          <w:tcPr>
            <w:tcW w:w="3944" w:type="dxa"/>
            <w:gridSpan w:val="4"/>
            <w:tcBorders>
              <w:top w:val="single" w:sz="2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0"/>
              <w:rPr>
                <w:b/>
                <w:sz w:val="2"/>
                <w:szCs w:val="2"/>
              </w:rPr>
            </w:pPr>
            <w:r>
              <w:rPr>
                <w:b/>
                <w:sz w:val="2"/>
                <w:szCs w:val="2"/>
              </w:rPr>
            </w:r>
          </w:p>
        </w:tc>
      </w:tr>
      <w:tr>
        <w:trPr/>
        <w:tc>
          <w:tcPr>
            <w:tcW w:w="13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CÓDIGO</w:t>
            </w:r>
          </w:p>
        </w:tc>
        <w:tc>
          <w:tcPr>
            <w:tcW w:w="295" w:type="dxa"/>
            <w:tcBorders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520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NOME</w:t>
            </w:r>
          </w:p>
        </w:tc>
        <w:tc>
          <w:tcPr>
            <w:tcW w:w="250" w:type="dxa"/>
            <w:tcBorders/>
          </w:tcPr>
          <w:p>
            <w:pPr>
              <w:pStyle w:val="Normal"/>
              <w:widowControl w:val="false"/>
              <w:spacing w:before="40"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5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before="40"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31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0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DEPARTAMENTO OU EQUIVALENTE</w:t>
            </w:r>
          </w:p>
        </w:tc>
        <w:tc>
          <w:tcPr>
            <w:tcW w:w="25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13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FF0000"/>
                <w:sz w:val="18"/>
                <w:szCs w:val="18"/>
              </w:rPr>
            </w:pPr>
            <w:bookmarkStart w:id="0" w:name="_heading=h.gjdgxs"/>
            <w:bookmarkEnd w:id="0"/>
            <w:r>
              <w:rPr>
                <w:sz w:val="18"/>
                <w:szCs w:val="18"/>
              </w:rPr>
              <w:t>MATF14</w:t>
            </w:r>
          </w:p>
        </w:tc>
        <w:tc>
          <w:tcPr>
            <w:tcW w:w="295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520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18"/>
                <w:szCs w:val="18"/>
              </w:rPr>
              <w:t>Estatística Econômica I</w:t>
            </w:r>
          </w:p>
        </w:tc>
        <w:tc>
          <w:tcPr>
            <w:tcW w:w="250" w:type="dxa"/>
            <w:tcBorders/>
          </w:tcPr>
          <w:p>
            <w:pPr>
              <w:pStyle w:val="Normal"/>
              <w:widowControl w:val="false"/>
              <w:rPr/>
            </w:pPr>
            <w:r>
              <w:rPr/>
            </w:r>
          </w:p>
        </w:tc>
        <w:tc>
          <w:tcPr>
            <w:tcW w:w="3694" w:type="dxa"/>
            <w:gridSpan w:val="3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sz w:val="18"/>
                <w:szCs w:val="18"/>
              </w:rPr>
              <w:t>ESTATÍSTICA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a1"/>
        <w:tblW w:w="1063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94"/>
        <w:gridCol w:w="493"/>
        <w:gridCol w:w="500"/>
        <w:gridCol w:w="493"/>
        <w:gridCol w:w="499"/>
        <w:gridCol w:w="494"/>
        <w:gridCol w:w="994"/>
        <w:gridCol w:w="286"/>
        <w:gridCol w:w="2834"/>
        <w:gridCol w:w="283"/>
        <w:gridCol w:w="3259"/>
      </w:tblGrid>
      <w:tr>
        <w:trPr/>
        <w:tc>
          <w:tcPr>
            <w:tcW w:w="3967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  <w:t>CARGA HORÁRIA (estudante)</w:t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3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  <w:t>MODALIDADE/ SUBMODALIDADE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2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  <w:t>PRÉ-REQUISITO (POR CURSO)</w:t>
            </w:r>
          </w:p>
        </w:tc>
      </w:tr>
      <w:tr>
        <w:trPr>
          <w:trHeight w:val="70" w:hRule="atLeast"/>
        </w:trPr>
        <w:tc>
          <w:tcPr>
            <w:tcW w:w="4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16"/>
                <w:szCs w:val="16"/>
              </w:rPr>
              <w:t>T/P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PP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Ext</w:t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TOTAL</w:t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>Disciplina Teórico-Prática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3259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305 – MAT047</w:t>
            </w:r>
          </w:p>
        </w:tc>
      </w:tr>
      <w:tr>
        <w:trPr>
          <w:trHeight w:val="454" w:hRule="atLeast"/>
        </w:trPr>
        <w:tc>
          <w:tcPr>
            <w:tcW w:w="4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  <w:t>60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  <w:t>60</w:t>
            </w:r>
          </w:p>
        </w:tc>
        <w:tc>
          <w:tcPr>
            <w:tcW w:w="286" w:type="dxa"/>
            <w:tcBorders/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2834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/>
            </w:pPr>
            <w:r>
              <w:rPr/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3259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/>
            </w:pPr>
            <w:r>
              <w:rPr/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a2"/>
        <w:tblW w:w="1062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498"/>
        <w:gridCol w:w="499"/>
        <w:gridCol w:w="497"/>
        <w:gridCol w:w="497"/>
        <w:gridCol w:w="497"/>
        <w:gridCol w:w="497"/>
        <w:gridCol w:w="986"/>
        <w:gridCol w:w="282"/>
        <w:gridCol w:w="566"/>
        <w:gridCol w:w="567"/>
        <w:gridCol w:w="568"/>
        <w:gridCol w:w="282"/>
        <w:gridCol w:w="567"/>
        <w:gridCol w:w="285"/>
        <w:gridCol w:w="282"/>
        <w:gridCol w:w="3248"/>
      </w:tblGrid>
      <w:tr>
        <w:trPr/>
        <w:tc>
          <w:tcPr>
            <w:tcW w:w="3971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</w:rPr>
            </w:pPr>
            <w:r>
              <w:rPr>
                <w:b/>
              </w:rPr>
              <w:t>CARGA HORÁRIA (docente/turma)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835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  <w:t>MÓDULO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3248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  <w:t>SEMESTRE DE</w:t>
            </w:r>
          </w:p>
          <w:p>
            <w:pPr>
              <w:pStyle w:val="Normal"/>
              <w:widowControl w:val="false"/>
              <w:spacing w:before="40" w:after="0"/>
              <w:jc w:val="center"/>
              <w:rPr>
                <w:b/>
              </w:rPr>
            </w:pPr>
            <w:r>
              <w:rPr>
                <w:b/>
              </w:rPr>
              <w:t>INÍCIO DA VIGÊNCIA</w:t>
            </w:r>
          </w:p>
        </w:tc>
      </w:tr>
      <w:tr>
        <w:trPr/>
        <w:tc>
          <w:tcPr>
            <w:tcW w:w="4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  <w:highlight w:val="yellow"/>
              </w:rPr>
            </w:pPr>
            <w:r>
              <w:rPr>
                <w:b/>
                <w:sz w:val="16"/>
                <w:szCs w:val="16"/>
              </w:rPr>
              <w:t>T/P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PP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Ext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</w:t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TOTAL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T/P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</w:t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PP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Ext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before="40" w:after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3248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pBdr/>
              <w:spacing w:lineRule="auto" w:line="27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</w:tr>
      <w:tr>
        <w:trPr>
          <w:trHeight w:val="311" w:hRule="atLeast"/>
        </w:trPr>
        <w:tc>
          <w:tcPr>
            <w:tcW w:w="4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  <w:t>60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  <w:t>60</w:t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  <w:t>40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282" w:type="dxa"/>
            <w:tcBorders/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/>
            </w:pPr>
            <w:r>
              <w:rPr/>
            </w:r>
          </w:p>
        </w:tc>
        <w:tc>
          <w:tcPr>
            <w:tcW w:w="324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6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a3"/>
        <w:tblW w:w="104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0440"/>
      </w:tblGrid>
      <w:tr>
        <w:trPr/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EMENTA</w:t>
            </w:r>
          </w:p>
        </w:tc>
      </w:tr>
      <w:tr>
        <w:trPr/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sz w:val="24"/>
                <w:szCs w:val="24"/>
              </w:rPr>
              <w:t>Estatística Descritiva e Análise Exploratória de Dados. Probabilidades: conceitos básicos, teoremas de probabilidade, probabilidade condicional, independência, teorema de Bayes. Variáveis aleatórias discretas e contínuas. Distribuições discretas e contínuas.</w:t>
            </w:r>
          </w:p>
        </w:tc>
      </w:tr>
      <w:tr>
        <w:trPr/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OBJETIVOS</w:t>
            </w:r>
          </w:p>
        </w:tc>
      </w:tr>
      <w:tr>
        <w:trPr/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Proporcionar aos alunos o conhecimento teórico-prático aos tópicos do programa para uso nas situações relacionadas com a sua área de estudo ou em disciplinas afins.</w:t>
            </w:r>
          </w:p>
          <w:p>
            <w:pPr>
              <w:pStyle w:val="Normal"/>
              <w:widowControl w:val="false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</w:p>
        </w:tc>
      </w:tr>
      <w:tr>
        <w:trPr/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CONTEÚDO PROGRAMÁTICO</w:t>
            </w:r>
          </w:p>
        </w:tc>
      </w:tr>
      <w:tr>
        <w:trPr>
          <w:trHeight w:val="4035" w:hRule="atLeast"/>
        </w:trPr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bookmarkStart w:id="1" w:name="OLE_LINK1"/>
            <w:r>
              <w:rPr>
                <w:rFonts w:ascii="Times New Roman" w:hAnsi="Times New Roman"/>
                <w:sz w:val="24"/>
                <w:szCs w:val="24"/>
              </w:rPr>
              <w:t>Estatística Descritiva e Exploratória de Dados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População e amostra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Tipos de variáveis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Apresentação tabular e principais tipos de representação gráfica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Medidas de tendência central e suas relações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Medidas de dispersão: amplitude total e interquartílica; desvio padrão e variância; coeficiente de variação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Medidas de assimetria e curtose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Introdução à Teoria das Probabilidades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Introdução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Espaço amostral e eventos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Conceitos e propriedades de probabilidade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Probabilidade condicional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Teoremas básicos de probabilidade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Independência Estatística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bookmarkStart w:id="2" w:name="OLE_LINK1"/>
            <w:r>
              <w:rPr>
                <w:rFonts w:ascii="Times New Roman" w:hAnsi="Times New Roman"/>
                <w:sz w:val="24"/>
                <w:szCs w:val="24"/>
              </w:rPr>
              <w:t>Teorema de Bayes</w:t>
            </w:r>
            <w:bookmarkEnd w:id="2"/>
          </w:p>
          <w:p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Variáveis Aleatórias Discretas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Conceituação de variável aleatória discreta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Esperança e Variância</w:t>
            </w:r>
          </w:p>
          <w:p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Definição</w:t>
            </w:r>
          </w:p>
          <w:p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Propriedades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Função de distribuição acumulada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Alguns modelos probabilísticos</w:t>
            </w:r>
          </w:p>
          <w:p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Distribuição de Bernoulli</w:t>
            </w:r>
          </w:p>
          <w:p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Distribuição Binomial</w:t>
            </w:r>
          </w:p>
          <w:p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Distribuição Poisson</w:t>
            </w:r>
          </w:p>
          <w:p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Variáveis Aleatórias Contínuas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Conceituação de variável aleatória contínua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Esperança e Variância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Função de distribuição acumulada</w:t>
            </w:r>
          </w:p>
          <w:p>
            <w:pPr>
              <w:pStyle w:val="ListParagraph"/>
              <w:numPr>
                <w:ilvl w:val="1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Alguns modelos probabilísticos</w:t>
            </w:r>
          </w:p>
          <w:p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Distribuição Uniforme</w:t>
            </w:r>
          </w:p>
          <w:p>
            <w:pPr>
              <w:pStyle w:val="ListParagraph"/>
              <w:numPr>
                <w:ilvl w:val="2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Distribuição Normal</w:t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trHeight w:val="183" w:hRule="atLeast"/>
        </w:trPr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METODOLOGIA DE ENSINO-APRENDIZAGEM</w:t>
            </w:r>
          </w:p>
        </w:tc>
      </w:tr>
      <w:tr>
        <w:trPr>
          <w:trHeight w:val="183" w:hRule="atLeast"/>
        </w:trPr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/>
            </w:pPr>
            <w:r>
              <w:rPr>
                <w:sz w:val="24"/>
                <w:szCs w:val="24"/>
              </w:rPr>
              <w:t>As aulas serão presenciais com uso de quadro e de slides. Também haverá aulas em um laboratório de informática.</w:t>
            </w:r>
          </w:p>
          <w:p>
            <w:pPr>
              <w:pStyle w:val="Normal"/>
              <w:widowControl w:val="false"/>
              <w:jc w:val="both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</w:tr>
      <w:tr>
        <w:trPr>
          <w:trHeight w:val="183" w:hRule="atLeast"/>
        </w:trPr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AVALIAÇÃO DA APRENDIZAGEM</w:t>
            </w:r>
          </w:p>
        </w:tc>
      </w:tr>
      <w:tr>
        <w:trPr>
          <w:trHeight w:val="183" w:hRule="atLeast"/>
        </w:trPr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Serão realizadas duas provas durante a disciplina (P1 e P2), nas respectivas datas: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•</w:t>
            </w:r>
            <w:r>
              <w:rPr>
                <w:sz w:val="24"/>
                <w:szCs w:val="24"/>
              </w:rPr>
              <w:tab/>
              <w:t xml:space="preserve">P1 – </w:t>
            </w:r>
            <w:r>
              <w:rPr>
                <w:sz w:val="24"/>
                <w:szCs w:val="24"/>
              </w:rPr>
              <w:t>04</w:t>
            </w:r>
            <w:r>
              <w:rPr>
                <w:sz w:val="24"/>
                <w:szCs w:val="24"/>
              </w:rPr>
              <w:t>/0</w:t>
            </w:r>
            <w:r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</w:rPr>
              <w:t>6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•</w:t>
            </w:r>
            <w:r>
              <w:rPr>
                <w:sz w:val="24"/>
                <w:szCs w:val="24"/>
              </w:rPr>
              <w:tab/>
              <w:t xml:space="preserve">P2 – </w:t>
            </w:r>
            <w:r>
              <w:rPr>
                <w:sz w:val="24"/>
                <w:szCs w:val="24"/>
              </w:rPr>
              <w:t>29</w:t>
            </w:r>
            <w:r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06</w:t>
            </w:r>
            <w:r>
              <w:rPr>
                <w:sz w:val="24"/>
                <w:szCs w:val="24"/>
              </w:rPr>
              <w:t>/202</w:t>
            </w:r>
            <w:r>
              <w:rPr>
                <w:sz w:val="24"/>
                <w:szCs w:val="24"/>
              </w:rPr>
              <w:t>6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Listas de exercícios também serão disponibilizadas, mas não valerão nota.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A nota final do aluno será a média das duas provas:</w:t>
            </w:r>
          </w:p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NF = ( P1 + P2 )/2.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Alunos que não obtiverem ao menos 75% de frequência nas aulas da disciplina serão reprovados por falta. Os alunos que não forem reprovados por falta e obtiverem NF igual ou superior a 5,0 (cinco) estarão aprovados, caso contrário, estarão reprovados.</w:t>
            </w:r>
          </w:p>
          <w:p>
            <w:pPr>
              <w:pStyle w:val="Normal"/>
              <w:widowControl w:val="false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</w:p>
        </w:tc>
      </w:tr>
      <w:tr>
        <w:trPr>
          <w:trHeight w:val="183" w:hRule="atLeast"/>
        </w:trPr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59" w:before="40" w:after="4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b/>
              </w:rPr>
              <w:t>REFERÊNCIAS</w:t>
            </w:r>
          </w:p>
        </w:tc>
      </w:tr>
      <w:tr>
        <w:trPr>
          <w:trHeight w:val="183" w:hRule="atLeast"/>
        </w:trPr>
        <w:tc>
          <w:tcPr>
            <w:tcW w:w="1044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REFERÊNCIAS BÁSICAS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HOFFMANN, Rodolfo. Estatística para economistas. São Paulo: Thomson, 2006.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MORETTIN, Pedro A.; BUSSAB, Wilton de O. Estatística básica. São Paulo, SP: Saraiva, 2012.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MAGALHÃES, N. Nascimento. Probabilidade e variáveis aleatórias. 3ª ed. São Paulo: Editora da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Universidade de São Paulo, 2004.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ROSS, Sheldon. Probabilidade: um curso moderno com aplicações. 6ª ed. São Paulo: Bookman, 2010.</w:t>
            </w:r>
          </w:p>
          <w:p>
            <w:pPr>
              <w:pStyle w:val="Normal"/>
              <w:widowControl w:val="false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REFERÊNCIAS COMPLEMENTARES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DANTAS, Carlos A. B. Probabilidade: um curso introdutório. São Paulo: EDUSP, 1997.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HOGG, Robert V.; McKEAN, Joseph W.; CRAIG, Allen T. Introduction to Mathematical Statistics. 7ª ed.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Boston: Pearson, 2013.</w:t>
            </w:r>
          </w:p>
          <w:p>
            <w:pPr>
              <w:pStyle w:val="Normal"/>
              <w:widowControl w:val="false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TRIOLA, Mario F. Introdução à estatística. 10. ed. Rio de Janeiro: LTC, 2007. 659 p.</w:t>
            </w:r>
          </w:p>
          <w:p>
            <w:pPr>
              <w:pStyle w:val="Normal"/>
              <w:widowControl w:val="false"/>
              <w:jc w:val="both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</w:r>
          </w:p>
        </w:tc>
      </w:tr>
    </w:tbl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p>
      <w:pPr>
        <w:pStyle w:val="Normal"/>
        <w:rPr>
          <w:sz w:val="2"/>
          <w:szCs w:val="2"/>
        </w:rPr>
      </w:pPr>
      <w:r>
        <w:rPr>
          <w:sz w:val="2"/>
          <w:szCs w:val="2"/>
        </w:rPr>
      </w:r>
    </w:p>
    <w:tbl>
      <w:tblPr>
        <w:tblStyle w:val="a4"/>
        <w:tblW w:w="10869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HBand="0" w:noVBand="1" w:firstColumn="0" w:lastRow="0" w:lastColumn="0" w:firstRow="0"/>
      </w:tblPr>
      <w:tblGrid>
        <w:gridCol w:w="10869"/>
      </w:tblGrid>
      <w:tr>
        <w:trPr>
          <w:trHeight w:val="777" w:hRule="atLeast"/>
        </w:trPr>
        <w:tc>
          <w:tcPr>
            <w:tcW w:w="10869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  <w:tbl>
            <w:tblPr>
              <w:tblStyle w:val="a5"/>
              <w:tblW w:w="10709" w:type="dxa"/>
              <w:jc w:val="center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00" w:noHBand="0" w:noVBand="1" w:firstColumn="0" w:lastRow="0" w:lastColumn="0" w:firstRow="0"/>
            </w:tblPr>
            <w:tblGrid>
              <w:gridCol w:w="10709"/>
            </w:tblGrid>
            <w:tr>
              <w:trPr>
                <w:trHeight w:val="79" w:hRule="atLeast"/>
              </w:trPr>
              <w:tc>
                <w:tcPr>
                  <w:tcW w:w="10709" w:type="dxa"/>
                  <w:tcBorders>
                    <w:top w:val="single" w:sz="4" w:space="0" w:color="000000"/>
                    <w:bottom w:val="single" w:sz="12" w:space="0" w:color="000000"/>
                  </w:tcBorders>
                </w:tcPr>
                <w:p>
                  <w:pPr>
                    <w:pStyle w:val="Normal"/>
                    <w:widowControl w:val="false"/>
                    <w:spacing w:lineRule="auto" w:line="480" w:before="40" w:after="0"/>
                    <w:jc w:val="both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>
                <w:trHeight w:val="79" w:hRule="atLeast"/>
              </w:trPr>
              <w:tc>
                <w:tcPr>
                  <w:tcW w:w="10709" w:type="dxa"/>
                  <w:tcBorders>
                    <w:top w:val="single" w:sz="12" w:space="0" w:color="000000"/>
                  </w:tcBorders>
                </w:tcPr>
                <w:p>
                  <w:pPr>
                    <w:pStyle w:val="Normal"/>
                    <w:widowControl w:val="false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</w:r>
                </w:p>
                <w:p>
                  <w:pPr>
                    <w:pStyle w:val="Normal"/>
                    <w:widowControl w:val="false"/>
                    <w:rPr>
                      <w:sz w:val="18"/>
                      <w:szCs w:val="18"/>
                    </w:rPr>
                  </w:pPr>
                  <w:r>
                    <w:rPr>
                      <w:rFonts w:eastAsia="Arial" w:cs="Arial" w:ascii="Arial" w:hAnsi="Arial"/>
                      <w:b/>
                      <w:sz w:val="18"/>
                      <w:szCs w:val="18"/>
                    </w:rPr>
                    <w:t>Aprovad</w:t>
                  </w:r>
                  <w:r>
                    <w:rPr>
                      <w:b/>
                      <w:sz w:val="18"/>
                      <w:szCs w:val="18"/>
                    </w:rPr>
                    <w:t>o em reunião de Departamento (ou equivalente)</w:t>
                  </w:r>
                  <w:r>
                    <w:rPr>
                      <w:rStyle w:val="FootnoteReference"/>
                      <w:b/>
                      <w:sz w:val="18"/>
                      <w:szCs w:val="18"/>
                      <w:vertAlign w:val="superscript"/>
                    </w:rPr>
                    <w:footnoteReference w:id="3"/>
                  </w:r>
                  <w:r>
                    <w:rPr>
                      <w:b/>
                      <w:sz w:val="18"/>
                      <w:szCs w:val="18"/>
                    </w:rPr>
                    <w:t xml:space="preserve">:__________________ em </w:t>
                  </w:r>
                  <w:r>
                    <w:rPr>
                      <w:sz w:val="18"/>
                      <w:szCs w:val="18"/>
                    </w:rPr>
                    <w:t xml:space="preserve"> ___/___/___          __________________________</w:t>
                  </w:r>
                </w:p>
                <w:p>
                  <w:pPr>
                    <w:pStyle w:val="Normal"/>
                    <w:widowControl w:val="false"/>
                    <w:pBdr>
                      <w:bottom w:val="single" w:sz="4" w:space="1" w:color="000000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                                                                                                                         </w:t>
                  </w:r>
                  <w:r>
                    <w:rPr>
                      <w:sz w:val="18"/>
                      <w:szCs w:val="18"/>
                    </w:rPr>
                    <w:t>Assinatura do Chefe do Departamento/ Coordenador Acadêmico</w:t>
                  </w:r>
                </w:p>
              </w:tc>
            </w:tr>
          </w:tbl>
          <w:p>
            <w:pPr>
              <w:pStyle w:val="Normal"/>
              <w:widowControl w:val="false"/>
              <w:spacing w:before="40" w:after="4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</w:r>
      <w:bookmarkStart w:id="3" w:name="_heading=h.30j0zll"/>
      <w:bookmarkStart w:id="4" w:name="_heading=h.30j0zll"/>
      <w:bookmarkEnd w:id="4"/>
    </w:p>
    <w:p>
      <w:pPr>
        <w:pStyle w:val="Normal"/>
        <w:widowControl w:val="false"/>
        <w:rPr>
          <w:rFonts w:ascii="Malgun Gothic" w:hAnsi="Malgun Gothic" w:eastAsia="Malgun Gothic" w:cs="Malgun Gothic"/>
          <w:color w:val="FF0000"/>
        </w:rPr>
      </w:pPr>
      <w:bookmarkStart w:id="5" w:name="_heading=h.30j0zll"/>
      <w:bookmarkEnd w:id="5"/>
      <w:sdt>
        <w:sdtPr>
          <w:tag w:val="goog_rdk_1"/>
          <w:id w:val="-444849206"/>
        </w:sdtPr>
        <w:sdtContent>
          <w:r>
            <w:rPr/>
          </w:r>
          <w:r>
            <w:rPr/>
          </w:r>
        </w:sdtContent>
      </w:sdt>
    </w:p>
    <w:p>
      <w:pPr>
        <w:pStyle w:val="Normal"/>
        <w:widowControl w:val="false"/>
        <w:jc w:val="center"/>
        <w:rPr/>
      </w:pPr>
      <w:sdt>
        <w:sdtPr>
          <w:tag w:val="goog_rdk_3"/>
          <w:id w:val="-16161749"/>
        </w:sdtPr>
        <w:sdtContent>
          <w:r>
            <w:rPr>
              <w:rFonts w:eastAsia="Arial" w:cs="Arial" w:ascii="Arial" w:hAnsi="Arial"/>
              <w:b/>
              <w:sz w:val="28"/>
              <w:szCs w:val="28"/>
            </w:rPr>
          </w:r>
          <w:r>
            <w:rPr>
              <w:rFonts w:eastAsia="Arial" w:cs="Arial" w:ascii="Arial" w:hAnsi="Arial"/>
              <w:b/>
              <w:sz w:val="28"/>
              <w:szCs w:val="28"/>
            </w:rPr>
            <w:t>CRONOGRAMA</w:t>
          </w:r>
        </w:sdtContent>
      </w:sdt>
      <w:r>
        <w:rPr>
          <w:rStyle w:val="FootnoteReference"/>
          <w:rFonts w:eastAsia="Arial" w:cs="Arial" w:ascii="Arial" w:hAnsi="Arial"/>
          <w:b/>
          <w:sz w:val="28"/>
          <w:szCs w:val="28"/>
          <w:vertAlign w:val="superscript"/>
        </w:rPr>
        <w:footnoteReference w:id="4"/>
      </w:r>
    </w:p>
    <w:tbl>
      <w:tblPr>
        <w:tblStyle w:val="a6"/>
        <w:tblW w:w="9840" w:type="dxa"/>
        <w:jc w:val="left"/>
        <w:tblInd w:w="-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noHBand="0" w:noVBand="1" w:firstColumn="0" w:lastRow="0" w:lastColumn="0" w:firstRow="0"/>
      </w:tblPr>
      <w:tblGrid>
        <w:gridCol w:w="3540"/>
        <w:gridCol w:w="6299"/>
      </w:tblGrid>
      <w:tr>
        <w:trPr/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Código e nome do componente:</w:t>
            </w:r>
          </w:p>
        </w:tc>
        <w:tc>
          <w:tcPr>
            <w:tcW w:w="6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MATF14 - Estatística Econômica I</w:t>
            </w:r>
          </w:p>
        </w:tc>
      </w:tr>
      <w:tr>
        <w:trPr/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Nome do/s docente/s:</w:t>
            </w:r>
          </w:p>
        </w:tc>
        <w:tc>
          <w:tcPr>
            <w:tcW w:w="6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Rodney Vasconcelos Fonseca</w:t>
            </w:r>
          </w:p>
        </w:tc>
      </w:tr>
      <w:tr>
        <w:trPr/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Período:</w:t>
            </w:r>
          </w:p>
        </w:tc>
        <w:tc>
          <w:tcPr>
            <w:tcW w:w="62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</w:t>
            </w:r>
            <w:r>
              <w:rPr>
                <w:rFonts w:eastAsia="Arial" w:cs="Arial" w:ascii="Arial" w:hAnsi="Arial"/>
              </w:rPr>
              <w:t>9</w:t>
            </w:r>
            <w:r>
              <w:rPr>
                <w:rFonts w:eastAsia="Arial" w:cs="Arial" w:ascii="Arial" w:hAnsi="Arial"/>
              </w:rPr>
              <w:t>/0</w:t>
            </w:r>
            <w:r>
              <w:rPr>
                <w:rFonts w:eastAsia="Arial" w:cs="Arial" w:ascii="Arial" w:hAnsi="Arial"/>
              </w:rPr>
              <w:t>3</w:t>
            </w:r>
            <w:r>
              <w:rPr>
                <w:rFonts w:eastAsia="Arial" w:cs="Arial" w:ascii="Arial" w:hAnsi="Arial"/>
              </w:rPr>
              <w:t>/202</w:t>
            </w:r>
            <w:r>
              <w:rPr>
                <w:rFonts w:eastAsia="Arial" w:cs="Arial" w:ascii="Arial" w:hAnsi="Arial"/>
              </w:rPr>
              <w:t>6</w:t>
            </w:r>
            <w:r>
              <w:rPr>
                <w:rFonts w:eastAsia="Arial" w:cs="Arial" w:ascii="Arial" w:hAnsi="Arial"/>
              </w:rPr>
              <w:t xml:space="preserve"> a 1</w:t>
            </w:r>
            <w:r>
              <w:rPr>
                <w:rFonts w:eastAsia="Arial" w:cs="Arial" w:ascii="Arial" w:hAnsi="Arial"/>
              </w:rPr>
              <w:t>1</w:t>
            </w:r>
            <w:r>
              <w:rPr>
                <w:rFonts w:eastAsia="Arial" w:cs="Arial" w:ascii="Arial" w:hAnsi="Arial"/>
              </w:rPr>
              <w:t>/0</w:t>
            </w:r>
            <w:r>
              <w:rPr>
                <w:rFonts w:eastAsia="Arial" w:cs="Arial" w:ascii="Arial" w:hAnsi="Arial"/>
              </w:rPr>
              <w:t>7</w:t>
            </w:r>
            <w:r>
              <w:rPr>
                <w:rFonts w:eastAsia="Arial" w:cs="Arial" w:ascii="Arial" w:hAnsi="Arial"/>
              </w:rPr>
              <w:t>/2026</w:t>
            </w:r>
          </w:p>
        </w:tc>
      </w:tr>
    </w:tbl>
    <w:p>
      <w:pPr>
        <w:pStyle w:val="Normal"/>
        <w:widowControl w:val="false"/>
        <w:rPr>
          <w:rFonts w:ascii="Arial" w:hAnsi="Arial" w:eastAsia="Arial" w:cs="Arial"/>
          <w:b/>
          <w:color w:val="FF0000"/>
          <w:sz w:val="28"/>
          <w:szCs w:val="28"/>
        </w:rPr>
      </w:pPr>
      <w:r>
        <w:rPr>
          <w:rFonts w:eastAsia="Arial" w:cs="Arial" w:ascii="Arial" w:hAnsi="Arial"/>
          <w:b/>
          <w:color w:val="FF0000"/>
          <w:sz w:val="28"/>
          <w:szCs w:val="28"/>
        </w:rPr>
      </w:r>
    </w:p>
    <w:tbl>
      <w:tblPr>
        <w:tblStyle w:val="a7"/>
        <w:tblW w:w="9840" w:type="dxa"/>
        <w:jc w:val="left"/>
        <w:tblInd w:w="-10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noHBand="0" w:noVBand="1" w:firstColumn="0" w:lastRow="0" w:lastColumn="0" w:firstRow="0"/>
      </w:tblPr>
      <w:tblGrid>
        <w:gridCol w:w="1470"/>
        <w:gridCol w:w="5700"/>
        <w:gridCol w:w="2670"/>
      </w:tblGrid>
      <w:tr>
        <w:trPr>
          <w:trHeight w:val="971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Data ou período de realização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Unidade Temática ou Conteúdo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b/>
                <w:color w:val="FF0000"/>
                <w:sz w:val="18"/>
                <w:szCs w:val="18"/>
              </w:rPr>
            </w:pPr>
            <w:r>
              <w:rPr>
                <w:rFonts w:eastAsia="Arial" w:cs="Arial" w:ascii="Arial" w:hAnsi="Arial"/>
                <w:b/>
                <w:sz w:val="18"/>
                <w:szCs w:val="18"/>
              </w:rPr>
              <w:t>Atividade/recurso</w:t>
            </w:r>
          </w:p>
        </w:tc>
      </w:tr>
      <w:tr>
        <w:trPr>
          <w:trHeight w:val="323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09/03/2026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b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Apresentação, metodologia, calendário.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/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11/03/2026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b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População e amostra. Tipos de variáveis.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16/03/2026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 </w:t>
            </w:r>
            <w:r>
              <w:rPr>
                <w:rFonts w:cs="Arial" w:ascii="Arial" w:hAnsi="Arial"/>
                <w:sz w:val="18"/>
                <w:szCs w:val="18"/>
              </w:rPr>
              <w:t>Apresentação tabular e principais tipos de representação gráfica.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18/03/2026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Medidas de tendência central e suas relações.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23/03/2026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Quantis, </w:t>
            </w:r>
            <w:r>
              <w:rPr>
                <w:rFonts w:cs="Arial" w:ascii="Arial" w:hAnsi="Arial"/>
                <w:sz w:val="18"/>
                <w:szCs w:val="18"/>
              </w:rPr>
              <w:t>distância interquartílica e</w:t>
            </w:r>
            <w:r>
              <w:rPr>
                <w:rFonts w:cs="Arial" w:ascii="Arial" w:hAnsi="Arial"/>
                <w:sz w:val="18"/>
                <w:szCs w:val="18"/>
              </w:rPr>
              <w:t xml:space="preserve"> boxplots.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25/03/2026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Medidas de dispersão: amplitude total, desvio padrão, variância </w:t>
            </w:r>
            <w:r>
              <w:rPr>
                <w:rFonts w:cs="Arial" w:ascii="Arial" w:hAnsi="Arial"/>
                <w:sz w:val="18"/>
                <w:szCs w:val="18"/>
              </w:rPr>
              <w:t>e</w:t>
            </w:r>
            <w:r>
              <w:rPr>
                <w:rFonts w:cs="Arial" w:ascii="Arial" w:hAnsi="Arial"/>
                <w:sz w:val="18"/>
                <w:szCs w:val="18"/>
              </w:rPr>
              <w:t xml:space="preserve"> coeficiente de variação.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30/03/2026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Aula de laboratório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Prática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01/04/2026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Coeficiente de correlação. </w:t>
            </w:r>
            <w:r>
              <w:rPr>
                <w:rFonts w:cs="Arial" w:ascii="Arial" w:hAnsi="Arial"/>
                <w:sz w:val="18"/>
                <w:szCs w:val="18"/>
              </w:rPr>
              <w:t>Medidas de assimetria e curtose.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06/04/2026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Espaço amostral e eventos. Revisão de teoria de conjuntos.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08/04/2026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Conceitos e propriedades de probabilidade. Revisão de métodos de contagem.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13/04/2026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Probabilidade condicional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15/04/2026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Independência Estatística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20/04/2026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Aula de laboratório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Prática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22/04/2026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Teorema de Bayes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27/04/2026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Aula de exercícios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Prática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29/04/2026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Revisão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04/05/2026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b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Prova 1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Prova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06/05/2026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Conceituação de variável aleatória discreta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11/05/2026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Esperança e Variância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13/05/2026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Função de distribuição acumulada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18/05/2026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Distribuição de Bernoulli. Distribuição Binomial.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20/05/2026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Distribuição Poisson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25/05/2026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81D41A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Aula de laboratório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Prática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27/05/2026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 xml:space="preserve">Aula de exercícios. </w:t>
            </w:r>
            <w:r>
              <w:rPr>
                <w:rFonts w:cs="Arial" w:ascii="Arial" w:hAnsi="Arial"/>
                <w:sz w:val="18"/>
                <w:szCs w:val="18"/>
              </w:rPr>
              <w:t>Revisão de cálculo.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Prática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01/06/2026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Conceituação de variável aleatória contínua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03/06/2026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Esperança e Variância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08/06/2026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Função de distribuição acumulada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10/06/2026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Distribuição Uniforme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15/06/2026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Distribuição Normal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17/06/2026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Aula de exercícios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Prática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22/06/2026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Revisão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Teórica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24/06/2026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b/>
                <w:color w:val="FF0000"/>
                <w:sz w:val="18"/>
                <w:szCs w:val="18"/>
              </w:rPr>
            </w:pPr>
            <w:r>
              <w:rPr>
                <w:rFonts w:cs="Arial" w:ascii="Arial" w:hAnsi="Arial"/>
                <w:b/>
                <w:color w:val="FF0000"/>
                <w:sz w:val="18"/>
                <w:szCs w:val="18"/>
              </w:rPr>
              <w:t>Feriado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/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29/06/2026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b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Prova 2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Prova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01/07/2026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Correção de provas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06/07/2026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00" w:val="clear"/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b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Segunda chamada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  <w:t>Prova</w:t>
            </w:r>
          </w:p>
        </w:tc>
      </w:tr>
      <w:tr>
        <w:trPr>
          <w:trHeight w:val="309" w:hRule="atLeast"/>
        </w:trPr>
        <w:tc>
          <w:tcPr>
            <w:tcW w:w="1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TableContents"/>
              <w:jc w:val="left"/>
              <w:rPr/>
            </w:pPr>
            <w:r>
              <w:rPr/>
              <w:t>08/07/2026</w:t>
            </w:r>
          </w:p>
        </w:tc>
        <w:tc>
          <w:tcPr>
            <w:tcW w:w="5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rFonts w:ascii="Arial" w:hAnsi="Arial" w:eastAsia="Arial" w:cs="Arial"/>
                <w:b/>
                <w:color w:val="333333"/>
                <w:sz w:val="18"/>
                <w:szCs w:val="18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Resultado final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eastAsia="Arial" w:cs="Arial" w:ascii="Arial" w:hAnsi="Arial"/>
                <w:sz w:val="18"/>
                <w:szCs w:val="18"/>
              </w:rPr>
            </w:r>
          </w:p>
        </w:tc>
      </w:tr>
    </w:tbl>
    <w:p>
      <w:pPr>
        <w:pStyle w:val="Normal"/>
        <w:widowControl w:val="false"/>
        <w:rPr>
          <w:rFonts w:ascii="Arial" w:hAnsi="Arial" w:eastAsia="Arial" w:cs="Arial"/>
          <w:b/>
          <w:color w:val="FF0000"/>
          <w:sz w:val="28"/>
          <w:szCs w:val="28"/>
        </w:rPr>
      </w:pPr>
      <w:r>
        <w:rPr>
          <w:rFonts w:eastAsia="Arial" w:cs="Arial" w:ascii="Arial" w:hAnsi="Arial"/>
          <w:b/>
          <w:color w:val="FF0000"/>
          <w:sz w:val="28"/>
          <w:szCs w:val="28"/>
        </w:rPr>
      </w:r>
    </w:p>
    <w:sectPr>
      <w:footnotePr>
        <w:numFmt w:val="decimal"/>
      </w:footnotePr>
      <w:type w:val="nextPage"/>
      <w:pgSz w:w="11906" w:h="16838"/>
      <w:pgMar w:left="1418" w:right="1134" w:gutter="0" w:header="0" w:top="1418" w:footer="0" w:bottom="1134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맑은 고딕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Batang">
    <w:altName w:val="바탕"/>
    <w:charset w:val="01"/>
    <w:family w:val="roman"/>
    <w:pitch w:val="variable"/>
  </w:font>
  <w:font w:name="Calibri">
    <w:charset w:val="01"/>
    <w:family w:val="roman"/>
    <w:pitch w:val="variable"/>
  </w:font>
  <w:font w:name="Nimbus Roman No9 L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Malgun Gothic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widowControl w:val="false"/>
        <w:jc w:val="both"/>
        <w:rPr>
          <w:rFonts w:ascii="Malgun Gothic" w:hAnsi="Malgun Gothic" w:eastAsia="Malgun Gothic" w:cs="Malgun Gothic"/>
          <w:sz w:val="16"/>
          <w:szCs w:val="16"/>
        </w:rPr>
      </w:pPr>
      <w:r>
        <w:rPr>
          <w:rStyle w:val="FootnoteCharacters"/>
        </w:rPr>
        <w:footnoteRef/>
      </w:r>
      <w:r>
        <w:rPr>
          <w:rFonts w:eastAsia="Malgun Gothic" w:cs="Malgun Gothic" w:ascii="Malgun Gothic" w:hAnsi="Malgun Gothic"/>
          <w:sz w:val="16"/>
          <w:szCs w:val="16"/>
        </w:rPr>
        <w:t xml:space="preserve"> </w:t>
      </w:r>
      <w:r>
        <w:rPr>
          <w:rFonts w:eastAsia="Malgun Gothic" w:cs="Malgun Gothic" w:ascii="Malgun Gothic" w:hAnsi="Malgun Gothic"/>
          <w:sz w:val="16"/>
          <w:szCs w:val="16"/>
        </w:rPr>
        <w:t>Os “dados de identificação e atributos” devem estar registrados conforme especificado no Programa do Componente Curricular e disponível no site da Superintendência Acadêmica (SUPAC)SIAC. O único campo a ser preenchido nesse tópico do formulário é o que diz respeito ao módulo de vagas ofertadas.</w:t>
      </w:r>
    </w:p>
  </w:footnote>
  <w:footnote w:id="3">
    <w:p>
      <w:pPr>
        <w:pStyle w:val="Normal"/>
        <w:widowControl w:val="false"/>
        <w:pBdr/>
        <w:jc w:val="both"/>
        <w:rPr>
          <w:rFonts w:ascii="Malgun Gothic" w:hAnsi="Malgun Gothic" w:eastAsia="Malgun Gothic" w:cs="Malgun Gothic"/>
          <w:color w:val="000000"/>
        </w:rPr>
      </w:pPr>
      <w:r>
        <w:rPr>
          <w:rStyle w:val="FootnoteCharacters"/>
        </w:rPr>
        <w:footnoteRef/>
      </w:r>
      <w:r>
        <w:rPr>
          <w:rFonts w:eastAsia="Malgun Gothic" w:cs="Malgun Gothic" w:ascii="Malgun Gothic" w:hAnsi="Malgun Gothic"/>
          <w:color w:val="000000"/>
          <w:sz w:val="16"/>
          <w:szCs w:val="16"/>
        </w:rPr>
        <w:t xml:space="preserve"> </w:t>
      </w:r>
      <w:r>
        <w:rPr>
          <w:rFonts w:eastAsia="Malgun Gothic" w:cs="Malgun Gothic" w:ascii="Malgun Gothic" w:hAnsi="Malgun Gothic"/>
          <w:color w:val="000000"/>
          <w:sz w:val="16"/>
          <w:szCs w:val="16"/>
          <w:shd w:fill="FDFDFD" w:val="clear"/>
        </w:rPr>
        <w:t>O plano de ensino-aprendizagem é um documento que tramita internamente na Unidade acadêmica (especificamente no departamento ou coordenação acadêmica), não sendo necessário encaminhá-lo à Prograd nem à Supac, após aprovação pela instância responsável.</w:t>
      </w:r>
    </w:p>
  </w:footnote>
  <w:footnote w:id="4">
    <w:p>
      <w:pPr>
        <w:pStyle w:val="Normal"/>
        <w:pBdr/>
        <w:rPr>
          <w:color w:val="FF0000"/>
        </w:rPr>
      </w:pPr>
      <w:r>
        <w:rPr>
          <w:rStyle w:val="FootnoteCharacters"/>
        </w:rPr>
        <w:footnoteRef/>
      </w:r>
      <w:r>
        <w:rPr/>
        <w:t xml:space="preserve"> </w:t>
      </w:r>
      <w:r>
        <w:rPr>
          <w:rFonts w:eastAsia="Malgun Gothic" w:cs="Malgun Gothic" w:ascii="Malgun Gothic" w:hAnsi="Malgun Gothic"/>
          <w:sz w:val="16"/>
          <w:szCs w:val="16"/>
        </w:rPr>
        <w:t>Esta é a proposta de cronograma. Recomenda-se pensar a organização do componente em unidades ou temáticas amplas, considerando períodos equivalentes à carga horária diária ou de uma semana.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62fc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a62fcc"/>
    <w:pPr>
      <w:keepNext w:val="true"/>
      <w:keepLines/>
      <w:widowControl w:val="false"/>
      <w:spacing w:before="480" w:after="0"/>
      <w:jc w:val="both"/>
      <w:outlineLvl w:val="0"/>
    </w:pPr>
    <w:rPr>
      <w:rFonts w:ascii="맑은 고딕" w:hAnsi="맑은 고딕" w:eastAsia="" w:cs="" w:asciiTheme="majorHAnsi" w:cstheme="majorBidi" w:eastAsiaTheme="majorEastAsia" w:hAnsiTheme="majorHAnsi"/>
      <w:b/>
      <w:bCs/>
      <w:color w:themeColor="accent1" w:themeShade="bf" w:val="365F91"/>
      <w:kern w:val="2"/>
      <w:sz w:val="28"/>
      <w:szCs w:val="28"/>
      <w:lang w:val="en-US" w:eastAsia="ko-KR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a62fcc"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a62fcc"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a62fcc"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a62fcc"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a62fcc"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uiPriority w:val="99"/>
    <w:semiHidden/>
    <w:unhideWhenUsed/>
    <w:qFormat/>
    <w:rsid w:val="00a62fcc"/>
    <w:rPr>
      <w:sz w:val="16"/>
      <w:szCs w:val="16"/>
    </w:rPr>
  </w:style>
  <w:style w:type="character" w:styleId="Emphasis">
    <w:name w:val="Emphasis"/>
    <w:basedOn w:val="DefaultParagraphFont"/>
    <w:uiPriority w:val="20"/>
    <w:qFormat/>
    <w:rsid w:val="00a62fcc"/>
    <w:rPr>
      <w:i/>
      <w:iCs/>
    </w:rPr>
  </w:style>
  <w:style w:type="character" w:styleId="FootnoteCharacters" w:customStyle="1">
    <w:name w:val="Footnote Characters"/>
    <w:basedOn w:val="DefaultParagraphFont"/>
    <w:uiPriority w:val="99"/>
    <w:semiHidden/>
    <w:unhideWhenUsed/>
    <w:qFormat/>
    <w:rsid w:val="00a62fcc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basedOn w:val="DefaultParagraphFont"/>
    <w:uiPriority w:val="22"/>
    <w:qFormat/>
    <w:rsid w:val="00a62fcc"/>
    <w:rPr>
      <w:b/>
      <w:bCs/>
    </w:rPr>
  </w:style>
  <w:style w:type="character" w:styleId="Ttulo1Char" w:customStyle="1">
    <w:name w:val="Título 1 Char"/>
    <w:basedOn w:val="DefaultParagraphFont"/>
    <w:link w:val="Heading1"/>
    <w:uiPriority w:val="9"/>
    <w:qFormat/>
    <w:rsid w:val="00a62fcc"/>
    <w:rPr>
      <w:rFonts w:ascii="맑은 고딕" w:hAnsi="맑은 고딕" w:eastAsia="" w:cs="" w:asciiTheme="majorHAnsi" w:cstheme="majorBidi" w:eastAsiaTheme="majorEastAsia" w:hAnsiTheme="majorHAnsi"/>
      <w:b/>
      <w:bCs/>
      <w:color w:themeColor="accent1" w:themeShade="bf" w:val="365F91"/>
      <w:kern w:val="2"/>
      <w:sz w:val="28"/>
      <w:szCs w:val="28"/>
      <w:lang w:val="en-US" w:eastAsia="ko-KR"/>
    </w:rPr>
  </w:style>
  <w:style w:type="character" w:styleId="highlight" w:customStyle="1">
    <w:name w:val="highlight"/>
    <w:basedOn w:val="DefaultParagraphFont"/>
    <w:qFormat/>
    <w:rsid w:val="00a62fcc"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a62fcc"/>
    <w:rPr>
      <w:rFonts w:ascii="Tahoma" w:hAnsi="Tahoma" w:cs="Tahoma"/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qFormat/>
    <w:rsid w:val="00a62fcc"/>
    <w:rPr/>
  </w:style>
  <w:style w:type="character" w:styleId="AssuntodocomentrioChar" w:customStyle="1">
    <w:name w:val="Assunto do comentário Char"/>
    <w:basedOn w:val="TextodecomentrioChar"/>
    <w:uiPriority w:val="99"/>
    <w:semiHidden/>
    <w:qFormat/>
    <w:rsid w:val="00a62fcc"/>
    <w:rPr>
      <w:b/>
      <w:bCs/>
    </w:rPr>
  </w:style>
  <w:style w:type="character" w:styleId="PlaceholderText">
    <w:name w:val="Placeholder Text"/>
    <w:basedOn w:val="DefaultParagraphFont"/>
    <w:uiPriority w:val="99"/>
    <w:semiHidden/>
    <w:qFormat/>
    <w:rsid w:val="00a62fcc"/>
    <w:rPr>
      <w:color w:val="808080"/>
    </w:rPr>
  </w:style>
  <w:style w:type="character" w:styleId="ncoradanotaderodap" w:customStyle="1">
    <w:name w:val="Âncora da nota de rodapé"/>
    <w:qFormat/>
    <w:rsid w:val="00a62fcc"/>
    <w:rPr>
      <w:vertAlign w:val="superscript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qFormat/>
    <w:rsid w:val="00a62fcc"/>
    <w:rPr/>
  </w:style>
  <w:style w:type="character" w:styleId="LinkdaInternet" w:customStyle="1">
    <w:name w:val="Link da Internet"/>
    <w:basedOn w:val="DefaultParagraphFont"/>
    <w:uiPriority w:val="99"/>
    <w:unhideWhenUsed/>
    <w:qFormat/>
    <w:rsid w:val="00a62fcc"/>
    <w:rPr>
      <w:color w:themeColor="hyperlink" w:val="0000FF"/>
      <w:u w:val="single"/>
    </w:rPr>
  </w:style>
  <w:style w:type="character" w:styleId="Linkdainternetvisitado" w:customStyle="1">
    <w:name w:val="Link da internet visitado"/>
    <w:basedOn w:val="DefaultParagraphFont"/>
    <w:uiPriority w:val="99"/>
    <w:semiHidden/>
    <w:unhideWhenUsed/>
    <w:qFormat/>
    <w:rsid w:val="00a62fcc"/>
    <w:rPr>
      <w:color w:themeColor="followedHyperlink" w:val="800080"/>
      <w:u w:val="single"/>
    </w:rPr>
  </w:style>
  <w:style w:type="character" w:styleId="AssuntodocomentrioChar1" w:customStyle="1">
    <w:name w:val="Assunto do comentário Char1"/>
    <w:basedOn w:val="TextodecomentrioChar1"/>
    <w:link w:val="annotationsubject"/>
    <w:uiPriority w:val="99"/>
    <w:semiHidden/>
    <w:qFormat/>
    <w:rsid w:val="00a62fcc"/>
    <w:rPr>
      <w:b/>
      <w:bCs/>
      <w:sz w:val="20"/>
      <w:szCs w:val="20"/>
    </w:rPr>
  </w:style>
  <w:style w:type="character" w:styleId="TextodecomentrioChar1" w:customStyle="1">
    <w:name w:val="Texto de comentário Char1"/>
    <w:link w:val="AnnotationText"/>
    <w:uiPriority w:val="99"/>
    <w:semiHidden/>
    <w:qFormat/>
    <w:rsid w:val="00a62fcc"/>
    <w:rPr>
      <w:sz w:val="20"/>
      <w:szCs w:val="20"/>
    </w:rPr>
  </w:style>
  <w:style w:type="character" w:styleId="Caracteresdenotaderodap" w:customStyle="1">
    <w:name w:val="Caracteres de nota de rodapé"/>
    <w:qFormat/>
    <w:rsid w:val="00a62fcc"/>
    <w:rPr/>
  </w:style>
  <w:style w:type="character" w:styleId="Numeraodelinhas" w:customStyle="1">
    <w:name w:val="Numeração de linhas"/>
    <w:qFormat/>
    <w:rsid w:val="00a62fcc"/>
    <w:rPr/>
  </w:style>
  <w:style w:type="character" w:styleId="ncoradanotadefim" w:customStyle="1">
    <w:name w:val="Âncora da nota de fim"/>
    <w:qFormat/>
    <w:rsid w:val="00a62fcc"/>
    <w:rPr>
      <w:vertAlign w:val="superscript"/>
    </w:rPr>
  </w:style>
  <w:style w:type="character" w:styleId="Caracteresdenotadefim" w:customStyle="1">
    <w:name w:val="Caracteres de nota de fim"/>
    <w:qFormat/>
    <w:rsid w:val="00a62fcc"/>
    <w:rPr/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qFormat/>
    <w:rsid w:val="00a62fcc"/>
    <w:pPr>
      <w:spacing w:lineRule="auto" w:line="276" w:before="0" w:after="140"/>
    </w:pPr>
    <w:rPr/>
  </w:style>
  <w:style w:type="paragraph" w:styleId="List">
    <w:name w:val="List"/>
    <w:basedOn w:val="BodyText"/>
    <w:qFormat/>
    <w:rsid w:val="00a62fcc"/>
    <w:pPr/>
    <w:rPr>
      <w:rFonts w:cs="Lucida Sans"/>
    </w:rPr>
  </w:style>
  <w:style w:type="paragraph" w:styleId="Caption">
    <w:name w:val="Caption"/>
    <w:basedOn w:val="Normal"/>
    <w:qFormat/>
    <w:rsid w:val="00a62fc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uiPriority w:val="10"/>
    <w:qFormat/>
    <w:rsid w:val="00a62fcc"/>
    <w:pPr>
      <w:keepNext w:val="true"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a62fcc"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TextodecomentrioChar1"/>
    <w:uiPriority w:val="99"/>
    <w:semiHidden/>
    <w:unhideWhenUsed/>
    <w:qFormat/>
    <w:rsid w:val="00a62fcc"/>
    <w:pPr/>
    <w:rPr/>
  </w:style>
  <w:style w:type="paragraph" w:styleId="annotationsubject">
    <w:name w:val="annotation subject"/>
    <w:basedOn w:val="AnnotationText"/>
    <w:next w:val="AnnotationText"/>
    <w:link w:val="AssuntodocomentrioChar1"/>
    <w:uiPriority w:val="99"/>
    <w:semiHidden/>
    <w:unhideWhenUsed/>
    <w:qFormat/>
    <w:rsid w:val="00a62fcc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uiPriority w:val="99"/>
    <w:semiHidden/>
    <w:unhideWhenUsed/>
    <w:rsid w:val="00a62fcc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FootnoteText">
    <w:name w:val="Footnote Text"/>
    <w:basedOn w:val="Normal"/>
    <w:link w:val="TextodenotaderodapChar"/>
    <w:uiPriority w:val="99"/>
    <w:unhideWhenUsed/>
    <w:rsid w:val="00a62fcc"/>
    <w:pPr/>
    <w:rPr/>
  </w:style>
  <w:style w:type="paragraph" w:styleId="Header">
    <w:name w:val="Header"/>
    <w:basedOn w:val="Normal"/>
    <w:uiPriority w:val="99"/>
    <w:semiHidden/>
    <w:unhideWhenUsed/>
    <w:rsid w:val="00a62fcc"/>
    <w:pPr>
      <w:tabs>
        <w:tab w:val="clear" w:pos="7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dice" w:customStyle="1">
    <w:name w:val="Índice"/>
    <w:basedOn w:val="Normal"/>
    <w:qFormat/>
    <w:rsid w:val="00a62fcc"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a62fcc"/>
    <w:pPr>
      <w:widowControl w:val="false"/>
      <w:suppressAutoHyphens w:val="true"/>
      <w:bidi w:val="0"/>
      <w:spacing w:before="0" w:after="0"/>
      <w:jc w:val="both"/>
    </w:pPr>
    <w:rPr>
      <w:rFonts w:ascii="Batang" w:hAnsi="Batang" w:eastAsia="Times New Roman" w:cs="Times New Roman"/>
      <w:color w:val="auto"/>
      <w:kern w:val="2"/>
      <w:sz w:val="20"/>
      <w:szCs w:val="20"/>
      <w:lang w:val="en-US" w:eastAsia="ko-KR" w:bidi="ar-SA"/>
    </w:rPr>
  </w:style>
  <w:style w:type="paragraph" w:styleId="ListParagraph">
    <w:name w:val="List Paragraph"/>
    <w:basedOn w:val="Normal"/>
    <w:qFormat/>
    <w:rsid w:val="00a62fcc"/>
    <w:pPr>
      <w:widowControl w:val="false"/>
      <w:ind w:left="400"/>
      <w:jc w:val="both"/>
    </w:pPr>
    <w:rPr>
      <w:rFonts w:ascii="Batang" w:hAnsi="Batang"/>
      <w:kern w:val="2"/>
      <w:lang w:val="en-US" w:eastAsia="ko-KR"/>
    </w:rPr>
  </w:style>
  <w:style w:type="paragraph" w:styleId="Padro" w:customStyle="1">
    <w:name w:val="Padrão"/>
    <w:uiPriority w:val="99"/>
    <w:qFormat/>
    <w:rsid w:val="00a62fcc"/>
    <w:pPr>
      <w:widowControl/>
      <w:tabs>
        <w:tab w:val="clear" w:pos="720"/>
        <w:tab w:val="left" w:pos="708" w:leader="none"/>
      </w:tabs>
      <w:suppressAutoHyphens w:val="true"/>
      <w:bidi w:val="0"/>
      <w:spacing w:lineRule="auto" w:line="276" w:before="0" w:after="200"/>
      <w:jc w:val="left"/>
    </w:pPr>
    <w:rPr>
      <w:rFonts w:ascii="Calibri" w:hAnsi="Calibri" w:cs="Calibri" w:eastAsia="Times New Roman"/>
      <w:color w:val="000000"/>
      <w:kern w:val="0"/>
      <w:sz w:val="24"/>
      <w:szCs w:val="24"/>
      <w:lang w:eastAsia="zh-CN" w:val="pt-BR" w:bidi="ar-SA"/>
    </w:rPr>
  </w:style>
  <w:style w:type="paragraph" w:styleId="Standard" w:customStyle="1">
    <w:name w:val="Standard"/>
    <w:qFormat/>
    <w:rsid w:val="00a62fcc"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Nimbus Roman No9 L" w:hAnsi="Nimbus Roman No9 L" w:eastAsia="Source Han Sans SC Normal" w:cs="Lohit Marathi"/>
      <w:color w:val="auto"/>
      <w:kern w:val="2"/>
      <w:sz w:val="24"/>
      <w:szCs w:val="24"/>
      <w:lang w:val="pt-PT" w:eastAsia="zh-CN" w:bidi="hi-IN"/>
    </w:rPr>
  </w:style>
  <w:style w:type="paragraph" w:styleId="Reviso1" w:customStyle="1">
    <w:name w:val="Revisão1"/>
    <w:uiPriority w:val="99"/>
    <w:semiHidden/>
    <w:qFormat/>
    <w:rsid w:val="00a62fcc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Corpo" w:customStyle="1">
    <w:name w:val="Corpo"/>
    <w:qFormat/>
    <w:rsid w:val="00a62fc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0"/>
      <w:sz w:val="22"/>
      <w:szCs w:val="22"/>
      <w:u w:val="none" w:color="000000"/>
      <w:lang w:val="pt-BR" w:eastAsia="pt-BR" w:bidi="ar-SA"/>
    </w:rPr>
  </w:style>
  <w:style w:type="paragraph" w:styleId="Default" w:customStyle="1">
    <w:name w:val="Default"/>
    <w:qFormat/>
    <w:rsid w:val="00a62fcc"/>
    <w:pPr>
      <w:widowControl/>
      <w:suppressAutoHyphens w:val="true"/>
      <w:bidi w:val="0"/>
      <w:spacing w:before="0" w:after="0"/>
      <w:jc w:val="left"/>
    </w:pPr>
    <w:rPr>
      <w:rFonts w:eastAsia="Calibri" w:ascii="Times New Roman" w:hAnsi="Times New Roman" w:cs="Times New Roman"/>
      <w:color w:val="000000"/>
      <w:kern w:val="0"/>
      <w:sz w:val="24"/>
      <w:szCs w:val="24"/>
      <w:lang w:eastAsia="en-US" w:val="pt-BR" w:bidi="ar-SA"/>
    </w:rPr>
  </w:style>
  <w:style w:type="paragraph" w:styleId="Contedodatabela" w:customStyle="1">
    <w:name w:val="Conteúdo da tabela"/>
    <w:basedOn w:val="Normal"/>
    <w:qFormat/>
    <w:rsid w:val="00a62fcc"/>
    <w:pPr>
      <w:widowControl w:val="false"/>
      <w:suppressLineNumbers/>
    </w:pPr>
    <w:rPr/>
  </w:style>
  <w:style w:type="paragraph" w:styleId="Ttulodetabela" w:customStyle="1">
    <w:name w:val="Título de tabela"/>
    <w:basedOn w:val="Contedodatabela"/>
    <w:qFormat/>
    <w:rsid w:val="00a62fcc"/>
    <w:pPr>
      <w:jc w:val="center"/>
    </w:pPr>
    <w:rPr>
      <w:b/>
      <w:bCs/>
    </w:rPr>
  </w:style>
  <w:style w:type="paragraph" w:styleId="Revision">
    <w:name w:val="Revision"/>
    <w:uiPriority w:val="99"/>
    <w:semiHidden/>
    <w:qFormat/>
    <w:rsid w:val="00b34ed2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pt-BR" w:eastAsia="pt-B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a62fcc"/>
    <w:rPr>
      <w:rFonts w:asciiTheme="minorHAnsi" w:hAnsiTheme="minorHAnsi" w:eastAsiaTheme="minorHAnsi" w:cstheme="minorBidi"/>
      <w:lang w:eastAsia="en-US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rsid w:val="00a62fc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a62fcc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4">
    <w:name w:val="_Style 84"/>
    <w:basedOn w:val="TableNormal1"/>
    <w:rsid w:val="00a62fcc"/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85">
    <w:name w:val="_Style 85"/>
    <w:basedOn w:val="TableNormal1"/>
    <w:qFormat/>
    <w:rsid w:val="00a62fcc"/>
    <w:rPr>
      <w:sz w:val="22"/>
      <w:szCs w:val="22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BdjdGgZS33qYbcfOI7PAgrfP2cA==">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Application>LibreOffice/24.2.7.2$Linux_X86_64 LibreOffice_project/420$Build-2</Application>
  <AppVersion>15.0000</AppVersion>
  <Pages>4</Pages>
  <Words>871</Words>
  <Characters>5630</Characters>
  <CharactersWithSpaces>6398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2020-12-14T17:27:00Z</dcterms:created>
  <dc:creator>Ane Luz</dc:creator>
  <dc:description/>
  <dc:language>pt-BR</dc:language>
  <cp:lastModifiedBy/>
  <cp:lastPrinted>2025-08-12T09:50:00Z</cp:lastPrinted>
  <dcterms:modified xsi:type="dcterms:W3CDTF">2026-01-23T17:06:06Z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dd7b2bb0-b211-451f-a9e6-8aa31e6a6a66</vt:lpwstr>
  </property>
  <property fmtid="{D5CDD505-2E9C-101B-9397-08002B2CF9AE}" pid="3" name="ICV">
    <vt:lpwstr>9588A8C8989741F6820FC0C832B66CBF_13</vt:lpwstr>
  </property>
  <property fmtid="{D5CDD505-2E9C-101B-9397-08002B2CF9AE}" pid="4" name="KSOProductBuildVer">
    <vt:lpwstr>1033-12.2.0.13431</vt:lpwstr>
  </property>
</Properties>
</file>