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CF6D1B6">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Operation Epic Fury and Its Discontents: A Geopolitical Winners and Losers Assessment</w:t>
      </w:r>
      <w:r/>
    </w:p>
    <w:p w14:paraId="1E3FA972">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On 28 February 2026, the United States and Israel launched a coordinated series of strikes against Iran under the operational codename Epic Fury — targeting military infrastructure, nuclear sites, and the regime's leadership, including the assassination of</w:t>
      </w:r>
      <w:r>
        <w:rPr>
          <w:rFonts w:ascii="Times New Roman" w:hAnsi="Times New Roman" w:eastAsia="Times New Roman" w:cs="Times New Roman"/>
          <w:color w:val="000000"/>
          <w:sz w:val="24"/>
        </w:rPr>
        <w:t xml:space="preserve"> Supreme Leader Ali Khamenei. The operation marked the most significant direct military confrontation between the United States and Iran since the 1979 revolution, and its consequences have reverberated far beyond the theatre of conflict itself.</w:t>
      </w:r>
      <w:r/>
    </w:p>
    <w:p w14:paraId="0502480F">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Wars of this magnitude are rarely contained. They redistribute power, expose vulnerabilities, accelerate existing tensions, and produce winners and losers far removed from the battlefield. Operation Epic Fury is no exception. Within days of the first strik</w:t>
      </w:r>
      <w:r>
        <w:rPr>
          <w:rFonts w:ascii="Times New Roman" w:hAnsi="Times New Roman" w:eastAsia="Times New Roman" w:cs="Times New Roman"/>
          <w:color w:val="000000"/>
          <w:sz w:val="24"/>
        </w:rPr>
        <w:t xml:space="preserve">es, the Strait of Hormuz was effectively closed, global energy markets convulsed, allied coalitions fractured, and the strategic calculus of powers from Moscow to Beijing shifted perceptibly.</w:t>
      </w:r>
      <w:r/>
    </w:p>
    <w:p w14:paraId="35F55D5D">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This analysis does not seek to adjudicate the war's legality or morality. Its purpose is strictly geopolitical: to assess, with the benefit of the first weeks of the conflict, which actors have gained from this rupture in the international order, which hav</w:t>
      </w:r>
      <w:r>
        <w:rPr>
          <w:rFonts w:ascii="Times New Roman" w:hAnsi="Times New Roman" w:eastAsia="Times New Roman" w:cs="Times New Roman"/>
          <w:color w:val="000000"/>
          <w:sz w:val="24"/>
        </w:rPr>
        <w:t xml:space="preserve">e lost, and why. The conclusions are, in several cases, deeply counter intuitive; and in almost every case, they complicate the narratives of victory and defeat that both Washington and Tel Aviv have sought to project.</w:t>
      </w:r>
      <w:r/>
      <w:r>
        <w:rPr>
          <w:rFonts w:ascii="Times New Roman" w:hAnsi="Times New Roman" w:eastAsia="Times New Roman" w:cs="Times New Roman"/>
          <w:b/>
          <w:color w:val="000000"/>
          <w:sz w:val="24"/>
          <w:highlight w:val="none"/>
        </w:rPr>
      </w:r>
      <w:r>
        <w:rPr>
          <w:rFonts w:ascii="Times New Roman" w:hAnsi="Times New Roman" w:eastAsia="Times New Roman" w:cs="Times New Roman"/>
          <w:b/>
          <w:color w:val="000000"/>
          <w:sz w:val="24"/>
          <w:highlight w:val="none"/>
        </w:rPr>
      </w:r>
      <w:r>
        <w:rPr>
          <w:rFonts w:ascii="Times New Roman" w:hAnsi="Times New Roman" w:eastAsia="Times New Roman" w:cs="Times New Roman"/>
          <w:b/>
          <w:color w:val="000000"/>
          <w:sz w:val="24"/>
          <w:highlight w:val="none"/>
        </w:rPr>
      </w:r>
      <w:r>
        <w:rPr>
          <w:rFonts w:ascii="Times New Roman" w:hAnsi="Times New Roman" w:eastAsia="Times New Roman" w:cs="Times New Roman"/>
          <w:sz w:val="24"/>
        </w:rPr>
      </w:r>
    </w:p>
    <w:p w14:paraId="6949D61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color w:val="000000"/>
          <w:sz w:val="24"/>
        </w:rPr>
        <w:t xml:space="preserve">The objectives of the US-Israel coalition</w:t>
      </w:r>
      <w:r/>
    </w:p>
    <w:p w14:paraId="4D9E6806">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The war aims of the US-Israel coalition have remained conspicuously undefined. This ambiguity appears, in part, deliberate: by refraining from formally articulating objectives, the Trump administration preserves the capacity to frame any incremental develo</w:t>
      </w:r>
      <w:r>
        <w:rPr>
          <w:rFonts w:ascii="Times New Roman" w:hAnsi="Times New Roman" w:eastAsia="Times New Roman" w:cs="Times New Roman"/>
          <w:color w:val="000000"/>
          <w:sz w:val="24"/>
        </w:rPr>
        <w:t xml:space="preserve">pment as a strategic victory. Such constructive vagueness is a recognizable feature of conflicts in which domestic political optics take precedence over operational clarity.</w:t>
      </w:r>
      <w:r/>
    </w:p>
    <w:p w14:paraId="0AB84B5C">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On the ground, the prospect of a conventional land campaign was never a realistic option. Iran's vast territory (</w:t>
      </w:r>
      <w:r>
        <w:rPr>
          <w:rFonts w:ascii="Times New Roman" w:hAnsi="Times New Roman" w:eastAsia="Times New Roman" w:cs="Times New Roman"/>
          <w:color w:val="000000"/>
          <w:sz w:val="24"/>
        </w:rPr>
        <w:t xml:space="preserve">1.65 million km²</w:t>
      </w:r>
      <w:r>
        <w:rPr>
          <w:rFonts w:ascii="Times New Roman" w:hAnsi="Times New Roman" w:eastAsia="Times New Roman" w:cs="Times New Roman"/>
          <w:color w:val="000000"/>
          <w:sz w:val="24"/>
        </w:rPr>
        <w:t xml:space="preserve">) and complex topography present formidable logistical and military challenges that effectively foreclose any large-scale ground deployment by Ame</w:t>
      </w:r>
      <w:r>
        <w:rPr>
          <w:rFonts w:ascii="Times New Roman" w:hAnsi="Times New Roman" w:eastAsia="Times New Roman" w:cs="Times New Roman"/>
          <w:color w:val="000000"/>
          <w:sz w:val="24"/>
        </w:rPr>
        <w:t xml:space="preserve">rican or Israeli forces.</w:t>
      </w:r>
      <w:r/>
    </w:p>
    <w:p w14:paraId="0A1E2C9A">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If the ultimate objective was the dismantling of the Islamic Revolutionary regime, the premise itself is flawed. Every eliminated commander, from the supreme leader downward, is replaceable within a system designed precisely to absorb such losses. Israel</w:t>
      </w:r>
      <w:r>
        <w:rPr>
          <w:rFonts w:ascii="Times New Roman" w:hAnsi="Times New Roman" w:eastAsia="Times New Roman" w:cs="Times New Roman"/>
          <w:color w:val="000000"/>
          <w:sz w:val="24"/>
        </w:rPr>
        <w:t xml:space="preserve">'s mil</w:t>
      </w:r>
      <w:r>
        <w:rPr>
          <w:rFonts w:ascii="Times New Roman" w:hAnsi="Times New Roman" w:eastAsia="Times New Roman" w:cs="Times New Roman"/>
          <w:color w:val="000000"/>
          <w:sz w:val="24"/>
        </w:rPr>
        <w:t xml:space="preserve">itary establishment understands this dynamic well. History offers a pointed parallel: the Soviet Union did not collapse under external military pressure, but only when its own armed forces declined to defend it. These revolutionary regimes do not fall from</w:t>
      </w:r>
      <w:r>
        <w:rPr>
          <w:rFonts w:ascii="Times New Roman" w:hAnsi="Times New Roman" w:eastAsia="Times New Roman" w:cs="Times New Roman"/>
          <w:color w:val="000000"/>
          <w:sz w:val="24"/>
        </w:rPr>
        <w:t xml:space="preserve"> the outside; they implode from within. T</w:t>
      </w:r>
      <w:r>
        <w:rPr>
          <w:rFonts w:ascii="Times New Roman" w:hAnsi="Times New Roman" w:eastAsia="Times New Roman" w:cs="Times New Roman"/>
          <w:color w:val="000000"/>
          <w:sz w:val="24"/>
        </w:rPr>
        <w:t xml:space="preserve">he Soviet collapse, driven by economic exhaustion, ethnic fragmentation, and ultimately the military's refusal to defend the system, stands as a case in point. </w:t>
      </w:r>
      <w:r>
        <w:rPr>
          <w:rFonts w:ascii="Times New Roman" w:hAnsi="Times New Roman" w:eastAsia="Times New Roman" w:cs="Times New Roman"/>
          <w:color w:val="000000"/>
          <w:sz w:val="24"/>
        </w:rPr>
        <w:t xml:space="preserve">A point underscored by political scientist Brian D. Taylor in his study of Russian civil-military relations, who notes that the army ultimately 'chose not to intervene to prevent the collapse of the Soviet Union' (</w:t>
      </w:r>
      <w:hyperlink r:id="rId8" w:tooltip="https://www.cambridge.org/core/books/abs/politics-and-the-russian-army/gorbachev-perestroika-and-the-collapse-of-the-soviet-union-19851991/086A35BB3EE714837973B15A1C9B2A1A" w:history="1">
        <w:r>
          <w:rPr>
            <w:rStyle w:val="924"/>
            <w:rFonts w:ascii="Times New Roman" w:hAnsi="Times New Roman" w:eastAsia="Times New Roman" w:cs="Times New Roman"/>
            <w:sz w:val="24"/>
          </w:rPr>
          <w:t xml:space="preserve">Taylor, 2003</w:t>
        </w:r>
      </w:hyperlink>
      <w:r>
        <w:rPr>
          <w:rFonts w:ascii="Times New Roman" w:hAnsi="Times New Roman" w:eastAsia="Times New Roman" w:cs="Times New Roman"/>
          <w:color w:val="000000"/>
          <w:sz w:val="24"/>
        </w:rPr>
        <w:t xml:space="preserve">).</w:t>
      </w:r>
      <w:r>
        <w:rPr>
          <w:rFonts w:ascii="Times New Roman" w:hAnsi="Times New Roman" w:eastAsia="Times New Roman" w:cs="Times New Roman"/>
          <w:sz w:val="24"/>
        </w:rPr>
      </w:r>
      <w:r>
        <w:rPr>
          <w:rFonts w:ascii="Times New Roman" w:hAnsi="Times New Roman" w:eastAsia="Times New Roman" w:cs="Times New Roman"/>
          <w:color w:val="000000"/>
          <w:sz w:val="24"/>
          <w:szCs w:val="24"/>
          <w:highlight w:val="none"/>
        </w:rPr>
      </w:r>
    </w:p>
    <w:p w14:paraId="23BFCC9F">
      <w:pPr>
        <w:pBdr>
          <w:top w:val="none" w:color="000000" w:sz="4" w:space="0"/>
          <w:left w:val="none" w:color="000000" w:sz="4" w:space="0"/>
          <w:bottom w:val="none" w:color="000000" w:sz="4" w:space="0"/>
          <w:right w:val="none" w:color="000000" w:sz="4" w:space="0"/>
        </w:pBdr>
        <w:spacing/>
        <w:ind w:right="0" w:firstLine="0" w:left="0"/>
        <w:jc w:val="both"/>
        <w:rPr>
          <w:b/>
          <w:bCs/>
          <w:u w:val="none"/>
        </w:rPr>
      </w:pPr>
      <w:r>
        <w:rPr>
          <w:rFonts w:ascii="Times New Roman" w:hAnsi="Times New Roman" w:eastAsia="Times New Roman" w:cs="Times New Roman"/>
          <w:b/>
          <w:bCs/>
          <w:color w:val="000000"/>
          <w:sz w:val="24"/>
          <w:highlight w:val="none"/>
          <w:u w:val="none"/>
        </w:rPr>
        <w:t xml:space="preserve">Iran</w:t>
      </w:r>
      <w:r>
        <w:rPr>
          <w:b/>
          <w:bCs/>
          <w:u w:val="none"/>
        </w:rPr>
      </w:r>
      <w:r>
        <w:rPr>
          <w:b/>
          <w:bCs/>
          <w:u w:val="none"/>
        </w:rPr>
      </w:r>
    </w:p>
    <w:p w14:paraId="0530ACCD">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highlight w:val="none"/>
        </w:rPr>
        <w:t xml:space="preserve">A</w:t>
      </w:r>
      <w:r>
        <w:rPr>
          <w:rFonts w:ascii="Times New Roman" w:hAnsi="Times New Roman" w:eastAsia="Times New Roman" w:cs="Times New Roman"/>
          <w:color w:val="000000"/>
          <w:sz w:val="24"/>
          <w:highlight w:val="none"/>
        </w:rPr>
        <w:t xml:space="preserve">ssessing Iran's position in this conflict requires a more nuanced framework than a simple binary of victory and defeat. The Iranian regime sustained significant damage from the strikes  but it was never a regime designed to minimize losses. Built on a doc</w:t>
      </w:r>
      <w:r>
        <w:rPr>
          <w:rFonts w:ascii="Times New Roman" w:hAnsi="Times New Roman" w:eastAsia="Times New Roman" w:cs="Times New Roman"/>
          <w:color w:val="000000"/>
          <w:sz w:val="24"/>
          <w:highlight w:val="none"/>
        </w:rPr>
        <w:t xml:space="preserve">t</w:t>
      </w:r>
      <w:r>
        <w:rPr>
          <w:rFonts w:ascii="Times New Roman" w:hAnsi="Times New Roman" w:eastAsia="Times New Roman" w:cs="Times New Roman"/>
          <w:color w:val="000000"/>
          <w:sz w:val="24"/>
          <w:highlight w:val="none"/>
        </w:rPr>
        <w:t xml:space="preserve">rine of resistance and ideological endurance, the Islamic Republic has historically demonstrated a capacity to absorb punishment that would destabilize more conventional states. The Islamic Revolutionary Guard Corps, in particular, operates as a diffuse, i</w:t>
      </w:r>
      <w:r>
        <w:rPr>
          <w:rFonts w:ascii="Times New Roman" w:hAnsi="Times New Roman" w:eastAsia="Times New Roman" w:cs="Times New Roman"/>
          <w:color w:val="000000"/>
          <w:sz w:val="24"/>
          <w:highlight w:val="none"/>
        </w:rPr>
        <w:t xml:space="preserve">deologically cohesive structure, and the elimination of individual commanders, however symbolically significant, does not fundamentally alter its operational logic.</w:t>
      </w:r>
      <w:r/>
    </w:p>
    <w:p w14:paraId="7C26CFB5">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highlight w:val="none"/>
        </w:rPr>
        <w:t xml:space="preserve">M</w:t>
      </w:r>
      <w:r>
        <w:rPr>
          <w:rFonts w:ascii="Times New Roman" w:hAnsi="Times New Roman" w:eastAsia="Times New Roman" w:cs="Times New Roman"/>
          <w:color w:val="000000"/>
          <w:sz w:val="24"/>
          <w:highlight w:val="none"/>
        </w:rPr>
        <w:t xml:space="preserve">ore critically, Iran did not remain passive. By closing the Strait of Hormuz, through which a substantial share of global oil supply transits, Tehran succeeded in exporting the cost of the conflict onto the international economy. Simultaneously, its netw</w:t>
      </w:r>
      <w:r>
        <w:rPr>
          <w:rFonts w:ascii="Times New Roman" w:hAnsi="Times New Roman" w:eastAsia="Times New Roman" w:cs="Times New Roman"/>
          <w:color w:val="000000"/>
          <w:sz w:val="24"/>
          <w:highlight w:val="none"/>
        </w:rPr>
        <w:t xml:space="preserve">o</w:t>
      </w:r>
      <w:r>
        <w:rPr>
          <w:rFonts w:ascii="Times New Roman" w:hAnsi="Times New Roman" w:eastAsia="Times New Roman" w:cs="Times New Roman"/>
          <w:color w:val="000000"/>
          <w:sz w:val="24"/>
          <w:highlight w:val="none"/>
        </w:rPr>
        <w:t xml:space="preserve">rk of allied militias across the region, embedded in countries hosting American military installations, enabled a campaign of sustained pressure on US forward positions. These were not the actions of a losing party; they were the instruments of a state pla</w:t>
      </w:r>
      <w:r>
        <w:rPr>
          <w:rFonts w:ascii="Times New Roman" w:hAnsi="Times New Roman" w:eastAsia="Times New Roman" w:cs="Times New Roman"/>
          <w:color w:val="000000"/>
          <w:sz w:val="24"/>
          <w:highlight w:val="none"/>
        </w:rPr>
        <w:t xml:space="preserve">ying, as it always has, on a longer strategic horizon than its adversaries.</w:t>
      </w:r>
      <w:r/>
    </w:p>
    <w:p w14:paraId="39B8C281">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highlight w:val="none"/>
        </w:rPr>
        <w:t xml:space="preserve">T</w:t>
      </w:r>
      <w:r>
        <w:rPr>
          <w:rFonts w:ascii="Times New Roman" w:hAnsi="Times New Roman" w:eastAsia="Times New Roman" w:cs="Times New Roman"/>
          <w:color w:val="000000"/>
          <w:sz w:val="24"/>
          <w:highlight w:val="none"/>
        </w:rPr>
        <w:t xml:space="preserve">his asymmetry of time is perhaps the most persistent blind spot in American strategic culture. History offers a damning pattern: in Vietnam, a technologically inferior adversary outlasted the most powerful military apparatus in the world through sheer ideo</w:t>
      </w:r>
      <w:r>
        <w:rPr>
          <w:rFonts w:ascii="Times New Roman" w:hAnsi="Times New Roman" w:eastAsia="Times New Roman" w:cs="Times New Roman"/>
          <w:color w:val="000000"/>
          <w:sz w:val="24"/>
          <w:highlight w:val="none"/>
        </w:rPr>
        <w:t xml:space="preserve">l</w:t>
      </w:r>
      <w:r>
        <w:rPr>
          <w:rFonts w:ascii="Times New Roman" w:hAnsi="Times New Roman" w:eastAsia="Times New Roman" w:cs="Times New Roman"/>
          <w:color w:val="000000"/>
          <w:sz w:val="24"/>
          <w:highlight w:val="none"/>
        </w:rPr>
        <w:t xml:space="preserve">ogical resolve and territorial familiarity. In Afghanistan, twenty years of sustained American military presence ended in a withdrawal that restored to power the very forces it had sought to eradicate. In both cases, the United States won battles and lost </w:t>
      </w:r>
      <w:r>
        <w:rPr>
          <w:rFonts w:ascii="Times New Roman" w:hAnsi="Times New Roman" w:eastAsia="Times New Roman" w:cs="Times New Roman"/>
          <w:color w:val="000000"/>
          <w:sz w:val="24"/>
          <w:highlight w:val="none"/>
        </w:rPr>
        <w:t xml:space="preserve">the war, not on the battlefield, but in the dimension of time. Iran, acutely aware of this precedent, has structured its entire strategic posture around the same principle.</w:t>
      </w:r>
      <w:r/>
    </w:p>
    <w:p w14:paraId="40169285">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t xml:space="preserve">T</w:t>
      </w:r>
      <w:r>
        <w:rPr>
          <w:rFonts w:ascii="Times New Roman" w:hAnsi="Times New Roman" w:eastAsia="Times New Roman" w:cs="Times New Roman"/>
          <w:color w:val="000000"/>
          <w:sz w:val="24"/>
          <w:highlight w:val="none"/>
        </w:rPr>
        <w:t xml:space="preserve">he Trump administration's subsequent decision to lift sanctions on Iranian oil exports only complicated this picture further, providing the regime with an economic reprieve at a moment when sustained pressure might otherwise have compounded its difficultie</w:t>
      </w:r>
      <w:r>
        <w:rPr>
          <w:rFonts w:ascii="Times New Roman" w:hAnsi="Times New Roman" w:eastAsia="Times New Roman" w:cs="Times New Roman"/>
          <w:color w:val="000000"/>
          <w:sz w:val="24"/>
          <w:highlight w:val="none"/>
        </w:rPr>
        <w:t xml:space="preserve">s.</w:t>
      </w:r>
      <w:r>
        <w:rPr>
          <w:rFonts w:ascii="Times New Roman" w:hAnsi="Times New Roman" w:eastAsia="Times New Roman" w:cs="Times New Roman"/>
          <w:sz w:val="24"/>
          <w:szCs w:val="24"/>
        </w:rPr>
      </w:r>
      <w:r>
        <w:rPr>
          <w:rFonts w:ascii="Times New Roman" w:hAnsi="Times New Roman" w:eastAsia="Times New Roman" w:cs="Times New Roman"/>
          <w:color w:val="000000"/>
          <w:sz w:val="24"/>
          <w:szCs w:val="24"/>
          <w:highlight w:val="none"/>
        </w:rPr>
      </w:r>
    </w:p>
    <w:p w14:paraId="318BDB8A">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Russia</w:t>
      </w:r>
      <w:r/>
    </w:p>
    <w:p w14:paraId="0E82CABE">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Russia emerges as one of the principal beneficiaries of the conflict, albeit through means that are characteristically indirect. Rather than engaging militarily, </w:t>
      </w:r>
      <w:r>
        <w:rPr>
          <w:rFonts w:ascii="Times New Roman" w:hAnsi="Times New Roman" w:eastAsia="Times New Roman" w:cs="Times New Roman"/>
          <w:color w:val="000000"/>
          <w:sz w:val="24"/>
        </w:rPr>
        <w:t xml:space="preserve">Moscow pursued a strategy of intelligence sharing with Iran, providing satellite imagery of American warship and aircraft positions, and offering specific tactical advice on drone operations, consolidating a strategic partnership while simultaneously obser</w:t>
      </w:r>
      <w:r>
        <w:rPr>
          <w:rFonts w:ascii="Times New Roman" w:hAnsi="Times New Roman" w:eastAsia="Times New Roman" w:cs="Times New Roman"/>
          <w:color w:val="000000"/>
          <w:sz w:val="24"/>
        </w:rPr>
        <w:t xml:space="preserve">ving, in real combat conditions, how Western military systems perform under fire</w:t>
      </w:r>
      <w:r>
        <w:rPr>
          <w:rFonts w:ascii="Times New Roman" w:hAnsi="Times New Roman" w:eastAsia="Times New Roman" w:cs="Times New Roman"/>
          <w:color w:val="000000"/>
          <w:sz w:val="24"/>
        </w:rPr>
      </w:r>
      <w:r>
        <w:t xml:space="preserve">.</w:t>
      </w:r>
      <w:r/>
    </w:p>
    <w:p w14:paraId="7745278F">
      <w:pPr>
        <w:pBdr>
          <w:top w:val="none" w:color="000000" w:sz="4" w:space="0"/>
          <w:left w:val="none" w:color="000000" w:sz="4" w:space="0"/>
          <w:bottom w:val="none" w:color="000000" w:sz="4" w:space="0"/>
          <w:right w:val="none" w:color="000000" w:sz="4" w:space="0"/>
        </w:pBdr>
        <w:spacing/>
        <w:ind w:right="0" w:firstLine="0" w:left="0"/>
        <w:jc w:val="both"/>
        <w:rPr/>
      </w:pPr>
      <w:r/>
      <w:r>
        <w:rPr>
          <w:rFonts w:ascii="Times New Roman" w:hAnsi="Times New Roman" w:eastAsia="Times New Roman" w:cs="Times New Roman"/>
          <w:color w:val="000000"/>
          <w:sz w:val="24"/>
        </w:rPr>
        <w:t xml:space="preserve">The economic dimension is equally significant. As the </w:t>
      </w:r>
      <w:r>
        <w:rPr>
          <w:rFonts w:ascii="Times New Roman" w:hAnsi="Times New Roman" w:eastAsia="Times New Roman" w:cs="Times New Roman"/>
          <w:i/>
          <w:color w:val="000000"/>
          <w:sz w:val="24"/>
        </w:rPr>
        <w:t xml:space="preserve">Financial Times</w:t>
      </w:r>
      <w:r>
        <w:rPr>
          <w:rFonts w:ascii="Times New Roman" w:hAnsi="Times New Roman" w:eastAsia="Times New Roman" w:cs="Times New Roman"/>
          <w:color w:val="000000"/>
          <w:sz w:val="24"/>
        </w:rPr>
        <w:t xml:space="preserve"> noted in its </w:t>
      </w:r>
      <w:hyperlink r:id="rId9" w:tooltip="https://www.ft.com/content/0fabaafb-3668-4f97-8418-bc11c06ccbff?syn-25a6b1a6=1" w:history="1">
        <w:r>
          <w:rPr>
            <w:rStyle w:val="924"/>
            <w:rFonts w:ascii="Times New Roman" w:hAnsi="Times New Roman" w:eastAsia="Times New Roman" w:cs="Times New Roman"/>
            <w:sz w:val="24"/>
          </w:rPr>
          <w:t xml:space="preserve">March 18 editorial</w:t>
        </w:r>
      </w:hyperlink>
      <w:r>
        <w:rPr>
          <w:rFonts w:ascii="Times New Roman" w:hAnsi="Times New Roman" w:eastAsia="Times New Roman" w:cs="Times New Roman"/>
          <w:color w:val="000000"/>
          <w:sz w:val="24"/>
        </w:rPr>
        <w:t xml:space="preserve">, the conflict has generated a substantial financial dividend for Moscow, with Russia's additional revenues from rising oil prices on world markets projected to reach between $3.3 and $4.9 billion by the end of March alone;</w:t>
      </w:r>
      <w:r>
        <w:rPr>
          <w:rFonts w:ascii="Times New Roman" w:hAnsi="Times New Roman" w:eastAsia="Times New Roman" w:cs="Times New Roman"/>
          <w:color w:val="000000"/>
          <w:sz w:val="24"/>
        </w:rPr>
        <w:t xml:space="preserve"> a direct consequence of a global supply disruption that the United States itself helped trigger. The Trump administration, in seeking to stabilize energy markets, inadvertently handed its principal strategic adversary a considerable fiscal lifeline, one t</w:t>
      </w:r>
      <w:r>
        <w:rPr>
          <w:rFonts w:ascii="Times New Roman" w:hAnsi="Times New Roman" w:eastAsia="Times New Roman" w:cs="Times New Roman"/>
          <w:color w:val="000000"/>
          <w:sz w:val="24"/>
        </w:rPr>
        <w:t xml:space="preserve">hat directly strengthens Russia's capacity to sustain its war effort in Ukraine.</w:t>
      </w:r>
      <w:r/>
      <w:r/>
    </w:p>
    <w:p w14:paraId="1F1DE67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The conflict, in this sense, has functioned for Moscow as both an intelligence dividend and an economic subsidy, costly to others, essentially free to itself.</w:t>
      </w:r>
      <w:r>
        <w:rPr>
          <w:rFonts w:ascii="Times New Roman" w:hAnsi="Times New Roman" w:eastAsia="Times New Roman" w:cs="Times New Roman"/>
          <w:sz w:val="24"/>
        </w:rPr>
      </w:r>
      <w:r>
        <w:rPr>
          <w:rFonts w:ascii="Times New Roman" w:hAnsi="Times New Roman" w:eastAsia="Times New Roman" w:cs="Times New Roman"/>
          <w:color w:val="000000"/>
          <w:sz w:val="24"/>
          <w:szCs w:val="24"/>
          <w:highlight w:val="none"/>
        </w:rPr>
      </w:r>
    </w:p>
    <w:p w14:paraId="0A33FD91">
      <w:pPr>
        <w:pBdr>
          <w:top w:val="none" w:color="000000" w:sz="4" w:space="0"/>
          <w:left w:val="none" w:color="000000" w:sz="4" w:space="0"/>
          <w:bottom w:val="none" w:color="000000" w:sz="4" w:space="0"/>
          <w:right w:val="none" w:color="000000" w:sz="4" w:space="0"/>
        </w:pBdr>
        <w:spacing/>
        <w:ind w:right="0" w:firstLine="0" w:left="0"/>
        <w:jc w:val="both"/>
        <w:rPr>
          <w:b/>
          <w:bCs/>
        </w:rPr>
      </w:pPr>
      <w:r>
        <w:rPr>
          <w:rFonts w:ascii="Times New Roman" w:hAnsi="Times New Roman" w:eastAsia="Times New Roman" w:cs="Times New Roman"/>
          <w:b/>
          <w:bCs/>
          <w:color w:val="000000"/>
          <w:sz w:val="24"/>
          <w:highlight w:val="none"/>
        </w:rPr>
        <w:t xml:space="preserve">China</w:t>
      </w:r>
      <w:r>
        <w:rPr>
          <w:b/>
          <w:bCs/>
        </w:rPr>
      </w:r>
      <w:r>
        <w:rPr>
          <w:b/>
          <w:bCs/>
        </w:rPr>
      </w:r>
    </w:p>
    <w:p w14:paraId="2524A8F5">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highlight w:val="none"/>
        </w:rPr>
        <w:t xml:space="preserve">China's position in this conflict is one of structural ambivalence, simultaneously absorbing significant economic damage while accruing considerable geopolitical capital.</w:t>
      </w:r>
      <w:r/>
    </w:p>
    <w:p w14:paraId="23DB0419">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highlight w:val="none"/>
        </w:rPr>
        <w:t xml:space="preserve">A</w:t>
      </w:r>
      <w:r>
        <w:rPr>
          <w:rFonts w:ascii="Times New Roman" w:hAnsi="Times New Roman" w:eastAsia="Times New Roman" w:cs="Times New Roman"/>
          <w:color w:val="000000"/>
          <w:sz w:val="24"/>
          <w:highlight w:val="none"/>
        </w:rPr>
        <w:t xml:space="preserve">s the world's largest importer of Iranian oil, Beijing was immediately and severely exposed to the consequences of the war. Before the conflict, China received 5.35 million barrels of oil per day via the Strait of Hormuz; that figure dropped to roughly 1.2</w:t>
      </w:r>
      <w:r>
        <w:rPr>
          <w:rFonts w:ascii="Times New Roman" w:hAnsi="Times New Roman" w:eastAsia="Times New Roman" w:cs="Times New Roman"/>
          <w:color w:val="000000"/>
          <w:sz w:val="24"/>
          <w:highlight w:val="none"/>
        </w:rPr>
        <w:t xml:space="preserve">2</w:t>
      </w:r>
      <w:r>
        <w:rPr>
          <w:rFonts w:ascii="Times New Roman" w:hAnsi="Times New Roman" w:eastAsia="Times New Roman" w:cs="Times New Roman"/>
          <w:color w:val="000000"/>
          <w:sz w:val="24"/>
          <w:highlight w:val="none"/>
        </w:rPr>
        <w:t xml:space="preserve"> million once the war began. Foreign Policy The disruption constitutes, by any measure, a major economic shock, compounded by rising global prices and the sudden inaccessibility of discounted Iranian crude that Beijing had relied upon under the terms of i</w:t>
      </w:r>
      <w:r>
        <w:rPr>
          <w:rFonts w:ascii="Times New Roman" w:hAnsi="Times New Roman" w:eastAsia="Times New Roman" w:cs="Times New Roman"/>
          <w:color w:val="000000"/>
          <w:sz w:val="24"/>
          <w:highlight w:val="none"/>
        </w:rPr>
        <w:t xml:space="preserve">ts 2021 comprehensive strategic partnership with Tehran.</w:t>
      </w:r>
      <w:r/>
    </w:p>
    <w:p w14:paraId="55E7B24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t xml:space="preserve">G</w:t>
      </w:r>
      <w:r>
        <w:rPr>
          <w:rFonts w:ascii="Times New Roman" w:hAnsi="Times New Roman" w:eastAsia="Times New Roman" w:cs="Times New Roman"/>
          <w:color w:val="000000"/>
          <w:sz w:val="24"/>
          <w:highlight w:val="none"/>
        </w:rPr>
        <w:t xml:space="preserve">eopolitically, however, the calculus is considerably more favorable. The continued erosion of international law and norms surrounding sovereignty and the use of force could lower the political costs of coercive diplomacy in other theatres, including Taiwa</w:t>
      </w:r>
      <w:r>
        <w:rPr>
          <w:rFonts w:ascii="Times New Roman" w:hAnsi="Times New Roman" w:eastAsia="Times New Roman" w:cs="Times New Roman"/>
          <w:color w:val="000000"/>
          <w:sz w:val="24"/>
          <w:highlight w:val="none"/>
        </w:rPr>
        <w:t xml:space="preserve">n</w:t>
      </w:r>
      <w:r>
        <w:rPr>
          <w:rFonts w:ascii="Times New Roman" w:hAnsi="Times New Roman" w:eastAsia="Times New Roman" w:cs="Times New Roman"/>
          <w:color w:val="000000"/>
          <w:sz w:val="24"/>
          <w:highlight w:val="none"/>
        </w:rPr>
        <w:t xml:space="preserve">. If the conflict extends into a prolonged war, the sustained deployment of major US military assets in the Middle East could divert Washington's attention, pushing China to consolidate its position in the Asian theatre. Middle East Council on Global Affai</w:t>
      </w:r>
      <w:r>
        <w:rPr>
          <w:rFonts w:ascii="Times New Roman" w:hAnsi="Times New Roman" w:eastAsia="Times New Roman" w:cs="Times New Roman"/>
          <w:color w:val="000000"/>
          <w:sz w:val="24"/>
          <w:highlight w:val="none"/>
        </w:rPr>
        <w:t xml:space="preserve">r</w:t>
      </w:r>
      <w:r>
        <w:rPr>
          <w:rFonts w:ascii="Times New Roman" w:hAnsi="Times New Roman" w:eastAsia="Times New Roman" w:cs="Times New Roman"/>
          <w:color w:val="000000"/>
          <w:sz w:val="24"/>
          <w:highlight w:val="none"/>
        </w:rPr>
        <w:t xml:space="preserve">s The Trump administration's conduct: its unilateral military campaign against Iran, and its seizure of Venezuelan President Maduro; has, whether intentionally or not, furnished Beijing with a permissive strategic environment. With the US military deplet</w:t>
      </w:r>
      <w:r>
        <w:rPr>
          <w:rFonts w:ascii="Times New Roman" w:hAnsi="Times New Roman" w:eastAsia="Times New Roman" w:cs="Times New Roman"/>
          <w:color w:val="000000"/>
          <w:sz w:val="24"/>
          <w:highlight w:val="none"/>
        </w:rPr>
        <w:t xml:space="preserve">ed and distracted by a conflict on the other side of the globe, observers have warned that Xi Jinping may never have a better opportunity to move on Taiwan.</w:t>
      </w: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p>
    <w:p w14:paraId="1BB005BE">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Israel </w:t>
      </w:r>
      <w:r/>
    </w:p>
    <w:p w14:paraId="1B484D71">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For Benjamin Netanyahu, the war represents the culmination of a decades-long strategic campaign. Since the assassination of Prime Minister Yitzhak Rabin in 1995 (which brought Netanyahu to power for the first time and marked a decisive shift in Israeli fo</w:t>
      </w:r>
      <w:r>
        <w:rPr>
          <w:rFonts w:ascii="Times New Roman" w:hAnsi="Times New Roman" w:eastAsia="Times New Roman" w:cs="Times New Roman"/>
          <w:color w:val="000000"/>
          <w:sz w:val="24"/>
        </w:rPr>
        <w:t xml:space="preserve">reign policy priorities) successive Israeli governments have sought to place Iran's military and nuclear infrastructure at the centre of American foreign policy, framing it as an existential threat requiring direct US involvement. Where diplomacy, sanctio</w:t>
      </w:r>
      <w:r>
        <w:rPr>
          <w:rFonts w:ascii="Times New Roman" w:hAnsi="Times New Roman" w:eastAsia="Times New Roman" w:cs="Times New Roman"/>
          <w:color w:val="000000"/>
          <w:sz w:val="24"/>
        </w:rPr>
        <w:t xml:space="preserve">ns, and covert operations had repeatedly fallen short of that threshold, the Trump administration's willingness to engage militarily marks an unprecedented breakthrough.</w:t>
      </w:r>
      <w:r/>
    </w:p>
    <w:p w14:paraId="3F78357F">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The achievement is as much political as it is military. Netanyahu succeeded where many had deemed it impossible: translating a long-standing Israeli strategic objective into American action, at a moment when Washington's appetite for Middle Eastern entangl</w:t>
      </w:r>
      <w:r>
        <w:rPr>
          <w:rFonts w:ascii="Times New Roman" w:hAnsi="Times New Roman" w:eastAsia="Times New Roman" w:cs="Times New Roman"/>
          <w:color w:val="000000"/>
          <w:sz w:val="24"/>
        </w:rPr>
        <w:t xml:space="preserve">ement had, in theory, never been lower</w:t>
      </w:r>
      <w:r>
        <w:rPr>
          <w:rStyle w:val="920"/>
          <w:rFonts w:ascii="Times New Roman" w:hAnsi="Times New Roman" w:eastAsia="Times New Roman" w:cs="Times New Roman"/>
          <w:color w:val="000000"/>
          <w:sz w:val="24"/>
        </w:rPr>
        <w:footnoteReference w:id="2"/>
      </w:r>
      <w:r>
        <w:rPr>
          <w:rFonts w:ascii="Times New Roman" w:hAnsi="Times New Roman" w:eastAsia="Times New Roman" w:cs="Times New Roman"/>
          <w:color w:val="000000"/>
          <w:sz w:val="24"/>
        </w:rPr>
        <w:t xml:space="preserve">. Whether the military outcomes ultimately justify the regional costs remains an open question, but the diplomatic victory, for Israel, is already secured.</w:t>
      </w:r>
      <w:r/>
    </w:p>
    <w:p w14:paraId="2C26A150">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The United States</w:t>
      </w:r>
      <w:r/>
    </w:p>
    <w:p w14:paraId="0B77E2C3">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If the war produced a clear strategic winner in Israel and an ambiguous one in Russia, it produced something closer to diplomatic isolation for the United States. Washington launched Operation Epic Fury without prior consultation with its closest European </w:t>
      </w:r>
      <w:r>
        <w:rPr>
          <w:rFonts w:ascii="Times New Roman" w:hAnsi="Times New Roman" w:eastAsia="Times New Roman" w:cs="Times New Roman"/>
          <w:color w:val="000000"/>
          <w:sz w:val="24"/>
        </w:rPr>
        <w:t xml:space="preserve">allies and then expected those same allies to provide bases, political backing, and military support.</w:t>
      </w:r>
      <w:r/>
    </w:p>
    <w:p w14:paraId="07790540">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The European response drew a firm line between defensive and offensive participation. </w:t>
      </w:r>
      <w:r>
        <w:rPr>
          <w:rFonts w:ascii="Times New Roman" w:hAnsi="Times New Roman" w:eastAsia="Times New Roman" w:cs="Times New Roman"/>
          <w:color w:val="000000"/>
          <w:sz w:val="24"/>
        </w:rPr>
      </w:r>
      <w:hyperlink r:id="rId10" w:tooltip="https://www.nytimes.com/2026/03/15/world/europe/europe-iran-military.html" w:history="1">
        <w:r>
          <w:rPr>
            <w:rStyle w:val="924"/>
            <w:rFonts w:ascii="Times New Roman" w:hAnsi="Times New Roman" w:eastAsia="Times New Roman" w:cs="Times New Roman"/>
            <w:sz w:val="24"/>
          </w:rPr>
          <w:t xml:space="preserve">As Lara Jakes and Catherine Porter reported in the New York Times</w:t>
        </w:r>
      </w:hyperlink>
      <w:r>
        <w:rPr>
          <w:rFonts w:ascii="Times New Roman" w:hAnsi="Times New Roman" w:eastAsia="Times New Roman" w:cs="Times New Roman"/>
          <w:color w:val="000000"/>
          <w:sz w:val="24"/>
        </w:rPr>
        <w:t xml:space="preserve">, Europe mounted a rare show of defensive force. One that simultaneously exposed the limits of its military capacity, diverting already stretched resources from other theatres of concern.</w:t>
      </w:r>
      <w:r>
        <w:rPr>
          <w:rFonts w:ascii="Times New Roman" w:hAnsi="Times New Roman" w:eastAsia="Times New Roman" w:cs="Times New Roman"/>
          <w:color w:val="000000"/>
          <w:sz w:val="24"/>
        </w:rPr>
        <w:t xml:space="preserve"> German Foreign Minister Wadephu</w:t>
      </w:r>
      <w:r>
        <w:rPr>
          <w:rFonts w:ascii="Times New Roman" w:hAnsi="Times New Roman" w:eastAsia="Times New Roman" w:cs="Times New Roman"/>
          <w:color w:val="000000"/>
          <w:sz w:val="24"/>
        </w:rPr>
        <w:t xml:space="preserve">l stated explicitly that Berlin had no intention of joining military operations, demanding clarity from Washington and Tel Aviv on their objectives before any discussion of a broader regional security architecture could begin.</w:t>
      </w:r>
      <w:r>
        <w:rPr>
          <w:rStyle w:val="920"/>
        </w:rPr>
        <w:footnoteReference w:id="3"/>
      </w:r>
      <w:r/>
    </w:p>
    <w:p w14:paraId="4762DE96">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When Trump subsequently called on NATO allies to join a military coalition to reopen the Strait of Hormuz, the request was met with near-universal refusal. Trump rebuked his allies publicly, calling their decision a "very foolish mistake" before declarin</w:t>
      </w:r>
      <w:r>
        <w:rPr>
          <w:rFonts w:ascii="Times New Roman" w:hAnsi="Times New Roman" w:eastAsia="Times New Roman" w:cs="Times New Roman"/>
          <w:color w:val="000000"/>
          <w:sz w:val="24"/>
        </w:rPr>
        <w:t xml:space="preserve">g that the United States did not need them anyway. It was a remarkable statement from the leader of an alliance built on collective defense, and a measure of just how completely the war had severed Washington from the partners it had spent decades cultivat</w:t>
      </w:r>
      <w:r>
        <w:rPr>
          <w:rFonts w:ascii="Times New Roman" w:hAnsi="Times New Roman" w:eastAsia="Times New Roman" w:cs="Times New Roman"/>
          <w:color w:val="000000"/>
          <w:sz w:val="24"/>
        </w:rPr>
        <w:t xml:space="preserve">ing.</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r/>
    </w:p>
    <w:p w14:paraId="651054D2">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Lebanon</w:t>
      </w:r>
      <w:r/>
    </w:p>
    <w:p w14:paraId="3C61FDEA">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Lebanon stands as perhaps the most acute victim of this conflict — not as a direct belligerent, but as a state whose chronic internal fragmentation renders it structurally incapable of insulating itself from regional upheaval. As </w:t>
      </w:r>
      <w:r>
        <w:rPr>
          <w:rFonts w:ascii="Times New Roman" w:hAnsi="Times New Roman" w:eastAsia="Times New Roman" w:cs="Times New Roman"/>
          <w:i/>
          <w:color w:val="000000"/>
          <w:sz w:val="24"/>
        </w:rPr>
        <w:t xml:space="preserve">L'Orient-Le Jour</w:t>
      </w:r>
      <w:r>
        <w:rPr>
          <w:rFonts w:ascii="Times New Roman" w:hAnsi="Times New Roman" w:eastAsia="Times New Roman" w:cs="Times New Roman"/>
          <w:color w:val="000000"/>
          <w:sz w:val="24"/>
        </w:rPr>
        <w:t xml:space="preserve"> reported, Israeli strikes on Lebanese territory had, by late March 2026, caused over 1,000 deaths and nearly 2,900 wounded, with more than one million people displaced — figures that place this escalation among the most devastating episodes in Lebanon's r</w:t>
      </w:r>
      <w:r>
        <w:rPr>
          <w:rFonts w:ascii="Times New Roman" w:hAnsi="Times New Roman" w:eastAsia="Times New Roman" w:cs="Times New Roman"/>
          <w:color w:val="000000"/>
          <w:sz w:val="24"/>
        </w:rPr>
        <w:t xml:space="preserve">ecent history.</w:t>
      </w:r>
      <w:r/>
    </w:p>
    <w:p w14:paraId="628F8377">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The country's long-standing confessional divisions, never fully resolved since the civil war, have once again functioned as a transmission mechanism: absorbing the shockwaves of a conflict it did not choose, and translating them into an existential domesti</w:t>
      </w:r>
      <w:r>
        <w:rPr>
          <w:rFonts w:ascii="Times New Roman" w:hAnsi="Times New Roman" w:eastAsia="Times New Roman" w:cs="Times New Roman"/>
          <w:color w:val="000000"/>
          <w:sz w:val="24"/>
        </w:rPr>
        <w:t xml:space="preserve">c crisis. Hezbollah's decision to enter the war on the 2</w:t>
      </w:r>
      <w:r>
        <w:rPr>
          <w:rFonts w:ascii="Times New Roman" w:hAnsi="Times New Roman" w:eastAsia="Times New Roman" w:cs="Times New Roman"/>
          <w:color w:val="000000"/>
          <w:sz w:val="24"/>
          <w:vertAlign w:val="superscript"/>
        </w:rPr>
        <w:t xml:space="preserve">nd</w:t>
      </w:r>
      <w:r>
        <w:rPr>
          <w:rFonts w:ascii="Times New Roman" w:hAnsi="Times New Roman" w:eastAsia="Times New Roman" w:cs="Times New Roman"/>
          <w:color w:val="000000"/>
          <w:sz w:val="24"/>
        </w:rPr>
        <w:t xml:space="preserve"> of March — in response to the killing of Supreme Leader Khamenei — sharpened this dynamic considerably, reopening the fundamental question of whether the Lebanese state retains any meaningful sovereignty ov</w:t>
      </w:r>
      <w:r>
        <w:rPr>
          <w:rFonts w:ascii="Times New Roman" w:hAnsi="Times New Roman" w:eastAsia="Times New Roman" w:cs="Times New Roman"/>
          <w:color w:val="000000"/>
          <w:sz w:val="24"/>
        </w:rPr>
        <w:t xml:space="preserve">er its own territory and security decisions.</w:t>
      </w:r>
      <w:r/>
    </w:p>
    <w:p w14:paraId="67E19572">
      <w:pPr>
        <w:pBdr>
          <w:top w:val="none" w:color="000000" w:sz="4" w:space="0"/>
          <w:left w:val="none" w:color="000000" w:sz="4" w:space="0"/>
          <w:bottom w:val="none" w:color="000000" w:sz="4" w:space="0"/>
          <w:right w:val="none" w:color="000000" w:sz="4" w:space="0"/>
        </w:pBdr>
        <w:spacing/>
        <w:ind w:right="0" w:firstLine="0" w:left="0"/>
        <w:jc w:val="both"/>
        <w:rPr>
          <w:highlight w:val="none"/>
        </w:rPr>
      </w:pPr>
      <w:r>
        <w:rPr>
          <w:rFonts w:ascii="Times New Roman" w:hAnsi="Times New Roman" w:eastAsia="Times New Roman" w:cs="Times New Roman"/>
          <w:color w:val="000000"/>
          <w:sz w:val="24"/>
        </w:rPr>
        <w:t xml:space="preserve">The result is a country caught, as it has been so many times before, between the competing imperatives of regional powers. Unable to remain neutral, and too fragile to survive being drawn in.</w:t>
      </w:r>
      <w:r>
        <w:rPr>
          <w:rStyle w:val="920"/>
        </w:rPr>
        <w:footnoteReference w:id="4"/>
      </w:r>
      <w:r>
        <w:rPr>
          <w:rFonts w:ascii="Times New Roman" w:hAnsi="Times New Roman" w:eastAsia="Times New Roman" w:cs="Times New Roman"/>
          <w:sz w:val="24"/>
        </w:rPr>
      </w:r>
      <w:r>
        <w:rPr>
          <w:highlight w:val="none"/>
        </w:rPr>
      </w:r>
    </w:p>
    <w:p w14:paraId="0C20C22A">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Gulf Countries</w:t>
      </w:r>
      <w:r/>
    </w:p>
    <w:p w14:paraId="38C85195">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From the outset, the Gulf states wanted no part of this war. As </w:t>
      </w:r>
      <w:hyperlink r:id="rId11" w:tooltip="https://carnegieendowment.org/emissary/2026/03/gulf-states-iran-war-security" w:history="1">
        <w:r>
          <w:rPr>
            <w:rStyle w:val="924"/>
            <w:rFonts w:ascii="Times New Roman" w:hAnsi="Times New Roman" w:eastAsia="Times New Roman" w:cs="Times New Roman"/>
            <w:sz w:val="24"/>
          </w:rPr>
          <w:t xml:space="preserve">the Carnegie Endowment for International Peace reported</w:t>
        </w:r>
      </w:hyperlink>
      <w:r>
        <w:rPr>
          <w:rFonts w:ascii="Times New Roman" w:hAnsi="Times New Roman" w:eastAsia="Times New Roman" w:cs="Times New Roman"/>
          <w:color w:val="000000"/>
          <w:sz w:val="24"/>
        </w:rPr>
        <w:t xml:space="preserve">, Gulf state diplomats repeatedly tried to distance their countries from any push for military action, using their unique access to the T</w:t>
      </w:r>
      <w:r>
        <w:rPr>
          <w:rFonts w:ascii="Times New Roman" w:hAnsi="Times New Roman" w:eastAsia="Times New Roman" w:cs="Times New Roman"/>
          <w:color w:val="000000"/>
          <w:sz w:val="24"/>
        </w:rPr>
        <w:t xml:space="preserve">rump administration to steer Washington toward a new nuclear deal rather than open conflict — all to no avail.</w:t>
      </w:r>
      <w:r/>
    </w:p>
    <w:p w14:paraId="2269182D">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The consequences have been severe.</w:t>
      </w:r>
      <w:r>
        <w:rPr>
          <w:rFonts w:ascii="Times New Roman" w:hAnsi="Times New Roman" w:eastAsia="Times New Roman" w:cs="Times New Roman"/>
          <w:color w:val="000000"/>
          <w:sz w:val="24"/>
        </w:rPr>
        <w:t xml:space="preserve"> Iran rapidly moved beyond striking US and Israeli targets and chose instead to externalize the pain of the conflict by hitting civilian infrastructure across all six GCC states. Oil platforms, refineries, airports, seaports, hotels, and commerc</w:t>
      </w:r>
      <w:r>
        <w:rPr>
          <w:rFonts w:ascii="Times New Roman" w:hAnsi="Times New Roman" w:eastAsia="Times New Roman" w:cs="Times New Roman"/>
          <w:color w:val="000000"/>
          <w:sz w:val="24"/>
        </w:rPr>
        <w:t xml:space="preserve">ial vessels. The Gulf states, which had spent decades and trillions of dollars cultivating a reputation as oases of stability in an otherwise volatile region, found that reputation shattered within days. As </w:t>
      </w:r>
      <w:hyperlink r:id="rId12" w:tooltip="https://www.atlanticcouncil.org/dispatches/the-gulf-that-emerges-from-the-iran-war-will-be-very-different/" w:history="1">
        <w:r>
          <w:rPr>
            <w:rStyle w:val="924"/>
            <w:rFonts w:ascii="Times New Roman" w:hAnsi="Times New Roman" w:eastAsia="Times New Roman" w:cs="Times New Roman"/>
            <w:sz w:val="24"/>
          </w:rPr>
          <w:t xml:space="preserve">Allison Minor argued in the </w:t>
        </w:r>
        <w:r>
          <w:rPr>
            <w:rStyle w:val="924"/>
            <w:rFonts w:ascii="Times New Roman" w:hAnsi="Times New Roman" w:eastAsia="Times New Roman" w:cs="Times New Roman"/>
            <w:i/>
            <w:sz w:val="24"/>
          </w:rPr>
          <w:t xml:space="preserve">Atlantic Council</w:t>
        </w:r>
      </w:hyperlink>
      <w:r>
        <w:rPr>
          <w:rFonts w:ascii="Times New Roman" w:hAnsi="Times New Roman" w:eastAsia="Times New Roman" w:cs="Times New Roman"/>
          <w:color w:val="000000"/>
          <w:sz w:val="24"/>
        </w:rPr>
        <w:t xml:space="preserve">, the Iranian assault on the UAE alone — over ten times more intense than the 2022 Houthi attacks — forced a wholesale reassessment of the Gulf's security model.</w:t>
      </w:r>
      <w:r/>
    </w:p>
    <w:p w14:paraId="03A3E332">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Dubai stands as the most emblematic victim of this recalibration. For years, the city marketed itself as the capital of global capitalism, a tax haven, a diplomatic crossroads, a place where pragmatic leadership insulated commerce from regional brutality.</w:t>
      </w:r>
      <w:r>
        <w:rPr>
          <w:rFonts w:ascii="Times New Roman" w:hAnsi="Times New Roman" w:eastAsia="Times New Roman" w:cs="Times New Roman"/>
          <w:color w:val="000000"/>
          <w:sz w:val="24"/>
        </w:rPr>
        <w:t xml:space="preserve"> As </w:t>
      </w:r>
      <w:r>
        <w:rPr>
          <w:rFonts w:ascii="Times New Roman" w:hAnsi="Times New Roman" w:eastAsia="Times New Roman" w:cs="Times New Roman"/>
          <w:i/>
          <w:color w:val="000000"/>
          <w:sz w:val="24"/>
        </w:rPr>
        <w:t xml:space="preserve">Time</w:t>
      </w:r>
      <w:r>
        <w:rPr>
          <w:rFonts w:ascii="Times New Roman" w:hAnsi="Times New Roman" w:eastAsia="Times New Roman" w:cs="Times New Roman"/>
          <w:color w:val="000000"/>
          <w:sz w:val="24"/>
        </w:rPr>
        <w:t xml:space="preserve"> noted, that carefully constructed image is precisely what Iran targeted: attacks on the Palm Jumeirah, Dubai International Airport, and the Jebel Ali port struck not just infrastructure but the symbolic architecture of Dubai's brand. The region risks some</w:t>
      </w:r>
      <w:r>
        <w:rPr>
          <w:rFonts w:ascii="Times New Roman" w:hAnsi="Times New Roman" w:eastAsia="Times New Roman" w:cs="Times New Roman"/>
          <w:color w:val="000000"/>
          <w:sz w:val="24"/>
        </w:rPr>
        <w:t xml:space="preserve"> of the most severe economic harm since the 1990–1991 Gulf War</w:t>
      </w:r>
      <w:r>
        <w:rPr>
          <w:rFonts w:ascii="Times New Roman" w:hAnsi="Times New Roman" w:eastAsia="Times New Roman" w:cs="Times New Roman"/>
          <w:color w:val="000000"/>
          <w:sz w:val="24"/>
        </w:rPr>
        <w:t xml:space="preserve">,</w:t>
      </w:r>
      <w:r>
        <w:rPr>
          <w:rStyle w:val="920"/>
          <w:rFonts w:ascii="Times New Roman" w:hAnsi="Times New Roman" w:eastAsia="Times New Roman" w:cs="Times New Roman"/>
          <w:color w:val="000000"/>
          <w:sz w:val="24"/>
        </w:rPr>
        <w:footnoteReference w:id="5"/>
      </w:r>
      <w:r>
        <w:rPr>
          <w:rFonts w:ascii="Times New Roman" w:hAnsi="Times New Roman" w:eastAsia="Times New Roman" w:cs="Times New Roman"/>
          <w:color w:val="000000"/>
          <w:sz w:val="24"/>
        </w:rPr>
        <w:t xml:space="preserve"> with the Gulf losing hundreds of millions of dollars per day in economic activity across aviation, tourism, energy, and logistics.</w:t>
      </w:r>
      <w:r>
        <w:rPr>
          <w:rFonts w:ascii="Times New Roman" w:hAnsi="Times New Roman" w:eastAsia="Times New Roman" w:cs="Times New Roman"/>
          <w:sz w:val="24"/>
        </w:rPr>
      </w:r>
      <w:r>
        <w:rPr>
          <w:rFonts w:ascii="Times New Roman" w:hAnsi="Times New Roman" w:eastAsia="Times New Roman" w:cs="Times New Roman"/>
          <w:color w:val="000000"/>
          <w:sz w:val="24"/>
          <w:szCs w:val="24"/>
          <w:highlight w:val="none"/>
        </w:rPr>
      </w:r>
    </w:p>
    <w:p w14:paraId="36773A00">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Europe and Great Britain</w:t>
      </w:r>
      <w:r/>
    </w:p>
    <w:p w14:paraId="405B5887">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Europe enters this conflict as a secondary victim. Not a belligerent, but a continent absorbing damage it neither caused nor consented to. The energy dimension has been particularly brutal. </w:t>
      </w:r>
      <w:r>
        <w:rPr>
          <w:rFonts w:ascii="Times New Roman" w:hAnsi="Times New Roman" w:eastAsia="Times New Roman" w:cs="Times New Roman"/>
          <w:color w:val="000000"/>
          <w:sz w:val="24"/>
        </w:rPr>
        <w:t xml:space="preserve">Europe woke to another energy shock as military strikes on infrastructure in Qatar and Iran sent oil and gas prices soaring to levels unseen since Russia's invasion of Ukraine in 2022 with Brent crude surging over $114 per barrel and European </w:t>
      </w:r>
      <w:r>
        <w:rPr>
          <w:rFonts w:ascii="Times New Roman" w:hAnsi="Times New Roman" w:eastAsia="Times New Roman" w:cs="Times New Roman"/>
          <w:color w:val="000000"/>
          <w:sz w:val="24"/>
        </w:rPr>
        <w:t xml:space="preserve">natural gas prices jumping by 60% since the start of the conflict.</w:t>
      </w:r>
      <w:r>
        <w:rPr>
          <w:rStyle w:val="920"/>
        </w:rPr>
        <w:footnoteReference w:id="6"/>
      </w:r>
      <w:r/>
    </w:p>
    <w:p w14:paraId="281E3BBC">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The structural irony is considerable. Having spent the years since 2022 painfully weaning itself off Russian energy, Europe now finds that its new dependencies — primarily Qatari LNG</w:t>
      </w:r>
      <w:r>
        <w:rPr>
          <w:rStyle w:val="920"/>
          <w:rFonts w:ascii="Times New Roman" w:hAnsi="Times New Roman" w:eastAsia="Times New Roman" w:cs="Times New Roman"/>
          <w:color w:val="000000"/>
          <w:sz w:val="24"/>
        </w:rPr>
        <w:footnoteReference w:id="7"/>
      </w:r>
      <w:r>
        <w:rPr>
          <w:rFonts w:ascii="Times New Roman" w:hAnsi="Times New Roman" w:eastAsia="Times New Roman" w:cs="Times New Roman"/>
          <w:color w:val="000000"/>
          <w:sz w:val="24"/>
        </w:rPr>
        <w:t xml:space="preserve"> and Gulf supply routes transiting the Strait of Hormuz — have proven no l</w:t>
      </w:r>
      <w:r>
        <w:rPr>
          <w:rFonts w:ascii="Times New Roman" w:hAnsi="Times New Roman" w:eastAsia="Times New Roman" w:cs="Times New Roman"/>
          <w:color w:val="000000"/>
          <w:sz w:val="24"/>
        </w:rPr>
        <w:t xml:space="preserve">ess fragile. As Lisa Basquel argued</w:t>
      </w:r>
      <w:r>
        <w:rPr>
          <w:rFonts w:ascii="Times New Roman" w:hAnsi="Times New Roman" w:eastAsia="Times New Roman" w:cs="Times New Roman"/>
          <w:color w:val="000000"/>
          <w:sz w:val="24"/>
        </w:rPr>
        <w:t xml:space="preserve">,</w:t>
      </w:r>
      <w:r>
        <w:rPr>
          <w:rStyle w:val="920"/>
          <w:rFonts w:ascii="Times New Roman" w:hAnsi="Times New Roman" w:eastAsia="Times New Roman" w:cs="Times New Roman"/>
          <w:color w:val="000000"/>
          <w:sz w:val="24"/>
        </w:rPr>
        <w:footnoteReference w:id="8"/>
      </w:r>
      <w:r>
        <w:rPr>
          <w:rFonts w:ascii="Times New Roman" w:hAnsi="Times New Roman" w:eastAsia="Times New Roman" w:cs="Times New Roman"/>
          <w:color w:val="000000"/>
          <w:sz w:val="24"/>
        </w:rPr>
        <w:t xml:space="preserve"> an obvious release valve exists — reimporting Russian pipeline gas — but it remains politically toxic: reopening that route would hand Moscow a significant revenue stream at precisely the moment when the war in Ukraine remains unresolved.</w:t>
      </w:r>
      <w:r/>
    </w:p>
    <w:p w14:paraId="0A2C0AC4">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Yet that is effectively what the Trump administration has done, albeit indirectly.</w:t>
      </w:r>
      <w:r>
        <w:rPr>
          <w:rFonts w:ascii="Times New Roman" w:hAnsi="Times New Roman" w:eastAsia="Times New Roman" w:cs="Times New Roman"/>
          <w:color w:val="000000"/>
          <w:sz w:val="24"/>
        </w:rPr>
        <w:t xml:space="preserve"> Washington temporarily lifted sanctions on Russian oil at sea in order to calm global energy markets. A decision met with dismay across Europe, where officials feared it would directly strengthen the Russian war machine. The move encapsulates Europe's p</w:t>
      </w:r>
      <w:r>
        <w:rPr>
          <w:rFonts w:ascii="Times New Roman" w:hAnsi="Times New Roman" w:eastAsia="Times New Roman" w:cs="Times New Roman"/>
          <w:color w:val="000000"/>
          <w:sz w:val="24"/>
        </w:rPr>
        <w:t xml:space="preserve">redicament with surgical precision: a war it opposed, fought without its consent, is now forcing it to choose between energy security and the strategic commitments it has made to Ukraine. In both cases, the cost is paid in Europe, and the beneficiary is M</w:t>
      </w:r>
      <w:r>
        <w:rPr>
          <w:rFonts w:ascii="Times New Roman" w:hAnsi="Times New Roman" w:eastAsia="Times New Roman" w:cs="Times New Roman"/>
          <w:color w:val="000000"/>
          <w:sz w:val="24"/>
        </w:rPr>
        <w:t xml:space="preserve">oscow.</w:t>
      </w:r>
      <w:r/>
    </w:p>
    <w:p w14:paraId="35AA572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p>
    <w:p w14:paraId="7E21C7A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highlight w:val="none"/>
        </w:rPr>
      </w:r>
      <w:r>
        <w:rPr>
          <w:highlight w:val="none"/>
        </w:rPr>
      </w:r>
      <w:r>
        <w:rPr>
          <w:rFonts w:ascii="Times New Roman" w:hAnsi="Times New Roman" w:eastAsia="Times New Roman" w:cs="Times New Roman"/>
          <w:sz w:val="24"/>
          <w:szCs w:val="24"/>
        </w:rPr>
      </w:r>
    </w:p>
    <w:p w14:paraId="2C428B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r>
      <w:r/>
    </w:p>
    <w:p w14:paraId="60078C5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p>
    <w:p w14:paraId="0D47A189">
      <w:pPr>
        <w:pBdr/>
        <w:spacing/>
        <w:ind/>
        <w:rPr>
          <w:highlight w:val="none"/>
        </w:rPr>
      </w:pPr>
      <w:r>
        <w:rPr>
          <w:highlight w:val="none"/>
        </w:rPr>
      </w:r>
      <w:r>
        <w:rPr>
          <w:highlight w:val="none"/>
        </w:rPr>
      </w:r>
      <w:r>
        <w:rPr>
          <w:highlight w:val="none"/>
        </w:rPr>
      </w:r>
    </w:p>
    <w:p w14:paraId="68A470BF">
      <w:pPr>
        <w:pBdr/>
        <w:spacing/>
        <w:ind/>
        <w:rPr>
          <w:highlight w:val="none"/>
        </w:rPr>
      </w:pPr>
      <w:r>
        <w:rPr>
          <w:highlight w:val="none"/>
        </w:rPr>
      </w:r>
      <w:r>
        <w:rPr>
          <w:highlight w:val="none"/>
        </w:rPr>
      </w:r>
      <w:r>
        <w:rPr>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 w:id="2">
    <w:p w14:paraId="4286B2CD">
      <w:pPr>
        <w:pStyle w:val="918"/>
        <w:pBdr/>
        <w:spacing/>
        <w:ind/>
        <w:rPr/>
      </w:pPr>
      <w:r>
        <w:rPr>
          <w:rStyle w:val="920"/>
        </w:rPr>
        <w:footnoteRef/>
      </w:r>
      <w:r>
        <w:t xml:space="preserve"> </w:t>
      </w:r>
      <w:r>
        <w:rPr>
          <w:rFonts w:ascii="Times New Roman" w:hAnsi="Times New Roman" w:eastAsia="Times New Roman" w:cs="Times New Roman"/>
          <w:color w:val="000000"/>
          <w:sz w:val="24"/>
        </w:rPr>
        <w:t xml:space="preserve">The White House, </w:t>
      </w:r>
      <w:r>
        <w:rPr>
          <w:rFonts w:ascii="Times New Roman" w:hAnsi="Times New Roman" w:eastAsia="Times New Roman" w:cs="Times New Roman"/>
          <w:i/>
          <w:color w:val="000000"/>
          <w:sz w:val="24"/>
        </w:rPr>
        <w:t xml:space="preserve">National Security Strategy</w:t>
      </w:r>
      <w:r>
        <w:rPr>
          <w:rFonts w:ascii="Times New Roman" w:hAnsi="Times New Roman" w:eastAsia="Times New Roman" w:cs="Times New Roman"/>
          <w:color w:val="000000"/>
          <w:sz w:val="24"/>
        </w:rPr>
        <w:t xml:space="preserve">, 2025. Cited in: Al Habtoor Research Centre, "The 2025 NSS: Disengagement or Entrenchment?", December 2025. </w:t>
      </w:r>
      <w:hyperlink r:id="rId1" w:tooltip="https://www.habtoorresearch.com/programmes/2025-nss-disengagement-entrenchment/" w:history="1">
        <w:r>
          <w:rPr>
            <w:rStyle w:val="924"/>
            <w:rFonts w:ascii="Times New Roman" w:hAnsi="Times New Roman" w:eastAsia="Times New Roman" w:cs="Times New Roman"/>
            <w:color w:val="0000ee"/>
            <w:sz w:val="24"/>
            <w:u w:val="single"/>
          </w:rPr>
          <w:t xml:space="preserve">https://www.habtoorresearch.com/programmes/2025-nss-disengagement-entrenchment/</w:t>
        </w:r>
      </w:hyperlink>
      <w:r/>
      <w:r/>
    </w:p>
  </w:footnote>
  <w:footnote w:id="3">
    <w:p w14:paraId="18E76DB7">
      <w:pPr>
        <w:pStyle w:val="918"/>
        <w:pBdr/>
        <w:spacing/>
        <w:ind/>
        <w:rPr/>
      </w:pPr>
      <w:r>
        <w:rPr>
          <w:rStyle w:val="920"/>
        </w:rPr>
        <w:footnoteRef/>
      </w:r>
      <w:r>
        <w:t xml:space="preserve"> </w:t>
      </w:r>
      <w:r/>
      <w:r/>
      <w:hyperlink r:id="rId2" w:tooltip="https://www.aljazeera.com/news/2026/3/16/eu-leaders-reject-military-involvement-in-strait-of-hormuz-amid-war-on-iran" w:history="1">
        <w:r>
          <w:rPr>
            <w:rStyle w:val="924"/>
            <w:rFonts w:ascii="Times New Roman" w:hAnsi="Times New Roman" w:eastAsia="Times New Roman" w:cs="Times New Roman"/>
            <w:color w:val="0000ee"/>
            <w:sz w:val="24"/>
            <w:u w:val="single"/>
          </w:rPr>
          <w:t xml:space="preserve">Al Jazeera</w:t>
        </w:r>
      </w:hyperlink>
      <w:r/>
      <w:r/>
      <w:r/>
    </w:p>
  </w:footnote>
  <w:footnote w:id="4">
    <w:p w14:paraId="4DB90E91">
      <w:pPr>
        <w:pStyle w:val="918"/>
        <w:pBdr/>
        <w:spacing/>
        <w:ind/>
        <w:rPr/>
      </w:pPr>
      <w:r>
        <w:rPr>
          <w:rStyle w:val="920"/>
        </w:rPr>
        <w:footnoteRef/>
      </w:r>
      <w:r>
        <w:t xml:space="preserve"> </w:t>
      </w:r>
      <w:hyperlink r:id="rId3" w:tooltip="https://www.lorientlejour.com/article/1499688/nuit-violente-a-beyrouth-ou-des-frappes-israeliennes-sur-des-quartiers-centraux-font-au-moins-six-morts-direct.html" w:history="1">
        <w:r>
          <w:rPr>
            <w:rStyle w:val="924"/>
            <w:rFonts w:ascii="Times New Roman" w:hAnsi="Times New Roman" w:eastAsia="Times New Roman" w:cs="Times New Roman"/>
            <w:sz w:val="24"/>
          </w:rPr>
          <w:t xml:space="preserve">Citation: L'Orient-Le Jour, live coverage, 23–24 March 2026.</w:t>
        </w:r>
      </w:hyperlink>
      <w:r/>
      <w:r/>
    </w:p>
  </w:footnote>
  <w:footnote w:id="5">
    <w:p w14:paraId="5977E874">
      <w:pPr>
        <w:pStyle w:val="918"/>
        <w:pBdr/>
        <w:spacing/>
        <w:ind/>
        <w:rPr/>
      </w:pPr>
      <w:r>
        <w:rPr>
          <w:rStyle w:val="920"/>
        </w:rPr>
        <w:footnoteRef/>
      </w:r>
      <w:r>
        <w:t xml:space="preserve"> </w:t>
      </w:r>
      <w:hyperlink r:id="rId4" w:tooltip="https://www.aljazeera.com/economy/2026/3/17/gulf-economies-suffer-brunt-of-iran-war-as-recession-risk-looms" w:history="1">
        <w:r>
          <w:rPr>
            <w:rStyle w:val="924"/>
            <w:rFonts w:ascii="Times New Roman" w:hAnsi="Times New Roman" w:eastAsia="Times New Roman" w:cs="Times New Roman"/>
            <w:color w:val="0000ee"/>
            <w:sz w:val="24"/>
            <w:u w:val="single"/>
          </w:rPr>
          <w:t xml:space="preserve">Gulf economies suffer brunt of Iran war as recession risk looms | US-Israel war on Iran News | Al Jazeera</w:t>
        </w:r>
      </w:hyperlink>
      <w:r/>
      <w:r/>
      <w:r/>
    </w:p>
  </w:footnote>
  <w:footnote w:id="6">
    <w:p w14:paraId="721983CF">
      <w:pPr>
        <w:pStyle w:val="918"/>
        <w:pBdr/>
        <w:spacing/>
        <w:ind/>
        <w:rPr/>
      </w:pPr>
      <w:r>
        <w:rPr>
          <w:rStyle w:val="920"/>
        </w:rPr>
        <w:footnoteRef/>
      </w:r>
      <w:r>
        <w:t xml:space="preserve"> </w:t>
      </w:r>
      <w:r/>
      <w:r>
        <w:rPr>
          <w:rFonts w:ascii="Times New Roman" w:hAnsi="Times New Roman" w:eastAsia="Times New Roman" w:cs="Times New Roman"/>
          <w:color w:val="000000"/>
          <w:sz w:val="24"/>
        </w:rPr>
        <w:t xml:space="preserve">"As war in Iran roils energy markets, Europe pays price of 'dependency'," </w:t>
      </w:r>
      <w:r>
        <w:rPr>
          <w:rFonts w:ascii="Times New Roman" w:hAnsi="Times New Roman" w:eastAsia="Times New Roman" w:cs="Times New Roman"/>
          <w:i/>
          <w:color w:val="000000"/>
          <w:sz w:val="24"/>
        </w:rPr>
        <w:t xml:space="preserve">South China Morning Post</w:t>
      </w:r>
      <w:r>
        <w:rPr>
          <w:rFonts w:ascii="Times New Roman" w:hAnsi="Times New Roman" w:eastAsia="Times New Roman" w:cs="Times New Roman"/>
          <w:color w:val="000000"/>
          <w:sz w:val="24"/>
        </w:rPr>
        <w:t xml:space="preserve">, 19 March 2026. </w:t>
      </w:r>
      <w:hyperlink r:id="rId5" w:tooltip="https://www.scmp.com/economy/global-economy/article/3347195/war-iran-roils-energy-markets-europe-pays-price-dependency" w:history="1">
        <w:r>
          <w:rPr>
            <w:rStyle w:val="924"/>
            <w:rFonts w:ascii="Times New Roman" w:hAnsi="Times New Roman" w:eastAsia="Times New Roman" w:cs="Times New Roman"/>
            <w:color w:val="0000ee"/>
            <w:sz w:val="24"/>
            <w:u w:val="single"/>
          </w:rPr>
          <w:t xml:space="preserve">https://www.scmp.com/economy/global-economy/article/3347195/war-iran-roils-energy-markets-europe-pays-price-dependency</w:t>
        </w:r>
      </w:hyperlink>
      <w:r/>
      <w:r/>
    </w:p>
  </w:footnote>
  <w:footnote w:id="7">
    <w:p w14:paraId="3A0FF498">
      <w:pPr>
        <w:pStyle w:val="918"/>
        <w:pBdr/>
        <w:spacing/>
        <w:ind/>
        <w:rPr>
          <w:rFonts w:ascii="Times New Roman" w:hAnsi="Times New Roman" w:cs="Times New Roman"/>
          <w:sz w:val="24"/>
          <w:szCs w:val="24"/>
        </w:rPr>
      </w:pPr>
      <w:r>
        <w:rPr>
          <w:rStyle w:val="920"/>
        </w:rPr>
        <w:footnoteRef/>
      </w:r>
      <w:r>
        <w:t xml:space="preserve"> </w:t>
      </w:r>
      <w:r>
        <w:rPr>
          <w:rFonts w:ascii="Times New Roman" w:hAnsi="Times New Roman" w:eastAsia="Times New Roman" w:cs="Times New Roman"/>
          <w:sz w:val="24"/>
          <w:szCs w:val="24"/>
        </w:rPr>
        <w:t xml:space="preserve">Liquefied Natural Gas</w:t>
      </w:r>
      <w:r>
        <w:rPr>
          <w:rFonts w:ascii="Times New Roman" w:hAnsi="Times New Roman" w:eastAsia="Times New Roman" w:cs="Times New Roman"/>
          <w:sz w:val="24"/>
          <w:szCs w:val="24"/>
        </w:rPr>
      </w:r>
      <w:r>
        <w:rPr>
          <w:rFonts w:ascii="Times New Roman" w:hAnsi="Times New Roman" w:cs="Times New Roman"/>
          <w:sz w:val="24"/>
          <w:szCs w:val="24"/>
        </w:rPr>
      </w:r>
    </w:p>
  </w:footnote>
  <w:footnote w:id="8">
    <w:p w14:paraId="7E4EFCCA">
      <w:pPr>
        <w:pStyle w:val="918"/>
        <w:pBdr/>
        <w:spacing/>
        <w:ind/>
        <w:rPr>
          <w:rFonts w:ascii="Times New Roman" w:hAnsi="Times New Roman" w:eastAsia="Times New Roman" w:cs="Times New Roman"/>
          <w:highlight w:val="none"/>
        </w:rPr>
      </w:pPr>
      <w:r>
        <w:rPr>
          <w:rStyle w:val="920"/>
        </w:rPr>
        <w:footnoteRef/>
      </w:r>
      <w:r>
        <w:t xml:space="preserve"> </w:t>
      </w:r>
      <w:r>
        <w:rPr>
          <w:rFonts w:ascii="Times New Roman" w:hAnsi="Times New Roman" w:eastAsia="Times New Roman" w:cs="Times New Roman"/>
        </w:rPr>
      </w:r>
      <w:hyperlink r:id="rId6" w:tooltip="https://www.atlanticcouncil.org/dispatches/how-the-iran-war-could-trigger-a-european-energy-crisis/" w:history="1">
        <w:r>
          <w:rPr>
            <w:rStyle w:val="924"/>
            <w:rFonts w:ascii="Times New Roman" w:hAnsi="Times New Roman" w:eastAsia="Times New Roman" w:cs="Times New Roman"/>
            <w:sz w:val="24"/>
            <w:szCs w:val="24"/>
          </w:rPr>
          <w:t xml:space="preserve">https://www.atlanticcouncil.org/dispatches/how-the-iran-war-could-trigger-a-european-energy-crisis/</w:t>
        </w:r>
        <w:r>
          <w:rPr>
            <w:rStyle w:val="924"/>
            <w:rFonts w:ascii="Times New Roman" w:hAnsi="Times New Roman" w:eastAsia="Times New Roman" w:cs="Times New Roman"/>
            <w:sz w:val="24"/>
            <w:szCs w:val="24"/>
          </w:rPr>
        </w:r>
        <w:r>
          <w:rPr>
            <w:rStyle w:val="924"/>
            <w:rFonts w:ascii="Times New Roman" w:hAnsi="Times New Roman" w:cs="Times New Roman"/>
            <w:sz w:val="24"/>
            <w:szCs w:val="24"/>
          </w:rPr>
        </w:r>
      </w:hyperlink>
      <w:r>
        <w:rPr>
          <w:rFonts w:ascii="Times New Roman" w:hAnsi="Times New Roman" w:eastAsia="Times New Roman" w:cs="Times New Roman"/>
          <w:sz w:val="24"/>
          <w:szCs w:val="24"/>
          <w:highlight w:val="none"/>
        </w:rPr>
      </w:r>
      <w:r>
        <w:rPr>
          <w:rFonts w:ascii="Times New Roman" w:hAnsi="Times New Roman" w:eastAsia="Times New Roman" w:cs="Times New Roman"/>
          <w:highlight w:val="none"/>
        </w:rP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53">
    <w:name w:val="Table Grid"/>
    <w:basedOn w:val="93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Table Grid Light"/>
    <w:basedOn w:val="93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Plain Table 1"/>
    <w:basedOn w:val="93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Plain Table 2"/>
    <w:basedOn w:val="93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Plain Table 3"/>
    <w:basedOn w:val="93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Plain Table 4"/>
    <w:basedOn w:val="93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Plain Table 5"/>
    <w:basedOn w:val="93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1 Light"/>
    <w:basedOn w:val="93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1 Light - Accent 1"/>
    <w:basedOn w:val="93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1 Light - Accent 2"/>
    <w:basedOn w:val="93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1 Light - Accent 3"/>
    <w:basedOn w:val="93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1 Light - Accent 4"/>
    <w:basedOn w:val="93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1 Light - Accent 5"/>
    <w:basedOn w:val="93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1 Light - Accent 6"/>
    <w:basedOn w:val="93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2"/>
    <w:basedOn w:val="93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2 - Accent 1"/>
    <w:basedOn w:val="93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2 - Accent 2"/>
    <w:basedOn w:val="93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2 - Accent 3"/>
    <w:basedOn w:val="93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2 - Accent 4"/>
    <w:basedOn w:val="93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2 - Accent 5"/>
    <w:basedOn w:val="93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2 - Accent 6"/>
    <w:basedOn w:val="93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3"/>
    <w:basedOn w:val="93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3 - Accent 1"/>
    <w:basedOn w:val="93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3 - Accent 2"/>
    <w:basedOn w:val="93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3 - Accent 3"/>
    <w:basedOn w:val="93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3 - Accent 4"/>
    <w:basedOn w:val="93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3 - Accent 5"/>
    <w:basedOn w:val="93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3 - Accent 6"/>
    <w:basedOn w:val="93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4"/>
    <w:basedOn w:val="93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4 - Accent 1"/>
    <w:basedOn w:val="93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4 - Accent 2"/>
    <w:basedOn w:val="93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4 - Accent 3"/>
    <w:basedOn w:val="93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4 - Accent 4"/>
    <w:basedOn w:val="93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4 - Accent 5"/>
    <w:basedOn w:val="93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4 - Accent 6"/>
    <w:basedOn w:val="93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5 Dark"/>
    <w:basedOn w:val="9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5 Dark- Accent 1"/>
    <w:basedOn w:val="9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5 Dark - Accent 2"/>
    <w:basedOn w:val="9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5 Dark - Accent 3"/>
    <w:basedOn w:val="9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5 Dark- Accent 4"/>
    <w:basedOn w:val="9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5 Dark - Accent 5"/>
    <w:basedOn w:val="9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5 Dark - Accent 6"/>
    <w:basedOn w:val="9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6 Colorful"/>
    <w:basedOn w:val="93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96">
    <w:name w:val="Grid Table 6 Colorful - Accent 1"/>
    <w:basedOn w:val="93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97">
    <w:name w:val="Grid Table 6 Colorful - Accent 2"/>
    <w:basedOn w:val="93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98">
    <w:name w:val="Grid Table 6 Colorful - Accent 3"/>
    <w:basedOn w:val="93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99">
    <w:name w:val="Grid Table 6 Colorful - Accent 4"/>
    <w:basedOn w:val="93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00">
    <w:name w:val="Grid Table 6 Colorful - Accent 5"/>
    <w:basedOn w:val="93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1">
    <w:name w:val="Grid Table 6 Colorful - Accent 6"/>
    <w:basedOn w:val="93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2">
    <w:name w:val="Grid Table 7 Colorful"/>
    <w:basedOn w:val="93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7 Colorful - Accent 1"/>
    <w:basedOn w:val="93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7 Colorful - Accent 2"/>
    <w:basedOn w:val="93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7 Colorful - Accent 3"/>
    <w:basedOn w:val="93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7 Colorful - Accent 4"/>
    <w:basedOn w:val="93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7 Colorful - Accent 5"/>
    <w:basedOn w:val="93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7 Colorful - Accent 6"/>
    <w:basedOn w:val="93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1 Light"/>
    <w:basedOn w:val="9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1 Light - Accent 1"/>
    <w:basedOn w:val="9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1 Light - Accent 2"/>
    <w:basedOn w:val="9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1 Light - Accent 3"/>
    <w:basedOn w:val="9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1 Light - Accent 4"/>
    <w:basedOn w:val="9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1 Light - Accent 5"/>
    <w:basedOn w:val="9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1 Light - Accent 6"/>
    <w:basedOn w:val="9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2"/>
    <w:basedOn w:val="93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2 - Accent 1"/>
    <w:basedOn w:val="93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2 - Accent 2"/>
    <w:basedOn w:val="93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2 - Accent 3"/>
    <w:basedOn w:val="93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2 - Accent 4"/>
    <w:basedOn w:val="93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2 - Accent 5"/>
    <w:basedOn w:val="93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2 - Accent 6"/>
    <w:basedOn w:val="93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3"/>
    <w:basedOn w:val="93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3 - Accent 1"/>
    <w:basedOn w:val="93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3 - Accent 2"/>
    <w:basedOn w:val="93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3 - Accent 3"/>
    <w:basedOn w:val="93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3 - Accent 4"/>
    <w:basedOn w:val="93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3 - Accent 5"/>
    <w:basedOn w:val="93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3 - Accent 6"/>
    <w:basedOn w:val="93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4"/>
    <w:basedOn w:val="93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4 - Accent 1"/>
    <w:basedOn w:val="93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4 - Accent 2"/>
    <w:basedOn w:val="93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4 - Accent 3"/>
    <w:basedOn w:val="93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4 - Accent 4"/>
    <w:basedOn w:val="93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4 - Accent 5"/>
    <w:basedOn w:val="93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4 - Accent 6"/>
    <w:basedOn w:val="93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5 Dark"/>
    <w:basedOn w:val="93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8">
    <w:name w:val="List Table 5 Dark - Accent 1"/>
    <w:basedOn w:val="93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9">
    <w:name w:val="List Table 5 Dark - Accent 2"/>
    <w:basedOn w:val="93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0">
    <w:name w:val="List Table 5 Dark - Accent 3"/>
    <w:basedOn w:val="93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1">
    <w:name w:val="List Table 5 Dark - Accent 4"/>
    <w:basedOn w:val="93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2">
    <w:name w:val="List Table 5 Dark - Accent 5"/>
    <w:basedOn w:val="93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3">
    <w:name w:val="List Table 5 Dark - Accent 6"/>
    <w:basedOn w:val="93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4">
    <w:name w:val="List Table 6 Colorful"/>
    <w:basedOn w:val="93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6 Colorful - Accent 1"/>
    <w:basedOn w:val="93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6 Colorful - Accent 2"/>
    <w:basedOn w:val="93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6 Colorful - Accent 3"/>
    <w:basedOn w:val="93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6 Colorful - Accent 4"/>
    <w:basedOn w:val="93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6 Colorful - Accent 5"/>
    <w:basedOn w:val="93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6 Colorful - Accent 6"/>
    <w:basedOn w:val="93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7 Colorful"/>
    <w:basedOn w:val="93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52">
    <w:name w:val="List Table 7 Colorful - Accent 1"/>
    <w:basedOn w:val="93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53">
    <w:name w:val="List Table 7 Colorful - Accent 2"/>
    <w:basedOn w:val="93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54">
    <w:name w:val="List Table 7 Colorful - Accent 3"/>
    <w:basedOn w:val="93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55">
    <w:name w:val="List Table 7 Colorful - Accent 4"/>
    <w:basedOn w:val="93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56">
    <w:name w:val="List Table 7 Colorful - Accent 5"/>
    <w:basedOn w:val="93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57">
    <w:name w:val="List Table 7 Colorful - Accent 6"/>
    <w:basedOn w:val="93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58">
    <w:name w:val="Lined - Accent"/>
    <w:basedOn w:val="9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ned - Accent 1"/>
    <w:basedOn w:val="9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ned - Accent 2"/>
    <w:basedOn w:val="9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ned - Accent 3"/>
    <w:basedOn w:val="9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ned - Accent 4"/>
    <w:basedOn w:val="9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ned - Accent 5"/>
    <w:basedOn w:val="9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ned - Accent 6"/>
    <w:basedOn w:val="9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amp; Lined - Accent"/>
    <w:basedOn w:val="93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amp; Lined - Accent 1"/>
    <w:basedOn w:val="93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amp; Lined - Accent 2"/>
    <w:basedOn w:val="93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amp; Lined - Accent 3"/>
    <w:basedOn w:val="93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amp; Lined - Accent 4"/>
    <w:basedOn w:val="93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amp; Lined - Accent 5"/>
    <w:basedOn w:val="93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Bordered &amp; Lined - Accent 6"/>
    <w:basedOn w:val="93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Bordered"/>
    <w:basedOn w:val="93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Bordered - Accent 1"/>
    <w:basedOn w:val="93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Bordered - Accent 2"/>
    <w:basedOn w:val="93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Bordered - Accent 3"/>
    <w:basedOn w:val="93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Bordered - Accent 4"/>
    <w:basedOn w:val="93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Bordered - Accent 5"/>
    <w:basedOn w:val="93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Bordered - Accent 6"/>
    <w:basedOn w:val="93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79">
    <w:name w:val="Heading 1"/>
    <w:basedOn w:val="938"/>
    <w:next w:val="938"/>
    <w:link w:val="88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80">
    <w:name w:val="Heading 2"/>
    <w:basedOn w:val="938"/>
    <w:next w:val="938"/>
    <w:link w:val="89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81">
    <w:name w:val="Heading 3"/>
    <w:basedOn w:val="938"/>
    <w:next w:val="938"/>
    <w:link w:val="89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82">
    <w:name w:val="Heading 4"/>
    <w:basedOn w:val="938"/>
    <w:next w:val="938"/>
    <w:link w:val="89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83">
    <w:name w:val="Heading 5"/>
    <w:basedOn w:val="938"/>
    <w:next w:val="938"/>
    <w:link w:val="89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84">
    <w:name w:val="Heading 6"/>
    <w:basedOn w:val="938"/>
    <w:next w:val="938"/>
    <w:link w:val="89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85">
    <w:name w:val="Heading 7"/>
    <w:basedOn w:val="938"/>
    <w:next w:val="938"/>
    <w:link w:val="89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86">
    <w:name w:val="Heading 8"/>
    <w:basedOn w:val="938"/>
    <w:next w:val="938"/>
    <w:link w:val="89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87">
    <w:name w:val="Heading 9"/>
    <w:basedOn w:val="938"/>
    <w:next w:val="938"/>
    <w:link w:val="89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88" w:default="1">
    <w:name w:val="Default Paragraph Font"/>
    <w:uiPriority w:val="1"/>
    <w:semiHidden/>
    <w:unhideWhenUsed/>
    <w:pPr>
      <w:pBdr/>
      <w:spacing/>
      <w:ind/>
    </w:pPr>
  </w:style>
  <w:style w:type="character" w:styleId="889">
    <w:name w:val="Heading 1 Char"/>
    <w:basedOn w:val="888"/>
    <w:link w:val="879"/>
    <w:uiPriority w:val="9"/>
    <w:pPr>
      <w:pBdr/>
      <w:spacing/>
      <w:ind/>
    </w:pPr>
    <w:rPr>
      <w:rFonts w:ascii="Arial" w:hAnsi="Arial" w:eastAsia="Arial" w:cs="Arial"/>
      <w:color w:val="0f4761" w:themeColor="accent1" w:themeShade="BF"/>
      <w:sz w:val="40"/>
      <w:szCs w:val="40"/>
    </w:rPr>
  </w:style>
  <w:style w:type="character" w:styleId="890">
    <w:name w:val="Heading 2 Char"/>
    <w:basedOn w:val="888"/>
    <w:link w:val="880"/>
    <w:uiPriority w:val="9"/>
    <w:pPr>
      <w:pBdr/>
      <w:spacing/>
      <w:ind/>
    </w:pPr>
    <w:rPr>
      <w:rFonts w:ascii="Arial" w:hAnsi="Arial" w:eastAsia="Arial" w:cs="Arial"/>
      <w:color w:val="0f4761" w:themeColor="accent1" w:themeShade="BF"/>
      <w:sz w:val="32"/>
      <w:szCs w:val="32"/>
    </w:rPr>
  </w:style>
  <w:style w:type="character" w:styleId="891">
    <w:name w:val="Heading 3 Char"/>
    <w:basedOn w:val="888"/>
    <w:link w:val="881"/>
    <w:uiPriority w:val="9"/>
    <w:pPr>
      <w:pBdr/>
      <w:spacing/>
      <w:ind/>
    </w:pPr>
    <w:rPr>
      <w:rFonts w:ascii="Arial" w:hAnsi="Arial" w:eastAsia="Arial" w:cs="Arial"/>
      <w:color w:val="0f4761" w:themeColor="accent1" w:themeShade="BF"/>
      <w:sz w:val="28"/>
      <w:szCs w:val="28"/>
    </w:rPr>
  </w:style>
  <w:style w:type="character" w:styleId="892">
    <w:name w:val="Heading 4 Char"/>
    <w:basedOn w:val="888"/>
    <w:link w:val="882"/>
    <w:uiPriority w:val="9"/>
    <w:pPr>
      <w:pBdr/>
      <w:spacing/>
      <w:ind/>
    </w:pPr>
    <w:rPr>
      <w:rFonts w:ascii="Arial" w:hAnsi="Arial" w:eastAsia="Arial" w:cs="Arial"/>
      <w:i/>
      <w:iCs/>
      <w:color w:val="0f4761" w:themeColor="accent1" w:themeShade="BF"/>
    </w:rPr>
  </w:style>
  <w:style w:type="character" w:styleId="893">
    <w:name w:val="Heading 5 Char"/>
    <w:basedOn w:val="888"/>
    <w:link w:val="883"/>
    <w:uiPriority w:val="9"/>
    <w:pPr>
      <w:pBdr/>
      <w:spacing/>
      <w:ind/>
    </w:pPr>
    <w:rPr>
      <w:rFonts w:ascii="Arial" w:hAnsi="Arial" w:eastAsia="Arial" w:cs="Arial"/>
      <w:color w:val="0f4761" w:themeColor="accent1" w:themeShade="BF"/>
    </w:rPr>
  </w:style>
  <w:style w:type="character" w:styleId="894">
    <w:name w:val="Heading 6 Char"/>
    <w:basedOn w:val="888"/>
    <w:link w:val="884"/>
    <w:uiPriority w:val="9"/>
    <w:pPr>
      <w:pBdr/>
      <w:spacing/>
      <w:ind/>
    </w:pPr>
    <w:rPr>
      <w:rFonts w:ascii="Arial" w:hAnsi="Arial" w:eastAsia="Arial" w:cs="Arial"/>
      <w:i/>
      <w:iCs/>
      <w:color w:val="595959" w:themeColor="text1" w:themeTint="A6"/>
    </w:rPr>
  </w:style>
  <w:style w:type="character" w:styleId="895">
    <w:name w:val="Heading 7 Char"/>
    <w:basedOn w:val="888"/>
    <w:link w:val="885"/>
    <w:uiPriority w:val="9"/>
    <w:pPr>
      <w:pBdr/>
      <w:spacing/>
      <w:ind/>
    </w:pPr>
    <w:rPr>
      <w:rFonts w:ascii="Arial" w:hAnsi="Arial" w:eastAsia="Arial" w:cs="Arial"/>
      <w:color w:val="595959" w:themeColor="text1" w:themeTint="A6"/>
    </w:rPr>
  </w:style>
  <w:style w:type="character" w:styleId="896">
    <w:name w:val="Heading 8 Char"/>
    <w:basedOn w:val="888"/>
    <w:link w:val="886"/>
    <w:uiPriority w:val="9"/>
    <w:pPr>
      <w:pBdr/>
      <w:spacing/>
      <w:ind/>
    </w:pPr>
    <w:rPr>
      <w:rFonts w:ascii="Arial" w:hAnsi="Arial" w:eastAsia="Arial" w:cs="Arial"/>
      <w:i/>
      <w:iCs/>
      <w:color w:val="272727" w:themeColor="text1" w:themeTint="D8"/>
    </w:rPr>
  </w:style>
  <w:style w:type="character" w:styleId="897">
    <w:name w:val="Heading 9 Char"/>
    <w:basedOn w:val="888"/>
    <w:link w:val="887"/>
    <w:uiPriority w:val="9"/>
    <w:pPr>
      <w:pBdr/>
      <w:spacing/>
      <w:ind/>
    </w:pPr>
    <w:rPr>
      <w:rFonts w:ascii="Arial" w:hAnsi="Arial" w:eastAsia="Arial" w:cs="Arial"/>
      <w:i/>
      <w:iCs/>
      <w:color w:val="272727" w:themeColor="text1" w:themeTint="D8"/>
    </w:rPr>
  </w:style>
  <w:style w:type="paragraph" w:styleId="898">
    <w:name w:val="Title"/>
    <w:basedOn w:val="938"/>
    <w:next w:val="938"/>
    <w:link w:val="899"/>
    <w:uiPriority w:val="10"/>
    <w:qFormat/>
    <w:pPr>
      <w:pBdr/>
      <w:spacing w:after="80" w:line="240" w:lineRule="auto"/>
      <w:ind/>
      <w:contextualSpacing w:val="true"/>
    </w:pPr>
    <w:rPr>
      <w:rFonts w:ascii="Arial" w:hAnsi="Arial" w:eastAsia="Arial" w:cs="Arial"/>
      <w:spacing w:val="-10"/>
      <w:sz w:val="56"/>
      <w:szCs w:val="56"/>
    </w:rPr>
  </w:style>
  <w:style w:type="character" w:styleId="899">
    <w:name w:val="Title Char"/>
    <w:basedOn w:val="888"/>
    <w:link w:val="898"/>
    <w:uiPriority w:val="10"/>
    <w:pPr>
      <w:pBdr/>
      <w:spacing/>
      <w:ind/>
    </w:pPr>
    <w:rPr>
      <w:rFonts w:ascii="Arial" w:hAnsi="Arial" w:eastAsia="Arial" w:cs="Arial"/>
      <w:spacing w:val="-10"/>
      <w:sz w:val="56"/>
      <w:szCs w:val="56"/>
    </w:rPr>
  </w:style>
  <w:style w:type="paragraph" w:styleId="900">
    <w:name w:val="Subtitle"/>
    <w:basedOn w:val="938"/>
    <w:next w:val="938"/>
    <w:link w:val="901"/>
    <w:uiPriority w:val="11"/>
    <w:qFormat/>
    <w:pPr>
      <w:numPr>
        <w:ilvl w:val="1"/>
      </w:numPr>
      <w:pBdr/>
      <w:spacing/>
      <w:ind/>
    </w:pPr>
    <w:rPr>
      <w:color w:val="595959" w:themeColor="text1" w:themeTint="A6"/>
      <w:spacing w:val="15"/>
      <w:sz w:val="28"/>
      <w:szCs w:val="28"/>
    </w:rPr>
  </w:style>
  <w:style w:type="character" w:styleId="901">
    <w:name w:val="Subtitle Char"/>
    <w:basedOn w:val="888"/>
    <w:link w:val="900"/>
    <w:uiPriority w:val="11"/>
    <w:pPr>
      <w:pBdr/>
      <w:spacing/>
      <w:ind/>
    </w:pPr>
    <w:rPr>
      <w:color w:val="595959" w:themeColor="text1" w:themeTint="A6"/>
      <w:spacing w:val="15"/>
      <w:sz w:val="28"/>
      <w:szCs w:val="28"/>
    </w:rPr>
  </w:style>
  <w:style w:type="paragraph" w:styleId="902">
    <w:name w:val="Quote"/>
    <w:basedOn w:val="938"/>
    <w:next w:val="938"/>
    <w:link w:val="903"/>
    <w:uiPriority w:val="29"/>
    <w:qFormat/>
    <w:pPr>
      <w:pBdr/>
      <w:spacing w:before="160"/>
      <w:ind/>
      <w:jc w:val="center"/>
    </w:pPr>
    <w:rPr>
      <w:i/>
      <w:iCs/>
      <w:color w:val="404040" w:themeColor="text1" w:themeTint="BF"/>
    </w:rPr>
  </w:style>
  <w:style w:type="character" w:styleId="903">
    <w:name w:val="Quote Char"/>
    <w:basedOn w:val="888"/>
    <w:link w:val="902"/>
    <w:uiPriority w:val="29"/>
    <w:pPr>
      <w:pBdr/>
      <w:spacing/>
      <w:ind/>
    </w:pPr>
    <w:rPr>
      <w:i/>
      <w:iCs/>
      <w:color w:val="404040" w:themeColor="text1" w:themeTint="BF"/>
    </w:rPr>
  </w:style>
  <w:style w:type="character" w:styleId="904">
    <w:name w:val="Intense Emphasis"/>
    <w:basedOn w:val="888"/>
    <w:uiPriority w:val="21"/>
    <w:qFormat/>
    <w:pPr>
      <w:pBdr/>
      <w:spacing/>
      <w:ind/>
    </w:pPr>
    <w:rPr>
      <w:i/>
      <w:iCs/>
      <w:color w:val="0f4761" w:themeColor="accent1" w:themeShade="BF"/>
    </w:rPr>
  </w:style>
  <w:style w:type="paragraph" w:styleId="905">
    <w:name w:val="Intense Quote"/>
    <w:basedOn w:val="938"/>
    <w:next w:val="938"/>
    <w:link w:val="90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06">
    <w:name w:val="Intense Quote Char"/>
    <w:basedOn w:val="888"/>
    <w:link w:val="905"/>
    <w:uiPriority w:val="30"/>
    <w:pPr>
      <w:pBdr/>
      <w:spacing/>
      <w:ind/>
    </w:pPr>
    <w:rPr>
      <w:i/>
      <w:iCs/>
      <w:color w:val="0f4761" w:themeColor="accent1" w:themeShade="BF"/>
    </w:rPr>
  </w:style>
  <w:style w:type="character" w:styleId="907">
    <w:name w:val="Intense Reference"/>
    <w:basedOn w:val="888"/>
    <w:uiPriority w:val="32"/>
    <w:qFormat/>
    <w:pPr>
      <w:pBdr/>
      <w:spacing/>
      <w:ind/>
    </w:pPr>
    <w:rPr>
      <w:b/>
      <w:bCs/>
      <w:smallCaps/>
      <w:color w:val="0f4761" w:themeColor="accent1" w:themeShade="BF"/>
      <w:spacing w:val="5"/>
    </w:rPr>
  </w:style>
  <w:style w:type="character" w:styleId="908">
    <w:name w:val="Subtle Emphasis"/>
    <w:basedOn w:val="888"/>
    <w:uiPriority w:val="19"/>
    <w:qFormat/>
    <w:pPr>
      <w:pBdr/>
      <w:spacing/>
      <w:ind/>
    </w:pPr>
    <w:rPr>
      <w:i/>
      <w:iCs/>
      <w:color w:val="404040" w:themeColor="text1" w:themeTint="BF"/>
    </w:rPr>
  </w:style>
  <w:style w:type="character" w:styleId="909">
    <w:name w:val="Emphasis"/>
    <w:basedOn w:val="888"/>
    <w:uiPriority w:val="20"/>
    <w:qFormat/>
    <w:pPr>
      <w:pBdr/>
      <w:spacing/>
      <w:ind/>
    </w:pPr>
    <w:rPr>
      <w:i/>
      <w:iCs/>
    </w:rPr>
  </w:style>
  <w:style w:type="character" w:styleId="910">
    <w:name w:val="Strong"/>
    <w:basedOn w:val="888"/>
    <w:uiPriority w:val="22"/>
    <w:qFormat/>
    <w:pPr>
      <w:pBdr/>
      <w:spacing/>
      <w:ind/>
    </w:pPr>
    <w:rPr>
      <w:b/>
      <w:bCs/>
    </w:rPr>
  </w:style>
  <w:style w:type="character" w:styleId="911">
    <w:name w:val="Subtle Reference"/>
    <w:basedOn w:val="888"/>
    <w:uiPriority w:val="31"/>
    <w:qFormat/>
    <w:pPr>
      <w:pBdr/>
      <w:spacing/>
      <w:ind/>
    </w:pPr>
    <w:rPr>
      <w:smallCaps/>
      <w:color w:val="5a5a5a" w:themeColor="text1" w:themeTint="A5"/>
    </w:rPr>
  </w:style>
  <w:style w:type="character" w:styleId="912">
    <w:name w:val="Book Title"/>
    <w:basedOn w:val="888"/>
    <w:uiPriority w:val="33"/>
    <w:qFormat/>
    <w:pPr>
      <w:pBdr/>
      <w:spacing/>
      <w:ind/>
    </w:pPr>
    <w:rPr>
      <w:b/>
      <w:bCs/>
      <w:i/>
      <w:iCs/>
      <w:spacing w:val="5"/>
    </w:rPr>
  </w:style>
  <w:style w:type="paragraph" w:styleId="913">
    <w:name w:val="Header"/>
    <w:basedOn w:val="938"/>
    <w:link w:val="914"/>
    <w:uiPriority w:val="99"/>
    <w:unhideWhenUsed/>
    <w:pPr>
      <w:pBdr/>
      <w:tabs>
        <w:tab w:val="center" w:leader="none" w:pos="4844"/>
        <w:tab w:val="right" w:leader="none" w:pos="9689"/>
      </w:tabs>
      <w:spacing w:after="0" w:line="240" w:lineRule="auto"/>
      <w:ind/>
    </w:pPr>
  </w:style>
  <w:style w:type="character" w:styleId="914">
    <w:name w:val="Header Char"/>
    <w:basedOn w:val="888"/>
    <w:link w:val="913"/>
    <w:uiPriority w:val="99"/>
    <w:pPr>
      <w:pBdr/>
      <w:spacing/>
      <w:ind/>
    </w:pPr>
  </w:style>
  <w:style w:type="paragraph" w:styleId="915">
    <w:name w:val="Footer"/>
    <w:basedOn w:val="938"/>
    <w:link w:val="916"/>
    <w:uiPriority w:val="99"/>
    <w:unhideWhenUsed/>
    <w:pPr>
      <w:pBdr/>
      <w:tabs>
        <w:tab w:val="center" w:leader="none" w:pos="4844"/>
        <w:tab w:val="right" w:leader="none" w:pos="9689"/>
      </w:tabs>
      <w:spacing w:after="0" w:line="240" w:lineRule="auto"/>
      <w:ind/>
    </w:pPr>
  </w:style>
  <w:style w:type="character" w:styleId="916">
    <w:name w:val="Footer Char"/>
    <w:basedOn w:val="888"/>
    <w:link w:val="915"/>
    <w:uiPriority w:val="99"/>
    <w:pPr>
      <w:pBdr/>
      <w:spacing/>
      <w:ind/>
    </w:pPr>
  </w:style>
  <w:style w:type="paragraph" w:styleId="917">
    <w:name w:val="Caption"/>
    <w:basedOn w:val="938"/>
    <w:next w:val="938"/>
    <w:uiPriority w:val="35"/>
    <w:unhideWhenUsed/>
    <w:qFormat/>
    <w:pPr>
      <w:pBdr/>
      <w:spacing w:after="200" w:line="240" w:lineRule="auto"/>
      <w:ind/>
    </w:pPr>
    <w:rPr>
      <w:i/>
      <w:iCs/>
      <w:color w:val="0e2841" w:themeColor="text2"/>
      <w:sz w:val="18"/>
      <w:szCs w:val="18"/>
    </w:rPr>
  </w:style>
  <w:style w:type="paragraph" w:styleId="918">
    <w:name w:val="footnote text"/>
    <w:basedOn w:val="938"/>
    <w:link w:val="919"/>
    <w:uiPriority w:val="99"/>
    <w:semiHidden/>
    <w:unhideWhenUsed/>
    <w:pPr>
      <w:pBdr/>
      <w:spacing w:after="0" w:line="240" w:lineRule="auto"/>
      <w:ind/>
    </w:pPr>
    <w:rPr>
      <w:sz w:val="20"/>
      <w:szCs w:val="20"/>
    </w:rPr>
  </w:style>
  <w:style w:type="character" w:styleId="919">
    <w:name w:val="Footnote Text Char"/>
    <w:basedOn w:val="888"/>
    <w:link w:val="918"/>
    <w:uiPriority w:val="99"/>
    <w:semiHidden/>
    <w:pPr>
      <w:pBdr/>
      <w:spacing/>
      <w:ind/>
    </w:pPr>
    <w:rPr>
      <w:sz w:val="20"/>
      <w:szCs w:val="20"/>
    </w:rPr>
  </w:style>
  <w:style w:type="character" w:styleId="920">
    <w:name w:val="footnote reference"/>
    <w:basedOn w:val="888"/>
    <w:uiPriority w:val="99"/>
    <w:semiHidden/>
    <w:unhideWhenUsed/>
    <w:pPr>
      <w:pBdr/>
      <w:spacing/>
      <w:ind/>
    </w:pPr>
    <w:rPr>
      <w:vertAlign w:val="superscript"/>
    </w:rPr>
  </w:style>
  <w:style w:type="paragraph" w:styleId="921">
    <w:name w:val="endnote text"/>
    <w:basedOn w:val="938"/>
    <w:link w:val="922"/>
    <w:uiPriority w:val="99"/>
    <w:semiHidden/>
    <w:unhideWhenUsed/>
    <w:pPr>
      <w:pBdr/>
      <w:spacing w:after="0" w:line="240" w:lineRule="auto"/>
      <w:ind/>
    </w:pPr>
    <w:rPr>
      <w:sz w:val="20"/>
      <w:szCs w:val="20"/>
    </w:rPr>
  </w:style>
  <w:style w:type="character" w:styleId="922">
    <w:name w:val="Endnote Text Char"/>
    <w:basedOn w:val="888"/>
    <w:link w:val="921"/>
    <w:uiPriority w:val="99"/>
    <w:semiHidden/>
    <w:pPr>
      <w:pBdr/>
      <w:spacing/>
      <w:ind/>
    </w:pPr>
    <w:rPr>
      <w:sz w:val="20"/>
      <w:szCs w:val="20"/>
    </w:rPr>
  </w:style>
  <w:style w:type="character" w:styleId="923">
    <w:name w:val="endnote reference"/>
    <w:basedOn w:val="888"/>
    <w:uiPriority w:val="99"/>
    <w:semiHidden/>
    <w:unhideWhenUsed/>
    <w:pPr>
      <w:pBdr/>
      <w:spacing/>
      <w:ind/>
    </w:pPr>
    <w:rPr>
      <w:vertAlign w:val="superscript"/>
    </w:rPr>
  </w:style>
  <w:style w:type="character" w:styleId="924">
    <w:name w:val="Hyperlink"/>
    <w:basedOn w:val="888"/>
    <w:uiPriority w:val="99"/>
    <w:unhideWhenUsed/>
    <w:pPr>
      <w:pBdr/>
      <w:spacing/>
      <w:ind/>
    </w:pPr>
    <w:rPr>
      <w:color w:val="0563c1" w:themeColor="hyperlink"/>
      <w:u w:val="single"/>
    </w:rPr>
  </w:style>
  <w:style w:type="character" w:styleId="925">
    <w:name w:val="FollowedHyperlink"/>
    <w:basedOn w:val="888"/>
    <w:uiPriority w:val="99"/>
    <w:semiHidden/>
    <w:unhideWhenUsed/>
    <w:pPr>
      <w:pBdr/>
      <w:spacing/>
      <w:ind/>
    </w:pPr>
    <w:rPr>
      <w:color w:val="954f72" w:themeColor="followedHyperlink"/>
      <w:u w:val="single"/>
    </w:rPr>
  </w:style>
  <w:style w:type="paragraph" w:styleId="926">
    <w:name w:val="toc 1"/>
    <w:basedOn w:val="938"/>
    <w:next w:val="938"/>
    <w:uiPriority w:val="39"/>
    <w:unhideWhenUsed/>
    <w:pPr>
      <w:pBdr/>
      <w:spacing w:after="100"/>
      <w:ind/>
    </w:pPr>
  </w:style>
  <w:style w:type="paragraph" w:styleId="927">
    <w:name w:val="toc 2"/>
    <w:basedOn w:val="938"/>
    <w:next w:val="938"/>
    <w:uiPriority w:val="39"/>
    <w:unhideWhenUsed/>
    <w:pPr>
      <w:pBdr/>
      <w:spacing w:after="100"/>
      <w:ind w:left="220"/>
    </w:pPr>
  </w:style>
  <w:style w:type="paragraph" w:styleId="928">
    <w:name w:val="toc 3"/>
    <w:basedOn w:val="938"/>
    <w:next w:val="938"/>
    <w:uiPriority w:val="39"/>
    <w:unhideWhenUsed/>
    <w:pPr>
      <w:pBdr/>
      <w:spacing w:after="100"/>
      <w:ind w:left="440"/>
    </w:pPr>
  </w:style>
  <w:style w:type="paragraph" w:styleId="929">
    <w:name w:val="toc 4"/>
    <w:basedOn w:val="938"/>
    <w:next w:val="938"/>
    <w:uiPriority w:val="39"/>
    <w:unhideWhenUsed/>
    <w:pPr>
      <w:pBdr/>
      <w:spacing w:after="100"/>
      <w:ind w:left="660"/>
    </w:pPr>
  </w:style>
  <w:style w:type="paragraph" w:styleId="930">
    <w:name w:val="toc 5"/>
    <w:basedOn w:val="938"/>
    <w:next w:val="938"/>
    <w:uiPriority w:val="39"/>
    <w:unhideWhenUsed/>
    <w:pPr>
      <w:pBdr/>
      <w:spacing w:after="100"/>
      <w:ind w:left="880"/>
    </w:pPr>
  </w:style>
  <w:style w:type="paragraph" w:styleId="931">
    <w:name w:val="toc 6"/>
    <w:basedOn w:val="938"/>
    <w:next w:val="938"/>
    <w:uiPriority w:val="39"/>
    <w:unhideWhenUsed/>
    <w:pPr>
      <w:pBdr/>
      <w:spacing w:after="100"/>
      <w:ind w:left="1100"/>
    </w:pPr>
  </w:style>
  <w:style w:type="paragraph" w:styleId="932">
    <w:name w:val="toc 7"/>
    <w:basedOn w:val="938"/>
    <w:next w:val="938"/>
    <w:uiPriority w:val="39"/>
    <w:unhideWhenUsed/>
    <w:pPr>
      <w:pBdr/>
      <w:spacing w:after="100"/>
      <w:ind w:left="1320"/>
    </w:pPr>
  </w:style>
  <w:style w:type="paragraph" w:styleId="933">
    <w:name w:val="toc 8"/>
    <w:basedOn w:val="938"/>
    <w:next w:val="938"/>
    <w:uiPriority w:val="39"/>
    <w:unhideWhenUsed/>
    <w:pPr>
      <w:pBdr/>
      <w:spacing w:after="100"/>
      <w:ind w:left="1540"/>
    </w:pPr>
  </w:style>
  <w:style w:type="paragraph" w:styleId="934">
    <w:name w:val="toc 9"/>
    <w:basedOn w:val="938"/>
    <w:next w:val="938"/>
    <w:uiPriority w:val="39"/>
    <w:unhideWhenUsed/>
    <w:pPr>
      <w:pBdr/>
      <w:spacing w:after="100"/>
      <w:ind w:left="1760"/>
    </w:pPr>
  </w:style>
  <w:style w:type="character" w:styleId="935">
    <w:name w:val="Placeholder Text"/>
    <w:basedOn w:val="888"/>
    <w:uiPriority w:val="99"/>
    <w:semiHidden/>
    <w:pPr>
      <w:pBdr/>
      <w:spacing/>
      <w:ind/>
    </w:pPr>
    <w:rPr>
      <w:color w:val="666666"/>
    </w:rPr>
  </w:style>
  <w:style w:type="paragraph" w:styleId="936">
    <w:name w:val="TOC Heading"/>
    <w:uiPriority w:val="39"/>
    <w:unhideWhenUsed/>
    <w:pPr>
      <w:pBdr/>
      <w:spacing/>
      <w:ind/>
    </w:pPr>
  </w:style>
  <w:style w:type="paragraph" w:styleId="937">
    <w:name w:val="table of figures"/>
    <w:basedOn w:val="938"/>
    <w:next w:val="938"/>
    <w:uiPriority w:val="99"/>
    <w:unhideWhenUsed/>
    <w:pPr>
      <w:pBdr/>
      <w:spacing w:after="0" w:afterAutospacing="0"/>
      <w:ind/>
    </w:pPr>
  </w:style>
  <w:style w:type="paragraph" w:styleId="938" w:default="1">
    <w:name w:val="Normal"/>
    <w:qFormat/>
    <w:pPr>
      <w:pBdr/>
      <w:spacing/>
      <w:ind/>
    </w:pPr>
  </w:style>
  <w:style w:type="table" w:styleId="93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40" w:default="1">
    <w:name w:val="No List"/>
    <w:uiPriority w:val="99"/>
    <w:semiHidden/>
    <w:unhideWhenUsed/>
    <w:pPr>
      <w:pBdr/>
      <w:spacing/>
      <w:ind/>
    </w:pPr>
  </w:style>
  <w:style w:type="paragraph" w:styleId="941">
    <w:name w:val="No Spacing"/>
    <w:basedOn w:val="938"/>
    <w:uiPriority w:val="1"/>
    <w:qFormat/>
    <w:pPr>
      <w:pBdr/>
      <w:spacing w:after="0" w:line="240" w:lineRule="auto"/>
      <w:ind/>
    </w:pPr>
  </w:style>
  <w:style w:type="paragraph" w:styleId="942">
    <w:name w:val="List Paragraph"/>
    <w:basedOn w:val="938"/>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hyperlink" Target="https://www.cambridge.org/core/books/abs/politics-and-the-russian-army/gorbachev-perestroika-and-the-collapse-of-the-soviet-union-19851991/086A35BB3EE714837973B15A1C9B2A1A" TargetMode="External"/><Relationship Id="rId9" Type="http://schemas.openxmlformats.org/officeDocument/2006/relationships/hyperlink" Target="https://www.ft.com/content/0fabaafb-3668-4f97-8418-bc11c06ccbff?syn-25a6b1a6=1" TargetMode="External"/><Relationship Id="rId10" Type="http://schemas.openxmlformats.org/officeDocument/2006/relationships/hyperlink" Target="https://www.nytimes.com/2026/03/15/world/europe/europe-iran-military.html" TargetMode="External"/><Relationship Id="rId11" Type="http://schemas.openxmlformats.org/officeDocument/2006/relationships/hyperlink" Target="https://carnegieendowment.org/emissary/2026/03/gulf-states-iran-war-security" TargetMode="External"/><Relationship Id="rId12" Type="http://schemas.openxmlformats.org/officeDocument/2006/relationships/hyperlink" Target="https://www.atlanticcouncil.org/dispatches/the-gulf-that-emerges-from-the-iran-war-will-be-very-different/"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 Id="rId1" Type="http://schemas.openxmlformats.org/officeDocument/2006/relationships/hyperlink" Target="https://www.habtoorresearch.com/programmes/2025-nss-disengagement-entrenchment/" TargetMode="External"/><Relationship Id="rId2" Type="http://schemas.openxmlformats.org/officeDocument/2006/relationships/hyperlink" Target="https://www.aljazeera.com/news/2026/3/16/eu-leaders-reject-military-involvement-in-strait-of-hormuz-amid-war-on-iran" TargetMode="External"/><Relationship Id="rId3" Type="http://schemas.openxmlformats.org/officeDocument/2006/relationships/hyperlink" Target="https://www.lorientlejour.com/article/1499688/nuit-violente-a-beyrouth-ou-des-frappes-israeliennes-sur-des-quartiers-centraux-font-au-moins-six-morts-direct.html" TargetMode="External"/><Relationship Id="rId4" Type="http://schemas.openxmlformats.org/officeDocument/2006/relationships/hyperlink" Target="https://www.aljazeera.com/economy/2026/3/17/gulf-economies-suffer-brunt-of-iran-war-as-recession-risk-looms" TargetMode="External"/><Relationship Id="rId5" Type="http://schemas.openxmlformats.org/officeDocument/2006/relationships/hyperlink" Target="https://www.scmp.com/economy/global-economy/article/3347195/war-iran-roils-energy-markets-europe-pays-price-dependency" TargetMode="External"/><Relationship Id="rId6" Type="http://schemas.openxmlformats.org/officeDocument/2006/relationships/hyperlink" Target="https://www.atlanticcouncil.org/dispatches/how-the-iran-war-could-trigger-a-european-energy-crisis/" TargetMode="External"/></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4</cp:revision>
  <dcterms:modified xsi:type="dcterms:W3CDTF">2026-03-25T07:34:27Z</dcterms:modified>
</cp:coreProperties>
</file>