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value of energy efficiency in Tunisia's power system (2030)</w:t>
      </w:r>
    </w:p>
    <w:p>
      <w:r>
        <w:t>Rayen Romdhani, Energy Engineering, ENIM (Monastir, Tunisia). October 2026.</w:t>
      </w:r>
    </w:p>
    <w:p>
      <w:r>
        <w:rPr>
          <w:sz w:val="18"/>
        </w:rPr>
        <w:t>Model: PyPSA-Earth v0.10.0 with the study code in this repository. All result numbers come from results/summary.csv and results/avoided.csv; all inputs come from data/assumptions_register.xlsx.</w:t>
      </w:r>
    </w:p>
    <w:p>
      <w:pPr>
        <w:pStyle w:val="Heading1"/>
      </w:pPr>
      <w:r>
        <w:t>Summary</w:t>
      </w:r>
    </w:p>
    <w:p>
      <w:r>
        <w:t>Tunisia plans 35% renewable electricity by 2030 and generates almost all the rest from gas (94.5% of generation in 2024). This study asks what each MWh of electricity saved, or moved in time, is worth to the 2030 power system.</w:t>
      </w:r>
    </w:p>
    <w:tbl>
      <w:tblPr>
        <w:tblStyle w:val="TableGrid"/>
        <w:tblW w:type="auto" w:w="0"/>
        <w:jc w:val="center"/>
        <w:tblLook w:firstColumn="1" w:firstRow="1" w:lastColumn="0" w:lastRow="0" w:noHBand="0" w:noVBand="1" w:val="04A0"/>
      </w:tblPr>
      <w:tblGrid>
        <w:gridCol w:w="4873"/>
        <w:gridCol w:w="4873"/>
      </w:tblGrid>
      <w:tr>
        <w:tc>
          <w:tcPr>
            <w:tcW w:type="dxa" w:w="5669"/>
          </w:tcPr>
          <w:p>
            <w:r>
              <w:rPr>
                <w:sz w:val="18"/>
              </w:rPr>
            </w:r>
            <w:r>
              <w:rPr>
                <w:b/>
                <w:sz w:val="18"/>
              </w:rPr>
              <w:t>Saving 15% in every hour (S1-15 vs S0) avoids, per MWh saved</w:t>
            </w:r>
          </w:p>
        </w:tc>
        <w:tc>
          <w:tcPr>
            <w:tcW w:type="dxa" w:w="3402"/>
          </w:tcPr>
          <w:p>
            <w:r>
              <w:rPr>
                <w:sz w:val="18"/>
              </w:rPr>
            </w:r>
            <w:r>
              <w:rPr>
                <w:b/>
                <w:sz w:val="18"/>
              </w:rPr>
              <w:t>Value</w:t>
            </w:r>
          </w:p>
        </w:tc>
      </w:tr>
      <w:tr>
        <w:tc>
          <w:tcPr>
            <w:tcW w:type="dxa" w:w="5669"/>
          </w:tcPr>
          <w:p>
            <w:r>
              <w:rPr>
                <w:sz w:val="18"/>
              </w:rPr>
              <w:t>System cost</w:t>
            </w:r>
          </w:p>
        </w:tc>
        <w:tc>
          <w:tcPr>
            <w:tcW w:type="dxa" w:w="3402"/>
          </w:tcPr>
          <w:p>
            <w:pPr>
              <w:jc w:val="right"/>
            </w:pPr>
            <w:r>
              <w:rPr>
                <w:sz w:val="18"/>
              </w:rPr>
              <w:t>60 EUR</w:t>
            </w:r>
          </w:p>
        </w:tc>
      </w:tr>
      <w:tr>
        <w:tc>
          <w:tcPr>
            <w:tcW w:type="dxa" w:w="5669"/>
          </w:tcPr>
          <w:p>
            <w:r>
              <w:rPr>
                <w:sz w:val="18"/>
              </w:rPr>
              <w:t>Gas burnt for power</w:t>
            </w:r>
          </w:p>
        </w:tc>
        <w:tc>
          <w:tcPr>
            <w:tcW w:type="dxa" w:w="3402"/>
          </w:tcPr>
          <w:p>
            <w:pPr>
              <w:jc w:val="right"/>
            </w:pPr>
            <w:r>
              <w:rPr>
                <w:sz w:val="18"/>
              </w:rPr>
              <w:t>0.91 MWh (thermal)</w:t>
            </w:r>
          </w:p>
        </w:tc>
      </w:tr>
      <w:tr>
        <w:tc>
          <w:tcPr>
            <w:tcW w:type="dxa" w:w="5669"/>
          </w:tcPr>
          <w:p>
            <w:r>
              <w:rPr>
                <w:sz w:val="18"/>
              </w:rPr>
              <w:t>CO2</w:t>
            </w:r>
          </w:p>
        </w:tc>
        <w:tc>
          <w:tcPr>
            <w:tcW w:type="dxa" w:w="3402"/>
          </w:tcPr>
          <w:p>
            <w:pPr>
              <w:jc w:val="right"/>
            </w:pPr>
            <w:r>
              <w:rPr>
                <w:sz w:val="18"/>
              </w:rPr>
              <w:t>0.18 t</w:t>
            </w:r>
          </w:p>
        </w:tc>
      </w:tr>
      <w:tr>
        <w:tc>
          <w:tcPr>
            <w:tcW w:type="dxa" w:w="5669"/>
          </w:tcPr>
          <w:p>
            <w:r>
              <w:rPr>
                <w:sz w:val="18"/>
              </w:rPr>
              <w:t>New capacity</w:t>
            </w:r>
          </w:p>
        </w:tc>
        <w:tc>
          <w:tcPr>
            <w:tcW w:type="dxa" w:w="3402"/>
          </w:tcPr>
          <w:p>
            <w:pPr>
              <w:jc w:val="right"/>
            </w:pPr>
            <w:r>
              <w:rPr>
                <w:sz w:val="18"/>
              </w:rPr>
              <w:t>449 MW per TWh saved per year</w:t>
            </w:r>
          </w:p>
        </w:tc>
      </w:tr>
    </w:tbl>
    <w:p/>
    <w:p>
      <w:pPr>
        <w:pStyle w:val="ListBullet"/>
      </w:pPr>
      <w:r>
        <w:t>With STEG's 10% reserve margin, the base case needs 423 MW of new gas turbines. A 10% saving already avoids all of them.</w:t>
      </w:r>
    </w:p>
    <w:p>
      <w:pPr>
        <w:pStyle w:val="ListBullet"/>
      </w:pPr>
      <w:r>
        <w:t>Saving first on summer air conditioning (S1-15C) avoids 20% more gas per MWh than an even cut, although only 39% of the saving fits on the cooling load.</w:t>
      </w:r>
    </w:p>
    <w:p>
      <w:pPr>
        <w:pStyle w:val="ListBullet"/>
      </w:pPr>
      <w:r>
        <w:t>Letting 300 MW of load move by up to 3 hours, on top of the 15% saving, cuts another 22 M EUR per year and 0.24 Mt of CO2.</w:t>
      </w:r>
    </w:p>
    <w:p>
      <w:pPr>
        <w:pStyle w:val="ListBullet"/>
      </w:pPr>
      <w:r>
        <w:t>At the base gas price the least-cost system reaches 56% renewables, so the 35% target does not bind. It binds only when gas costs half as much.</w:t>
      </w:r>
    </w:p>
    <w:p>
      <w:pPr>
        <w:pStyle w:val="Heading1"/>
      </w:pPr>
      <w:r>
        <w:t>1. Question and scope</w:t>
      </w:r>
    </w:p>
    <w:p>
      <w:r>
        <w:t>The study measures what one MWh of electricity saved through efficiency, or moved in time through demand flexibility, avoids in 2030: new capacity, gas burnt, system cost and CO2. The renewable target stays in force in every scenario, so the comparison is between systems that all meet it.</w:t>
      </w:r>
    </w:p>
    <w:p>
      <w:r>
        <w:t>The model covers Tunisia only, with two network nodes (north and south), 8,760 hourly steps and the 2013 weather year, solved with the open-source solver HiGHS. It does not include the cost of the efficiency programmes themselves, the planned ELMED link to Italy, or other countries.</w:t>
      </w:r>
    </w:p>
    <w:p>
      <w:pPr>
        <w:pStyle w:val="Heading1"/>
      </w:pPr>
      <w:r>
        <w:t>2. Method</w:t>
      </w:r>
    </w:p>
    <w:p>
      <w:pPr>
        <w:pStyle w:val="Heading2"/>
      </w:pPr>
      <w:r>
        <w:t>2.1 Base network and 2024 calibration</w:t>
      </w:r>
    </w:p>
    <w:p>
      <w:r>
        <w:t>PyPSA-Earth, used unmodified, builds the Tunisian grid, power plants, renewable potentials and hourly demand from open data. Its plant list does not match the official fleet, so the thermal fleet is rebuilt from the ONEM 2024 statistics: 2,527 MW of combined cycle and 3,117 MW of gas turbines and steam units. One efficiency factor for existing gas units is fitted so that a 2024 run burns as much gas as STEG reported. The hourly demand shape is stretched to the official load factor and minimum-to-peak ratio.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tcPr>
          <w:p>
            <w:r>
              <w:rPr>
                <w:sz w:val="18"/>
              </w:rPr>
            </w:r>
            <w:r>
              <w:rPr>
                <w:b/>
                <w:sz w:val="18"/>
              </w:rPr>
              <w:t>2024 check (calibrated model)</w:t>
            </w:r>
          </w:p>
        </w:tc>
        <w:tc>
          <w:tcPr>
            <w:tcW w:type="dxa" w:w="1701"/>
          </w:tcPr>
          <w:p>
            <w:r>
              <w:rPr>
                <w:sz w:val="18"/>
              </w:rPr>
            </w:r>
            <w:r>
              <w:rPr>
                <w:b/>
                <w:sz w:val="18"/>
              </w:rPr>
              <w:t>Model</w:t>
            </w:r>
          </w:p>
        </w:tc>
        <w:tc>
          <w:tcPr>
            <w:tcW w:type="dxa" w:w="1701"/>
          </w:tcPr>
          <w:p>
            <w:r>
              <w:rPr>
                <w:sz w:val="18"/>
              </w:rPr>
            </w:r>
            <w:r>
              <w:rPr>
                <w:b/>
                <w:sz w:val="18"/>
              </w:rPr>
              <w:t>Official</w:t>
            </w:r>
          </w:p>
        </w:tc>
        <w:tc>
          <w:tcPr>
            <w:tcW w:type="dxa" w:w="1701"/>
          </w:tcPr>
          <w:p>
            <w:r>
              <w:rPr>
                <w:sz w:val="18"/>
              </w:rPr>
            </w:r>
            <w:r>
              <w:rPr>
                <w:b/>
                <w:sz w:val="18"/>
              </w:rPr>
              <w:t>Difference</w:t>
            </w:r>
          </w:p>
        </w:tc>
      </w:tr>
      <w:tr>
        <w:tc>
          <w:tcPr>
            <w:tcW w:type="dxa" w:w="3969"/>
          </w:tcPr>
          <w:p>
            <w:r>
              <w:rPr>
                <w:sz w:val="18"/>
              </w:rPr>
              <w:t>Gas burnt for power (TWh thermal)</w:t>
            </w:r>
          </w:p>
        </w:tc>
        <w:tc>
          <w:tcPr>
            <w:tcW w:type="dxa" w:w="1701"/>
          </w:tcPr>
          <w:p>
            <w:pPr>
              <w:jc w:val="right"/>
            </w:pPr>
            <w:r>
              <w:rPr>
                <w:sz w:val="18"/>
              </w:rPr>
              <w:t>37.0</w:t>
            </w:r>
          </w:p>
        </w:tc>
        <w:tc>
          <w:tcPr>
            <w:tcW w:type="dxa" w:w="1701"/>
          </w:tcPr>
          <w:p>
            <w:pPr>
              <w:jc w:val="right"/>
            </w:pPr>
            <w:r>
              <w:rPr>
                <w:sz w:val="18"/>
              </w:rPr>
              <w:t>36.8</w:t>
            </w:r>
          </w:p>
        </w:tc>
        <w:tc>
          <w:tcPr>
            <w:tcW w:type="dxa" w:w="1701"/>
          </w:tcPr>
          <w:p>
            <w:pPr>
              <w:jc w:val="right"/>
            </w:pPr>
            <w:r>
              <w:rPr>
                <w:sz w:val="18"/>
              </w:rPr>
              <w:t>+0.4%</w:t>
            </w:r>
          </w:p>
        </w:tc>
      </w:tr>
      <w:tr>
        <w:tc>
          <w:tcPr>
            <w:tcW w:type="dxa" w:w="3969"/>
          </w:tcPr>
          <w:p>
            <w:r>
              <w:rPr>
                <w:sz w:val="18"/>
              </w:rPr>
              <w:t>Gas fleet efficiency (net)</w:t>
            </w:r>
          </w:p>
        </w:tc>
        <w:tc>
          <w:tcPr>
            <w:tcW w:type="dxa" w:w="1701"/>
          </w:tcPr>
          <w:p>
            <w:pPr>
              <w:jc w:val="right"/>
            </w:pPr>
            <w:r>
              <w:rPr>
                <w:sz w:val="18"/>
              </w:rPr>
              <w:t>0.49</w:t>
            </w:r>
          </w:p>
        </w:tc>
        <w:tc>
          <w:tcPr>
            <w:tcW w:type="dxa" w:w="1701"/>
          </w:tcPr>
          <w:p>
            <w:pPr>
              <w:jc w:val="right"/>
            </w:pPr>
            <w:r>
              <w:rPr>
                <w:sz w:val="18"/>
              </w:rPr>
              <w:t>0.49</w:t>
            </w:r>
          </w:p>
        </w:tc>
        <w:tc>
          <w:tcPr>
            <w:tcW w:type="dxa" w:w="1701"/>
          </w:tcPr>
          <w:p>
            <w:pPr>
              <w:jc w:val="right"/>
            </w:pPr>
            <w:r>
              <w:rPr>
                <w:sz w:val="18"/>
              </w:rPr>
              <w:t>+0.0%</w:t>
            </w:r>
          </w:p>
        </w:tc>
      </w:tr>
      <w:tr>
        <w:tc>
          <w:tcPr>
            <w:tcW w:type="dxa" w:w="3969"/>
          </w:tcPr>
          <w:p>
            <w:r>
              <w:rPr>
                <w:sz w:val="18"/>
              </w:rPr>
              <w:t>Peak demand (MW)</w:t>
            </w:r>
          </w:p>
        </w:tc>
        <w:tc>
          <w:tcPr>
            <w:tcW w:type="dxa" w:w="1701"/>
          </w:tcPr>
          <w:p>
            <w:pPr>
              <w:jc w:val="right"/>
            </w:pPr>
            <w:r>
              <w:rPr>
                <w:sz w:val="18"/>
              </w:rPr>
              <w:t>4,901</w:t>
            </w:r>
          </w:p>
        </w:tc>
        <w:tc>
          <w:tcPr>
            <w:tcW w:type="dxa" w:w="1701"/>
          </w:tcPr>
          <w:p>
            <w:pPr>
              <w:jc w:val="right"/>
            </w:pPr>
            <w:r>
              <w:rPr>
                <w:sz w:val="18"/>
              </w:rPr>
              <w:t>4,888</w:t>
            </w:r>
          </w:p>
        </w:tc>
        <w:tc>
          <w:tcPr>
            <w:tcW w:type="dxa" w:w="1701"/>
          </w:tcPr>
          <w:p>
            <w:pPr>
              <w:jc w:val="right"/>
            </w:pPr>
            <w:r>
              <w:rPr>
                <w:sz w:val="18"/>
              </w:rPr>
              <w:t>+0.3%</w:t>
            </w:r>
          </w:p>
        </w:tc>
      </w:tr>
      <w:tr>
        <w:tc>
          <w:tcPr>
            <w:tcW w:type="dxa" w:w="3969"/>
          </w:tcPr>
          <w:p>
            <w:r>
              <w:rPr>
                <w:sz w:val="18"/>
              </w:rPr>
              <w:t>Gas share of generation</w:t>
            </w:r>
          </w:p>
        </w:tc>
        <w:tc>
          <w:tcPr>
            <w:tcW w:type="dxa" w:w="1701"/>
          </w:tcPr>
          <w:p>
            <w:pPr>
              <w:jc w:val="right"/>
            </w:pPr>
            <w:r>
              <w:rPr>
                <w:sz w:val="18"/>
              </w:rPr>
              <w:t>93.6%</w:t>
            </w:r>
          </w:p>
        </w:tc>
        <w:tc>
          <w:tcPr>
            <w:tcW w:type="dxa" w:w="1701"/>
          </w:tcPr>
          <w:p>
            <w:pPr>
              <w:jc w:val="right"/>
            </w:pPr>
            <w:r>
              <w:rPr>
                <w:sz w:val="18"/>
              </w:rPr>
              <w:t>94.5%</w:t>
            </w:r>
          </w:p>
        </w:tc>
        <w:tc>
          <w:tcPr>
            <w:tcW w:type="dxa" w:w="1701"/>
          </w:tcPr>
          <w:p>
            <w:pPr>
              <w:jc w:val="right"/>
            </w:pPr>
            <w:r>
              <w:rPr>
                <w:sz w:val="18"/>
              </w:rPr>
              <w:t>-1.0%</w:t>
            </w:r>
          </w:p>
        </w:tc>
      </w:tr>
    </w:tbl>
    <w:p/>
    <w:p>
      <w:r>
        <w:rPr>
          <w:sz w:val="18"/>
        </w:rPr>
        <w:t>The gas-burnt check is independent of the fit: the factor was fitted on STEG's specific consumption, and the gas total comes from a separate ONEM table.</w:t>
      </w:r>
    </w:p>
    <w:p>
      <w:pPr>
        <w:pStyle w:val="Heading2"/>
      </w:pPr>
      <w:r>
        <w:t>2.2 The 2030 system</w:t>
      </w:r>
    </w:p>
    <w:p>
      <w:r>
        <w:t>Demand grows from 22.5 TWh in 2024 at 3.2% per year, STEG's base-case forecast as quoted by JICA (2022). Imports stay at their 2024 level (3.1 TWh, flat over the year), so every MWh saved falls on domestic generation. The model then builds solar, onshore wind, batteries and gas turbines at least cost, using 2030 costs from PyPSA technology-data. In every scenario it must:</w:t>
      </w:r>
    </w:p>
    <w:p>
      <w:pPr>
        <w:pStyle w:val="ListBullet"/>
      </w:pPr>
      <w:r>
        <w:t>produce at least 35% of domestic generation from solar, wind and hydro;</w:t>
      </w:r>
    </w:p>
    <w:p>
      <w:pPr>
        <w:pStyle w:val="ListBullet"/>
      </w:pPr>
      <w:r>
        <w:t>keep firm capacity (gas and hydro) at least 10% above peak demand, STEG's planning margin;</w:t>
      </w:r>
    </w:p>
    <w:p>
      <w:pPr>
        <w:pStyle w:val="ListBullet"/>
      </w:pPr>
      <w:r>
        <w:t>build the committed solar and wind projects (data/committed_projects.csv) and keep the existing fleet.</w:t>
      </w:r>
    </w:p>
    <w:p>
      <w:r>
        <w:t>After each solve the pipeline checks the energy balance, the renewable share, the reserve margin, that no load is shed and that committed and existing capacity is kept. All 11 scenarios pass.</w:t>
      </w:r>
    </w:p>
    <w:p>
      <w:pPr>
        <w:pStyle w:val="Heading2"/>
      </w:pPr>
      <w:r>
        <w:t>2.3 Scenarios</w:t>
      </w:r>
    </w:p>
    <w:tbl>
      <w:tblPr>
        <w:tblStyle w:val="TableGrid"/>
        <w:tblW w:type="auto" w:w="0"/>
        <w:jc w:val="center"/>
        <w:tblLook w:firstColumn="1" w:firstRow="1" w:lastColumn="0" w:lastRow="0" w:noHBand="0" w:noVBand="1" w:val="04A0"/>
      </w:tblPr>
      <w:tblGrid>
        <w:gridCol w:w="4873"/>
        <w:gridCol w:w="4873"/>
      </w:tblGrid>
      <w:tr>
        <w:tc>
          <w:tcPr>
            <w:tcW w:type="dxa" w:w="2268"/>
          </w:tcPr>
          <w:p>
            <w:r>
              <w:rPr>
                <w:sz w:val="18"/>
              </w:rPr>
            </w:r>
            <w:r>
              <w:rPr>
                <w:b/>
                <w:sz w:val="18"/>
              </w:rPr>
              <w:t>Scenario</w:t>
            </w:r>
          </w:p>
        </w:tc>
        <w:tc>
          <w:tcPr>
            <w:tcW w:type="dxa" w:w="6803"/>
          </w:tcPr>
          <w:p>
            <w:r>
              <w:rPr>
                <w:sz w:val="18"/>
              </w:rPr>
            </w:r>
            <w:r>
              <w:rPr>
                <w:b/>
                <w:sz w:val="18"/>
              </w:rPr>
              <w:t>What changes against S0</w:t>
            </w:r>
          </w:p>
        </w:tc>
      </w:tr>
      <w:tr>
        <w:tc>
          <w:tcPr>
            <w:tcW w:type="dxa" w:w="2268"/>
          </w:tcPr>
          <w:p>
            <w:r>
              <w:rPr>
                <w:sz w:val="18"/>
              </w:rPr>
              <w:t>S0</w:t>
            </w:r>
          </w:p>
        </w:tc>
        <w:tc>
          <w:tcPr>
            <w:tcW w:type="dxa" w:w="6803"/>
          </w:tcPr>
          <w:p>
            <w:pPr>
              <w:jc w:val="right"/>
            </w:pPr>
            <w:r>
              <w:rPr>
                <w:sz w:val="18"/>
              </w:rPr>
              <w:t>Base case: 2030 demand, base gas price</w:t>
            </w:r>
          </w:p>
        </w:tc>
      </w:tr>
      <w:tr>
        <w:tc>
          <w:tcPr>
            <w:tcW w:type="dxa" w:w="2268"/>
          </w:tcPr>
          <w:p>
            <w:r>
              <w:rPr>
                <w:sz w:val="18"/>
              </w:rPr>
              <w:t>S1-10, S1-15, S1-20</w:t>
            </w:r>
          </w:p>
        </w:tc>
        <w:tc>
          <w:tcPr>
            <w:tcW w:type="dxa" w:w="6803"/>
          </w:tcPr>
          <w:p>
            <w:pPr>
              <w:jc w:val="right"/>
            </w:pPr>
            <w:r>
              <w:rPr>
                <w:sz w:val="18"/>
              </w:rPr>
              <w:t>Demand 10, 15 or 20% lower in every hour</w:t>
            </w:r>
          </w:p>
        </w:tc>
      </w:tr>
      <w:tr>
        <w:tc>
          <w:tcPr>
            <w:tcW w:type="dxa" w:w="2268"/>
          </w:tcPr>
          <w:p>
            <w:r>
              <w:rPr>
                <w:sz w:val="18"/>
              </w:rPr>
              <w:t>S1-15C</w:t>
            </w:r>
          </w:p>
        </w:tc>
        <w:tc>
          <w:tcPr>
            <w:tcW w:type="dxa" w:w="6803"/>
          </w:tcPr>
          <w:p>
            <w:pPr>
              <w:jc w:val="right"/>
            </w:pPr>
            <w:r>
              <w:rPr>
                <w:sz w:val="18"/>
              </w:rPr>
              <w:t>Same 15% of annual energy, taken first from summer cooling load</w:t>
            </w:r>
          </w:p>
        </w:tc>
      </w:tr>
      <w:tr>
        <w:tc>
          <w:tcPr>
            <w:tcW w:type="dxa" w:w="2268"/>
          </w:tcPr>
          <w:p>
            <w:r>
              <w:rPr>
                <w:sz w:val="18"/>
              </w:rPr>
              <w:t>S2-300, S2-600</w:t>
            </w:r>
          </w:p>
        </w:tc>
        <w:tc>
          <w:tcPr>
            <w:tcW w:type="dxa" w:w="6803"/>
          </w:tcPr>
          <w:p>
            <w:pPr>
              <w:jc w:val="right"/>
            </w:pPr>
            <w:r>
              <w:rPr>
                <w:sz w:val="18"/>
              </w:rPr>
              <w:t>S1-15 plus 300 or 600 MW of load that can move by up to 3 hours</w:t>
            </w:r>
          </w:p>
        </w:tc>
      </w:tr>
      <w:tr>
        <w:tc>
          <w:tcPr>
            <w:tcW w:type="dxa" w:w="2268"/>
          </w:tcPr>
          <w:p>
            <w:r>
              <w:rPr>
                <w:sz w:val="18"/>
              </w:rPr>
              <w:t>G-lo-S0, G-lo-S1-15</w:t>
            </w:r>
          </w:p>
        </w:tc>
        <w:tc>
          <w:tcPr>
            <w:tcW w:type="dxa" w:w="6803"/>
          </w:tcPr>
          <w:p>
            <w:pPr>
              <w:jc w:val="right"/>
            </w:pPr>
            <w:r>
              <w:rPr>
                <w:sz w:val="18"/>
              </w:rPr>
              <w:t>S0 and S1-15 with the gas price x0.5</w:t>
            </w:r>
          </w:p>
        </w:tc>
      </w:tr>
      <w:tr>
        <w:tc>
          <w:tcPr>
            <w:tcW w:type="dxa" w:w="2268"/>
          </w:tcPr>
          <w:p>
            <w:r>
              <w:rPr>
                <w:sz w:val="18"/>
              </w:rPr>
              <w:t>G-hi-S0, G-hi-S1-15</w:t>
            </w:r>
          </w:p>
        </w:tc>
        <w:tc>
          <w:tcPr>
            <w:tcW w:type="dxa" w:w="6803"/>
          </w:tcPr>
          <w:p>
            <w:pPr>
              <w:jc w:val="right"/>
            </w:pPr>
            <w:r>
              <w:rPr>
                <w:sz w:val="18"/>
              </w:rPr>
              <w:t>S0 and S1-15 with the gas price x1.5</w:t>
            </w:r>
          </w:p>
        </w:tc>
      </w:tr>
    </w:tbl>
    <w:p/>
    <w:p>
      <w:r>
        <w:t>Shiftable load is modelled as a free, lossless store at each node that starts and ends every day half full. Load can be brought forward or postponed, but every MWh moved must come back within 3 hours, and only one direction is allowed in each hour.</w:t>
      </w:r>
    </w:p>
    <w:p>
      <w:pPr>
        <w:pStyle w:val="Heading1"/>
      </w:pPr>
      <w:r>
        <w:t>3. Results</w:t>
      </w:r>
    </w:p>
    <w:p>
      <w:pPr>
        <w:pStyle w:val="Heading2"/>
      </w:pPr>
      <w:r>
        <w:t>3.1 Main scenarios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438"/>
          </w:tcPr>
          <w:p>
            <w:r>
              <w:rPr>
                <w:sz w:val="18"/>
              </w:rPr>
            </w:r>
            <w:r>
              <w:rPr>
                <w:b/>
                <w:sz w:val="18"/>
              </w:rPr>
            </w:r>
          </w:p>
        </w:tc>
        <w:tc>
          <w:tcPr>
            <w:tcW w:type="dxa" w:w="964"/>
          </w:tcPr>
          <w:p>
            <w:r>
              <w:rPr>
                <w:sz w:val="18"/>
              </w:rPr>
            </w:r>
            <w:r>
              <w:rPr>
                <w:b/>
                <w:sz w:val="18"/>
              </w:rPr>
              <w:t>S0</w:t>
            </w:r>
          </w:p>
        </w:tc>
        <w:tc>
          <w:tcPr>
            <w:tcW w:type="dxa" w:w="964"/>
          </w:tcPr>
          <w:p>
            <w:r>
              <w:rPr>
                <w:sz w:val="18"/>
              </w:rPr>
            </w:r>
            <w:r>
              <w:rPr>
                <w:b/>
                <w:sz w:val="18"/>
              </w:rPr>
              <w:t>S1-10</w:t>
            </w:r>
          </w:p>
        </w:tc>
        <w:tc>
          <w:tcPr>
            <w:tcW w:type="dxa" w:w="964"/>
          </w:tcPr>
          <w:p>
            <w:r>
              <w:rPr>
                <w:sz w:val="18"/>
              </w:rPr>
            </w:r>
            <w:r>
              <w:rPr>
                <w:b/>
                <w:sz w:val="18"/>
              </w:rPr>
              <w:t>S1-15</w:t>
            </w:r>
          </w:p>
        </w:tc>
        <w:tc>
          <w:tcPr>
            <w:tcW w:type="dxa" w:w="964"/>
          </w:tcPr>
          <w:p>
            <w:r>
              <w:rPr>
                <w:sz w:val="18"/>
              </w:rPr>
            </w:r>
            <w:r>
              <w:rPr>
                <w:b/>
                <w:sz w:val="18"/>
              </w:rPr>
              <w:t>S1-20</w:t>
            </w:r>
          </w:p>
        </w:tc>
        <w:tc>
          <w:tcPr>
            <w:tcW w:type="dxa" w:w="964"/>
          </w:tcPr>
          <w:p>
            <w:r>
              <w:rPr>
                <w:sz w:val="18"/>
              </w:rPr>
            </w:r>
            <w:r>
              <w:rPr>
                <w:b/>
                <w:sz w:val="18"/>
              </w:rPr>
              <w:t>S1-15C</w:t>
            </w:r>
          </w:p>
        </w:tc>
        <w:tc>
          <w:tcPr>
            <w:tcW w:type="dxa" w:w="964"/>
          </w:tcPr>
          <w:p>
            <w:r>
              <w:rPr>
                <w:sz w:val="18"/>
              </w:rPr>
            </w:r>
            <w:r>
              <w:rPr>
                <w:b/>
                <w:sz w:val="18"/>
              </w:rPr>
              <w:t>S2-300</w:t>
            </w:r>
          </w:p>
        </w:tc>
        <w:tc>
          <w:tcPr>
            <w:tcW w:type="dxa" w:w="964"/>
          </w:tcPr>
          <w:p>
            <w:r>
              <w:rPr>
                <w:sz w:val="18"/>
              </w:rPr>
            </w:r>
            <w:r>
              <w:rPr>
                <w:b/>
                <w:sz w:val="18"/>
              </w:rPr>
              <w:t>S2-600</w:t>
            </w:r>
          </w:p>
        </w:tc>
      </w:tr>
      <w:tr>
        <w:tc>
          <w:tcPr>
            <w:tcW w:type="dxa" w:w="2438"/>
          </w:tcPr>
          <w:p>
            <w:r>
              <w:rPr>
                <w:sz w:val="18"/>
              </w:rPr>
              <w:t>Domestic demand (TWh)</w:t>
            </w:r>
          </w:p>
        </w:tc>
        <w:tc>
          <w:tcPr>
            <w:tcW w:type="dxa" w:w="964"/>
          </w:tcPr>
          <w:p>
            <w:pPr>
              <w:jc w:val="right"/>
            </w:pPr>
            <w:r>
              <w:rPr>
                <w:sz w:val="18"/>
              </w:rPr>
              <w:t>24.08</w:t>
            </w:r>
          </w:p>
        </w:tc>
        <w:tc>
          <w:tcPr>
            <w:tcW w:type="dxa" w:w="964"/>
          </w:tcPr>
          <w:p>
            <w:pPr>
              <w:jc w:val="right"/>
            </w:pPr>
            <w:r>
              <w:rPr>
                <w:sz w:val="18"/>
              </w:rPr>
              <w:t>21.36</w:t>
            </w:r>
          </w:p>
        </w:tc>
        <w:tc>
          <w:tcPr>
            <w:tcW w:type="dxa" w:w="964"/>
          </w:tcPr>
          <w:p>
            <w:pPr>
              <w:jc w:val="right"/>
            </w:pPr>
            <w:r>
              <w:rPr>
                <w:sz w:val="18"/>
              </w:rPr>
              <w:t>20.00</w:t>
            </w:r>
          </w:p>
        </w:tc>
        <w:tc>
          <w:tcPr>
            <w:tcW w:type="dxa" w:w="964"/>
          </w:tcPr>
          <w:p>
            <w:pPr>
              <w:jc w:val="right"/>
            </w:pPr>
            <w:r>
              <w:rPr>
                <w:sz w:val="18"/>
              </w:rPr>
              <w:t>18.64</w:t>
            </w:r>
          </w:p>
        </w:tc>
        <w:tc>
          <w:tcPr>
            <w:tcW w:type="dxa" w:w="964"/>
          </w:tcPr>
          <w:p>
            <w:pPr>
              <w:jc w:val="right"/>
            </w:pPr>
            <w:r>
              <w:rPr>
                <w:sz w:val="18"/>
              </w:rPr>
              <w:t>20.00</w:t>
            </w:r>
          </w:p>
        </w:tc>
        <w:tc>
          <w:tcPr>
            <w:tcW w:type="dxa" w:w="964"/>
          </w:tcPr>
          <w:p>
            <w:pPr>
              <w:jc w:val="right"/>
            </w:pPr>
            <w:r>
              <w:rPr>
                <w:sz w:val="18"/>
              </w:rPr>
              <w:t>20.00</w:t>
            </w:r>
          </w:p>
        </w:tc>
        <w:tc>
          <w:tcPr>
            <w:tcW w:type="dxa" w:w="964"/>
          </w:tcPr>
          <w:p>
            <w:pPr>
              <w:jc w:val="right"/>
            </w:pPr>
            <w:r>
              <w:rPr>
                <w:sz w:val="18"/>
              </w:rPr>
              <w:t>20.00</w:t>
            </w:r>
          </w:p>
        </w:tc>
      </w:tr>
      <w:tr>
        <w:tc>
          <w:tcPr>
            <w:tcW w:type="dxa" w:w="2438"/>
          </w:tcPr>
          <w:p>
            <w:r>
              <w:rPr>
                <w:sz w:val="18"/>
              </w:rPr>
              <w:t>New gas turbines (MW)</w:t>
            </w:r>
          </w:p>
        </w:tc>
        <w:tc>
          <w:tcPr>
            <w:tcW w:type="dxa" w:w="964"/>
          </w:tcPr>
          <w:p>
            <w:pPr>
              <w:jc w:val="right"/>
            </w:pPr>
            <w:r>
              <w:rPr>
                <w:sz w:val="18"/>
              </w:rPr>
              <w:t>423</w:t>
            </w:r>
          </w:p>
        </w:tc>
        <w:tc>
          <w:tcPr>
            <w:tcW w:type="dxa" w:w="964"/>
          </w:tcPr>
          <w:p>
            <w:pPr>
              <w:jc w:val="right"/>
            </w:pPr>
            <w:r>
              <w:rPr>
                <w:sz w:val="18"/>
              </w:rPr>
              <w:t>0</w:t>
            </w:r>
          </w:p>
        </w:tc>
        <w:tc>
          <w:tcPr>
            <w:tcW w:type="dxa" w:w="964"/>
          </w:tcPr>
          <w:p>
            <w:pPr>
              <w:jc w:val="right"/>
            </w:pPr>
            <w:r>
              <w:rPr>
                <w:sz w:val="18"/>
              </w:rPr>
              <w:t>0</w:t>
            </w:r>
          </w:p>
        </w:tc>
        <w:tc>
          <w:tcPr>
            <w:tcW w:type="dxa" w:w="964"/>
          </w:tcPr>
          <w:p>
            <w:pPr>
              <w:jc w:val="right"/>
            </w:pPr>
            <w:r>
              <w:rPr>
                <w:sz w:val="18"/>
              </w:rPr>
              <w:t>0</w:t>
            </w:r>
          </w:p>
        </w:tc>
        <w:tc>
          <w:tcPr>
            <w:tcW w:type="dxa" w:w="964"/>
          </w:tcPr>
          <w:p>
            <w:pPr>
              <w:jc w:val="right"/>
            </w:pPr>
            <w:r>
              <w:rPr>
                <w:sz w:val="18"/>
              </w:rPr>
              <w:t>0</w:t>
            </w:r>
          </w:p>
        </w:tc>
        <w:tc>
          <w:tcPr>
            <w:tcW w:type="dxa" w:w="964"/>
          </w:tcPr>
          <w:p>
            <w:pPr>
              <w:jc w:val="right"/>
            </w:pPr>
            <w:r>
              <w:rPr>
                <w:sz w:val="18"/>
              </w:rPr>
              <w:t>0</w:t>
            </w:r>
          </w:p>
        </w:tc>
        <w:tc>
          <w:tcPr>
            <w:tcW w:type="dxa" w:w="964"/>
          </w:tcPr>
          <w:p>
            <w:pPr>
              <w:jc w:val="right"/>
            </w:pPr>
            <w:r>
              <w:rPr>
                <w:sz w:val="18"/>
              </w:rPr>
              <w:t>0</w:t>
            </w:r>
          </w:p>
        </w:tc>
      </w:tr>
      <w:tr>
        <w:tc>
          <w:tcPr>
            <w:tcW w:type="dxa" w:w="2438"/>
          </w:tcPr>
          <w:p>
            <w:r>
              <w:rPr>
                <w:sz w:val="18"/>
              </w:rPr>
              <w:t>New solar (MW)</w:t>
            </w:r>
          </w:p>
        </w:tc>
        <w:tc>
          <w:tcPr>
            <w:tcW w:type="dxa" w:w="964"/>
          </w:tcPr>
          <w:p>
            <w:pPr>
              <w:jc w:val="right"/>
            </w:pPr>
            <w:r>
              <w:rPr>
                <w:sz w:val="18"/>
              </w:rPr>
              <w:t>3,929</w:t>
            </w:r>
          </w:p>
        </w:tc>
        <w:tc>
          <w:tcPr>
            <w:tcW w:type="dxa" w:w="964"/>
          </w:tcPr>
          <w:p>
            <w:pPr>
              <w:jc w:val="right"/>
            </w:pPr>
            <w:r>
              <w:rPr>
                <w:sz w:val="18"/>
              </w:rPr>
              <w:t>3,237</w:t>
            </w:r>
          </w:p>
        </w:tc>
        <w:tc>
          <w:tcPr>
            <w:tcW w:type="dxa" w:w="964"/>
          </w:tcPr>
          <w:p>
            <w:pPr>
              <w:jc w:val="right"/>
            </w:pPr>
            <w:r>
              <w:rPr>
                <w:sz w:val="18"/>
              </w:rPr>
              <w:t>2,928</w:t>
            </w:r>
          </w:p>
        </w:tc>
        <w:tc>
          <w:tcPr>
            <w:tcW w:type="dxa" w:w="964"/>
          </w:tcPr>
          <w:p>
            <w:pPr>
              <w:jc w:val="right"/>
            </w:pPr>
            <w:r>
              <w:rPr>
                <w:sz w:val="18"/>
              </w:rPr>
              <w:t>2,606</w:t>
            </w:r>
          </w:p>
        </w:tc>
        <w:tc>
          <w:tcPr>
            <w:tcW w:type="dxa" w:w="964"/>
          </w:tcPr>
          <w:p>
            <w:pPr>
              <w:jc w:val="right"/>
            </w:pPr>
            <w:r>
              <w:rPr>
                <w:sz w:val="18"/>
              </w:rPr>
              <w:t>2,802</w:t>
            </w:r>
          </w:p>
        </w:tc>
        <w:tc>
          <w:tcPr>
            <w:tcW w:type="dxa" w:w="964"/>
          </w:tcPr>
          <w:p>
            <w:pPr>
              <w:jc w:val="right"/>
            </w:pPr>
            <w:r>
              <w:rPr>
                <w:sz w:val="18"/>
              </w:rPr>
              <w:t>3,453</w:t>
            </w:r>
          </w:p>
        </w:tc>
        <w:tc>
          <w:tcPr>
            <w:tcW w:type="dxa" w:w="964"/>
          </w:tcPr>
          <w:p>
            <w:pPr>
              <w:jc w:val="right"/>
            </w:pPr>
            <w:r>
              <w:rPr>
                <w:sz w:val="18"/>
              </w:rPr>
              <w:t>3,948</w:t>
            </w:r>
          </w:p>
        </w:tc>
      </w:tr>
      <w:tr>
        <w:tc>
          <w:tcPr>
            <w:tcW w:type="dxa" w:w="2438"/>
          </w:tcPr>
          <w:p>
            <w:r>
              <w:rPr>
                <w:sz w:val="18"/>
              </w:rPr>
              <w:t>New onshore wind (MW)</w:t>
            </w:r>
          </w:p>
        </w:tc>
        <w:tc>
          <w:tcPr>
            <w:tcW w:type="dxa" w:w="964"/>
          </w:tcPr>
          <w:p>
            <w:pPr>
              <w:jc w:val="right"/>
            </w:pPr>
            <w:r>
              <w:rPr>
                <w:sz w:val="18"/>
              </w:rPr>
              <w:t>2,121</w:t>
            </w:r>
          </w:p>
        </w:tc>
        <w:tc>
          <w:tcPr>
            <w:tcW w:type="dxa" w:w="964"/>
          </w:tcPr>
          <w:p>
            <w:pPr>
              <w:jc w:val="right"/>
            </w:pPr>
            <w:r>
              <w:rPr>
                <w:sz w:val="18"/>
              </w:rPr>
              <w:t>1,857</w:t>
            </w:r>
          </w:p>
        </w:tc>
        <w:tc>
          <w:tcPr>
            <w:tcW w:type="dxa" w:w="964"/>
          </w:tcPr>
          <w:p>
            <w:pPr>
              <w:jc w:val="right"/>
            </w:pPr>
            <w:r>
              <w:rPr>
                <w:sz w:val="18"/>
              </w:rPr>
              <w:t>1,714</w:t>
            </w:r>
          </w:p>
        </w:tc>
        <w:tc>
          <w:tcPr>
            <w:tcW w:type="dxa" w:w="964"/>
          </w:tcPr>
          <w:p>
            <w:pPr>
              <w:jc w:val="right"/>
            </w:pPr>
            <w:r>
              <w:rPr>
                <w:sz w:val="18"/>
              </w:rPr>
              <w:t>1,574</w:t>
            </w:r>
          </w:p>
        </w:tc>
        <w:tc>
          <w:tcPr>
            <w:tcW w:type="dxa" w:w="964"/>
          </w:tcPr>
          <w:p>
            <w:pPr>
              <w:jc w:val="right"/>
            </w:pPr>
            <w:r>
              <w:rPr>
                <w:sz w:val="18"/>
              </w:rPr>
              <w:t>1,853</w:t>
            </w:r>
          </w:p>
        </w:tc>
        <w:tc>
          <w:tcPr>
            <w:tcW w:type="dxa" w:w="964"/>
          </w:tcPr>
          <w:p>
            <w:pPr>
              <w:jc w:val="right"/>
            </w:pPr>
            <w:r>
              <w:rPr>
                <w:sz w:val="18"/>
              </w:rPr>
              <w:t>1,629</w:t>
            </w:r>
          </w:p>
        </w:tc>
        <w:tc>
          <w:tcPr>
            <w:tcW w:type="dxa" w:w="964"/>
          </w:tcPr>
          <w:p>
            <w:pPr>
              <w:jc w:val="right"/>
            </w:pPr>
            <w:r>
              <w:rPr>
                <w:sz w:val="18"/>
              </w:rPr>
              <w:t>1,485</w:t>
            </w:r>
          </w:p>
        </w:tc>
      </w:tr>
      <w:tr>
        <w:tc>
          <w:tcPr>
            <w:tcW w:type="dxa" w:w="2438"/>
          </w:tcPr>
          <w:p>
            <w:r>
              <w:rPr>
                <w:sz w:val="18"/>
              </w:rPr>
              <w:t>Gas burnt (TWh thermal)</w:t>
            </w:r>
          </w:p>
        </w:tc>
        <w:tc>
          <w:tcPr>
            <w:tcW w:type="dxa" w:w="964"/>
          </w:tcPr>
          <w:p>
            <w:pPr>
              <w:jc w:val="right"/>
            </w:pPr>
            <w:r>
              <w:rPr>
                <w:sz w:val="18"/>
              </w:rPr>
              <w:t>21.55</w:t>
            </w:r>
          </w:p>
        </w:tc>
        <w:tc>
          <w:tcPr>
            <w:tcW w:type="dxa" w:w="964"/>
          </w:tcPr>
          <w:p>
            <w:pPr>
              <w:jc w:val="right"/>
            </w:pPr>
            <w:r>
              <w:rPr>
                <w:sz w:val="18"/>
              </w:rPr>
              <w:t>19.09</w:t>
            </w:r>
          </w:p>
        </w:tc>
        <w:tc>
          <w:tcPr>
            <w:tcW w:type="dxa" w:w="964"/>
          </w:tcPr>
          <w:p>
            <w:pPr>
              <w:jc w:val="right"/>
            </w:pPr>
            <w:r>
              <w:rPr>
                <w:sz w:val="18"/>
              </w:rPr>
              <w:t>17.83</w:t>
            </w:r>
          </w:p>
        </w:tc>
        <w:tc>
          <w:tcPr>
            <w:tcW w:type="dxa" w:w="964"/>
          </w:tcPr>
          <w:p>
            <w:pPr>
              <w:jc w:val="right"/>
            </w:pPr>
            <w:r>
              <w:rPr>
                <w:sz w:val="18"/>
              </w:rPr>
              <w:t>16.60</w:t>
            </w:r>
          </w:p>
        </w:tc>
        <w:tc>
          <w:tcPr>
            <w:tcW w:type="dxa" w:w="964"/>
          </w:tcPr>
          <w:p>
            <w:pPr>
              <w:jc w:val="right"/>
            </w:pPr>
            <w:r>
              <w:rPr>
                <w:sz w:val="18"/>
              </w:rPr>
              <w:t>17.09</w:t>
            </w:r>
          </w:p>
        </w:tc>
        <w:tc>
          <w:tcPr>
            <w:tcW w:type="dxa" w:w="964"/>
          </w:tcPr>
          <w:p>
            <w:pPr>
              <w:jc w:val="right"/>
            </w:pPr>
            <w:r>
              <w:rPr>
                <w:sz w:val="18"/>
              </w:rPr>
              <w:t>16.63</w:t>
            </w:r>
          </w:p>
        </w:tc>
        <w:tc>
          <w:tcPr>
            <w:tcW w:type="dxa" w:w="964"/>
          </w:tcPr>
          <w:p>
            <w:pPr>
              <w:jc w:val="right"/>
            </w:pPr>
            <w:r>
              <w:rPr>
                <w:sz w:val="18"/>
              </w:rPr>
              <w:t>15.89</w:t>
            </w:r>
          </w:p>
        </w:tc>
      </w:tr>
      <w:tr>
        <w:tc>
          <w:tcPr>
            <w:tcW w:type="dxa" w:w="2438"/>
          </w:tcPr>
          <w:p>
            <w:r>
              <w:rPr>
                <w:sz w:val="18"/>
              </w:rPr>
              <w:t>CO2 (Mt)</w:t>
            </w:r>
          </w:p>
        </w:tc>
        <w:tc>
          <w:tcPr>
            <w:tcW w:type="dxa" w:w="964"/>
          </w:tcPr>
          <w:p>
            <w:pPr>
              <w:jc w:val="right"/>
            </w:pPr>
            <w:r>
              <w:rPr>
                <w:sz w:val="18"/>
              </w:rPr>
              <w:t>4.27</w:t>
            </w:r>
          </w:p>
        </w:tc>
        <w:tc>
          <w:tcPr>
            <w:tcW w:type="dxa" w:w="964"/>
          </w:tcPr>
          <w:p>
            <w:pPr>
              <w:jc w:val="right"/>
            </w:pPr>
            <w:r>
              <w:rPr>
                <w:sz w:val="18"/>
              </w:rPr>
              <w:t>3.78</w:t>
            </w:r>
          </w:p>
        </w:tc>
        <w:tc>
          <w:tcPr>
            <w:tcW w:type="dxa" w:w="964"/>
          </w:tcPr>
          <w:p>
            <w:pPr>
              <w:jc w:val="right"/>
            </w:pPr>
            <w:r>
              <w:rPr>
                <w:sz w:val="18"/>
              </w:rPr>
              <w:t>3.53</w:t>
            </w:r>
          </w:p>
        </w:tc>
        <w:tc>
          <w:tcPr>
            <w:tcW w:type="dxa" w:w="964"/>
          </w:tcPr>
          <w:p>
            <w:pPr>
              <w:jc w:val="right"/>
            </w:pPr>
            <w:r>
              <w:rPr>
                <w:sz w:val="18"/>
              </w:rPr>
              <w:t>3.29</w:t>
            </w:r>
          </w:p>
        </w:tc>
        <w:tc>
          <w:tcPr>
            <w:tcW w:type="dxa" w:w="964"/>
          </w:tcPr>
          <w:p>
            <w:pPr>
              <w:jc w:val="right"/>
            </w:pPr>
            <w:r>
              <w:rPr>
                <w:sz w:val="18"/>
              </w:rPr>
              <w:t>3.38</w:t>
            </w:r>
          </w:p>
        </w:tc>
        <w:tc>
          <w:tcPr>
            <w:tcW w:type="dxa" w:w="964"/>
          </w:tcPr>
          <w:p>
            <w:pPr>
              <w:jc w:val="right"/>
            </w:pPr>
            <w:r>
              <w:rPr>
                <w:sz w:val="18"/>
              </w:rPr>
              <w:t>3.29</w:t>
            </w:r>
          </w:p>
        </w:tc>
        <w:tc>
          <w:tcPr>
            <w:tcW w:type="dxa" w:w="964"/>
          </w:tcPr>
          <w:p>
            <w:pPr>
              <w:jc w:val="right"/>
            </w:pPr>
            <w:r>
              <w:rPr>
                <w:sz w:val="18"/>
              </w:rPr>
              <w:t>3.15</w:t>
            </w:r>
          </w:p>
        </w:tc>
      </w:tr>
      <w:tr>
        <w:tc>
          <w:tcPr>
            <w:tcW w:type="dxa" w:w="2438"/>
          </w:tcPr>
          <w:p>
            <w:r>
              <w:rPr>
                <w:sz w:val="18"/>
              </w:rPr>
              <w:t>Renewable share</w:t>
            </w:r>
          </w:p>
        </w:tc>
        <w:tc>
          <w:tcPr>
            <w:tcW w:type="dxa" w:w="964"/>
          </w:tcPr>
          <w:p>
            <w:pPr>
              <w:jc w:val="right"/>
            </w:pPr>
            <w:r>
              <w:rPr>
                <w:sz w:val="18"/>
              </w:rPr>
              <w:t>56%</w:t>
            </w:r>
          </w:p>
        </w:tc>
        <w:tc>
          <w:tcPr>
            <w:tcW w:type="dxa" w:w="964"/>
          </w:tcPr>
          <w:p>
            <w:pPr>
              <w:jc w:val="right"/>
            </w:pPr>
            <w:r>
              <w:rPr>
                <w:sz w:val="18"/>
              </w:rPr>
              <w:t>56%</w:t>
            </w:r>
          </w:p>
        </w:tc>
        <w:tc>
          <w:tcPr>
            <w:tcW w:type="dxa" w:w="964"/>
          </w:tcPr>
          <w:p>
            <w:pPr>
              <w:jc w:val="right"/>
            </w:pPr>
            <w:r>
              <w:rPr>
                <w:sz w:val="18"/>
              </w:rPr>
              <w:t>56%</w:t>
            </w:r>
          </w:p>
        </w:tc>
        <w:tc>
          <w:tcPr>
            <w:tcW w:type="dxa" w:w="964"/>
          </w:tcPr>
          <w:p>
            <w:pPr>
              <w:jc w:val="right"/>
            </w:pPr>
            <w:r>
              <w:rPr>
                <w:sz w:val="18"/>
              </w:rPr>
              <w:t>56%</w:t>
            </w:r>
          </w:p>
        </w:tc>
        <w:tc>
          <w:tcPr>
            <w:tcW w:type="dxa" w:w="964"/>
          </w:tcPr>
          <w:p>
            <w:pPr>
              <w:jc w:val="right"/>
            </w:pPr>
            <w:r>
              <w:rPr>
                <w:sz w:val="18"/>
              </w:rPr>
              <w:t>57%</w:t>
            </w:r>
          </w:p>
        </w:tc>
        <w:tc>
          <w:tcPr>
            <w:tcW w:type="dxa" w:w="964"/>
          </w:tcPr>
          <w:p>
            <w:pPr>
              <w:jc w:val="right"/>
            </w:pPr>
            <w:r>
              <w:rPr>
                <w:sz w:val="18"/>
              </w:rPr>
              <w:t>58%</w:t>
            </w:r>
          </w:p>
        </w:tc>
        <w:tc>
          <w:tcPr>
            <w:tcW w:type="dxa" w:w="964"/>
          </w:tcPr>
          <w:p>
            <w:pPr>
              <w:jc w:val="right"/>
            </w:pPr>
            <w:r>
              <w:rPr>
                <w:sz w:val="18"/>
              </w:rPr>
              <w:t>60%</w:t>
            </w:r>
          </w:p>
        </w:tc>
      </w:tr>
      <w:tr>
        <w:tc>
          <w:tcPr>
            <w:tcW w:type="dxa" w:w="2438"/>
          </w:tcPr>
          <w:p>
            <w:r>
              <w:rPr>
                <w:sz w:val="18"/>
              </w:rPr>
              <w:t>System cost (M EUR/yr)</w:t>
            </w:r>
          </w:p>
        </w:tc>
        <w:tc>
          <w:tcPr>
            <w:tcW w:type="dxa" w:w="964"/>
          </w:tcPr>
          <w:p>
            <w:pPr>
              <w:jc w:val="right"/>
            </w:pPr>
            <w:r>
              <w:rPr>
                <w:sz w:val="18"/>
              </w:rPr>
              <w:t>1,327</w:t>
            </w:r>
          </w:p>
        </w:tc>
        <w:tc>
          <w:tcPr>
            <w:tcW w:type="dxa" w:w="964"/>
          </w:tcPr>
          <w:p>
            <w:pPr>
              <w:jc w:val="right"/>
            </w:pPr>
            <w:r>
              <w:rPr>
                <w:sz w:val="18"/>
              </w:rPr>
              <w:t>1,157</w:t>
            </w:r>
          </w:p>
        </w:tc>
        <w:tc>
          <w:tcPr>
            <w:tcW w:type="dxa" w:w="964"/>
          </w:tcPr>
          <w:p>
            <w:pPr>
              <w:jc w:val="right"/>
            </w:pPr>
            <w:r>
              <w:rPr>
                <w:sz w:val="18"/>
              </w:rPr>
              <w:t>1,084</w:t>
            </w:r>
          </w:p>
        </w:tc>
        <w:tc>
          <w:tcPr>
            <w:tcW w:type="dxa" w:w="964"/>
          </w:tcPr>
          <w:p>
            <w:pPr>
              <w:jc w:val="right"/>
            </w:pPr>
            <w:r>
              <w:rPr>
                <w:sz w:val="18"/>
              </w:rPr>
              <w:t>1,012</w:t>
            </w:r>
          </w:p>
        </w:tc>
        <w:tc>
          <w:tcPr>
            <w:tcW w:type="dxa" w:w="964"/>
          </w:tcPr>
          <w:p>
            <w:pPr>
              <w:jc w:val="right"/>
            </w:pPr>
            <w:r>
              <w:rPr>
                <w:sz w:val="18"/>
              </w:rPr>
              <w:t>1,073</w:t>
            </w:r>
          </w:p>
        </w:tc>
        <w:tc>
          <w:tcPr>
            <w:tcW w:type="dxa" w:w="964"/>
          </w:tcPr>
          <w:p>
            <w:pPr>
              <w:jc w:val="right"/>
            </w:pPr>
            <w:r>
              <w:rPr>
                <w:sz w:val="18"/>
              </w:rPr>
              <w:t>1,062</w:t>
            </w:r>
          </w:p>
        </w:tc>
        <w:tc>
          <w:tcPr>
            <w:tcW w:type="dxa" w:w="964"/>
          </w:tcPr>
          <w:p>
            <w:pPr>
              <w:jc w:val="right"/>
            </w:pPr>
            <w:r>
              <w:rPr>
                <w:sz w:val="18"/>
              </w:rPr>
              <w:t>1,045</w:t>
            </w:r>
          </w:p>
        </w:tc>
      </w:tr>
      <w:tr>
        <w:tc>
          <w:tcPr>
            <w:tcW w:type="dxa" w:w="2438"/>
          </w:tcPr>
          <w:p>
            <w:r>
              <w:rPr>
                <w:sz w:val="18"/>
              </w:rPr>
              <w:t>Average price (EUR/MWh)</w:t>
            </w:r>
          </w:p>
        </w:tc>
        <w:tc>
          <w:tcPr>
            <w:tcW w:type="dxa" w:w="964"/>
          </w:tcPr>
          <w:p>
            <w:pPr>
              <w:jc w:val="right"/>
            </w:pPr>
            <w:r>
              <w:rPr>
                <w:sz w:val="18"/>
              </w:rPr>
              <w:t>54.7</w:t>
            </w:r>
          </w:p>
        </w:tc>
        <w:tc>
          <w:tcPr>
            <w:tcW w:type="dxa" w:w="964"/>
          </w:tcPr>
          <w:p>
            <w:pPr>
              <w:jc w:val="right"/>
            </w:pPr>
            <w:r>
              <w:rPr>
                <w:sz w:val="18"/>
              </w:rPr>
              <w:t>54.2</w:t>
            </w:r>
          </w:p>
        </w:tc>
        <w:tc>
          <w:tcPr>
            <w:tcW w:type="dxa" w:w="964"/>
          </w:tcPr>
          <w:p>
            <w:pPr>
              <w:jc w:val="right"/>
            </w:pPr>
            <w:r>
              <w:rPr>
                <w:sz w:val="18"/>
              </w:rPr>
              <w:t>53.5</w:t>
            </w:r>
          </w:p>
        </w:tc>
        <w:tc>
          <w:tcPr>
            <w:tcW w:type="dxa" w:w="964"/>
          </w:tcPr>
          <w:p>
            <w:pPr>
              <w:jc w:val="right"/>
            </w:pPr>
            <w:r>
              <w:rPr>
                <w:sz w:val="18"/>
              </w:rPr>
              <w:t>52.8</w:t>
            </w:r>
          </w:p>
        </w:tc>
        <w:tc>
          <w:tcPr>
            <w:tcW w:type="dxa" w:w="964"/>
          </w:tcPr>
          <w:p>
            <w:pPr>
              <w:jc w:val="right"/>
            </w:pPr>
            <w:r>
              <w:rPr>
                <w:sz w:val="18"/>
              </w:rPr>
              <w:t>53.1</w:t>
            </w:r>
          </w:p>
        </w:tc>
        <w:tc>
          <w:tcPr>
            <w:tcW w:type="dxa" w:w="964"/>
          </w:tcPr>
          <w:p>
            <w:pPr>
              <w:jc w:val="right"/>
            </w:pPr>
            <w:r>
              <w:rPr>
                <w:sz w:val="18"/>
              </w:rPr>
              <w:t>52.5</w:t>
            </w:r>
          </w:p>
        </w:tc>
        <w:tc>
          <w:tcPr>
            <w:tcW w:type="dxa" w:w="964"/>
          </w:tcPr>
          <w:p>
            <w:pPr>
              <w:jc w:val="right"/>
            </w:pPr>
            <w:r>
              <w:rPr>
                <w:sz w:val="18"/>
              </w:rPr>
              <w:t>51.9</w:t>
            </w:r>
          </w:p>
        </w:tc>
      </w:tr>
    </w:tbl>
    <w:p/>
    <w:p>
      <w:r>
        <w:drawing>
          <wp:inline xmlns:a="http://schemas.openxmlformats.org/drawingml/2006/main" xmlns:pic="http://schemas.openxmlformats.org/drawingml/2006/picture">
            <wp:extent cx="5760000" cy="2618182"/>
            <wp:docPr id="1" name="Picture 1"/>
            <wp:cNvGraphicFramePr>
              <a:graphicFrameLocks noChangeAspect="1"/>
            </wp:cNvGraphicFramePr>
            <a:graphic>
              <a:graphicData uri="http://schemas.openxmlformats.org/drawingml/2006/picture">
                <pic:pic>
                  <pic:nvPicPr>
                    <pic:cNvPr id="0" name="1_capacity_mix.png"/>
                    <pic:cNvPicPr/>
                  </pic:nvPicPr>
                  <pic:blipFill>
                    <a:blip r:embed="rId9"/>
                    <a:stretch>
                      <a:fillRect/>
                    </a:stretch>
                  </pic:blipFill>
                  <pic:spPr>
                    <a:xfrm>
                      <a:off x="0" y="0"/>
                      <a:ext cx="5760000" cy="2618182"/>
                    </a:xfrm>
                    <a:prstGeom prst="rect"/>
                  </pic:spPr>
                </pic:pic>
              </a:graphicData>
            </a:graphic>
          </wp:inline>
        </w:drawing>
      </w:r>
    </w:p>
    <w:p>
      <w:r>
        <w:rPr>
          <w:i/>
          <w:color w:val="52514E"/>
          <w:sz w:val="18"/>
        </w:rPr>
        <w:t>Figure 1. Installed capacity in 2030 by scenario.</w:t>
      </w:r>
    </w:p>
    <w:p>
      <w:r>
        <w:drawing>
          <wp:inline xmlns:a="http://schemas.openxmlformats.org/drawingml/2006/main" xmlns:pic="http://schemas.openxmlformats.org/drawingml/2006/picture">
            <wp:extent cx="5760000" cy="2356364"/>
            <wp:docPr id="2" name="Picture 2"/>
            <wp:cNvGraphicFramePr>
              <a:graphicFrameLocks noChangeAspect="1"/>
            </wp:cNvGraphicFramePr>
            <a:graphic>
              <a:graphicData uri="http://schemas.openxmlformats.org/drawingml/2006/picture">
                <pic:pic>
                  <pic:nvPicPr>
                    <pic:cNvPr id="0" name="3_gas_use.png"/>
                    <pic:cNvPicPr/>
                  </pic:nvPicPr>
                  <pic:blipFill>
                    <a:blip r:embed="rId10"/>
                    <a:stretch>
                      <a:fillRect/>
                    </a:stretch>
                  </pic:blipFill>
                  <pic:spPr>
                    <a:xfrm>
                      <a:off x="0" y="0"/>
                      <a:ext cx="5760000" cy="2356364"/>
                    </a:xfrm>
                    <a:prstGeom prst="rect"/>
                  </pic:spPr>
                </pic:pic>
              </a:graphicData>
            </a:graphic>
          </wp:inline>
        </w:drawing>
      </w:r>
    </w:p>
    <w:p>
      <w:r>
        <w:rPr>
          <w:i/>
          <w:color w:val="52514E"/>
          <w:sz w:val="18"/>
        </w:rPr>
        <w:t>Figure 2. Gas burnt for power in 2030 by scenario.</w:t>
      </w:r>
    </w:p>
    <w:p>
      <w:pPr>
        <w:pStyle w:val="Heading2"/>
      </w:pPr>
      <w:r>
        <w:t>3.2 What one MWh saved avoids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474"/>
          </w:tcPr>
          <w:p>
            <w:r>
              <w:rPr>
                <w:sz w:val="18"/>
              </w:rPr>
            </w:r>
            <w:r>
              <w:rPr>
                <w:b/>
                <w:sz w:val="18"/>
              </w:rPr>
              <w:t>Scenario</w:t>
            </w:r>
          </w:p>
        </w:tc>
        <w:tc>
          <w:tcPr>
            <w:tcW w:type="dxa" w:w="1361"/>
          </w:tcPr>
          <w:p>
            <w:r>
              <w:rPr>
                <w:sz w:val="18"/>
              </w:rPr>
            </w:r>
            <w:r>
              <w:rPr>
                <w:b/>
                <w:sz w:val="18"/>
              </w:rPr>
              <w:t>vs</w:t>
            </w:r>
          </w:p>
        </w:tc>
        <w:tc>
          <w:tcPr>
            <w:tcW w:type="dxa" w:w="1474"/>
          </w:tcPr>
          <w:p>
            <w:r>
              <w:rPr>
                <w:sz w:val="18"/>
              </w:rPr>
            </w:r>
            <w:r>
              <w:rPr>
                <w:b/>
                <w:sz w:val="18"/>
              </w:rPr>
              <w:t>Cost (EUR/MWh)</w:t>
            </w:r>
          </w:p>
        </w:tc>
        <w:tc>
          <w:tcPr>
            <w:tcW w:type="dxa" w:w="1361"/>
          </w:tcPr>
          <w:p>
            <w:r>
              <w:rPr>
                <w:sz w:val="18"/>
              </w:rPr>
            </w:r>
            <w:r>
              <w:rPr>
                <w:b/>
                <w:sz w:val="18"/>
              </w:rPr>
              <w:t>CO2 (t/MWh)</w:t>
            </w:r>
          </w:p>
        </w:tc>
        <w:tc>
          <w:tcPr>
            <w:tcW w:type="dxa" w:w="1474"/>
          </w:tcPr>
          <w:p>
            <w:r>
              <w:rPr>
                <w:sz w:val="18"/>
              </w:rPr>
            </w:r>
            <w:r>
              <w:rPr>
                <w:b/>
                <w:sz w:val="18"/>
              </w:rPr>
              <w:t>Gas (MWh/MWh)</w:t>
            </w:r>
          </w:p>
        </w:tc>
        <w:tc>
          <w:tcPr>
            <w:tcW w:type="dxa" w:w="1928"/>
          </w:tcPr>
          <w:p>
            <w:r>
              <w:rPr>
                <w:sz w:val="18"/>
              </w:rPr>
            </w:r>
            <w:r>
              <w:rPr>
                <w:b/>
                <w:sz w:val="18"/>
              </w:rPr>
              <w:t>Capacity (MW per TWh)</w:t>
            </w:r>
          </w:p>
        </w:tc>
      </w:tr>
      <w:tr>
        <w:tc>
          <w:tcPr>
            <w:tcW w:type="dxa" w:w="1474"/>
          </w:tcPr>
          <w:p>
            <w:r>
              <w:rPr>
                <w:sz w:val="18"/>
              </w:rPr>
              <w:t>S1-10</w:t>
            </w:r>
          </w:p>
        </w:tc>
        <w:tc>
          <w:tcPr>
            <w:tcW w:type="dxa" w:w="1361"/>
          </w:tcPr>
          <w:p>
            <w:pPr>
              <w:jc w:val="right"/>
            </w:pPr>
            <w:r>
              <w:rPr>
                <w:sz w:val="18"/>
              </w:rPr>
              <w:t>S0</w:t>
            </w:r>
          </w:p>
        </w:tc>
        <w:tc>
          <w:tcPr>
            <w:tcW w:type="dxa" w:w="1474"/>
          </w:tcPr>
          <w:p>
            <w:pPr>
              <w:jc w:val="right"/>
            </w:pPr>
            <w:r>
              <w:rPr>
                <w:sz w:val="18"/>
              </w:rPr>
              <w:t>62.6</w:t>
            </w:r>
          </w:p>
        </w:tc>
        <w:tc>
          <w:tcPr>
            <w:tcW w:type="dxa" w:w="1361"/>
          </w:tcPr>
          <w:p>
            <w:pPr>
              <w:jc w:val="right"/>
            </w:pPr>
            <w:r>
              <w:rPr>
                <w:sz w:val="18"/>
              </w:rPr>
              <w:t>0.18</w:t>
            </w:r>
          </w:p>
        </w:tc>
        <w:tc>
          <w:tcPr>
            <w:tcW w:type="dxa" w:w="1474"/>
          </w:tcPr>
          <w:p>
            <w:pPr>
              <w:jc w:val="right"/>
            </w:pPr>
            <w:r>
              <w:rPr>
                <w:sz w:val="18"/>
              </w:rPr>
              <w:t>0.90</w:t>
            </w:r>
          </w:p>
        </w:tc>
        <w:tc>
          <w:tcPr>
            <w:tcW w:type="dxa" w:w="1928"/>
          </w:tcPr>
          <w:p>
            <w:pPr>
              <w:jc w:val="right"/>
            </w:pPr>
            <w:r>
              <w:rPr>
                <w:sz w:val="18"/>
              </w:rPr>
              <w:t>507</w:t>
            </w:r>
          </w:p>
        </w:tc>
      </w:tr>
      <w:tr>
        <w:tc>
          <w:tcPr>
            <w:tcW w:type="dxa" w:w="1474"/>
          </w:tcPr>
          <w:p>
            <w:r>
              <w:rPr>
                <w:sz w:val="18"/>
              </w:rPr>
              <w:t>S1-15</w:t>
            </w:r>
          </w:p>
        </w:tc>
        <w:tc>
          <w:tcPr>
            <w:tcW w:type="dxa" w:w="1361"/>
          </w:tcPr>
          <w:p>
            <w:pPr>
              <w:jc w:val="right"/>
            </w:pPr>
            <w:r>
              <w:rPr>
                <w:sz w:val="18"/>
              </w:rPr>
              <w:t>S0</w:t>
            </w:r>
          </w:p>
        </w:tc>
        <w:tc>
          <w:tcPr>
            <w:tcW w:type="dxa" w:w="1474"/>
          </w:tcPr>
          <w:p>
            <w:pPr>
              <w:jc w:val="right"/>
            </w:pPr>
            <w:r>
              <w:rPr>
                <w:sz w:val="18"/>
              </w:rPr>
              <w:t>59.6</w:t>
            </w:r>
          </w:p>
        </w:tc>
        <w:tc>
          <w:tcPr>
            <w:tcW w:type="dxa" w:w="1361"/>
          </w:tcPr>
          <w:p>
            <w:pPr>
              <w:jc w:val="right"/>
            </w:pPr>
            <w:r>
              <w:rPr>
                <w:sz w:val="18"/>
              </w:rPr>
              <w:t>0.18</w:t>
            </w:r>
          </w:p>
        </w:tc>
        <w:tc>
          <w:tcPr>
            <w:tcW w:type="dxa" w:w="1474"/>
          </w:tcPr>
          <w:p>
            <w:pPr>
              <w:jc w:val="right"/>
            </w:pPr>
            <w:r>
              <w:rPr>
                <w:sz w:val="18"/>
              </w:rPr>
              <w:t>0.91</w:t>
            </w:r>
          </w:p>
        </w:tc>
        <w:tc>
          <w:tcPr>
            <w:tcW w:type="dxa" w:w="1928"/>
          </w:tcPr>
          <w:p>
            <w:pPr>
              <w:jc w:val="right"/>
            </w:pPr>
            <w:r>
              <w:rPr>
                <w:sz w:val="18"/>
              </w:rPr>
              <w:t>449</w:t>
            </w:r>
          </w:p>
        </w:tc>
      </w:tr>
      <w:tr>
        <w:tc>
          <w:tcPr>
            <w:tcW w:type="dxa" w:w="1474"/>
          </w:tcPr>
          <w:p>
            <w:r>
              <w:rPr>
                <w:sz w:val="18"/>
              </w:rPr>
              <w:t>S1-20</w:t>
            </w:r>
          </w:p>
        </w:tc>
        <w:tc>
          <w:tcPr>
            <w:tcW w:type="dxa" w:w="1361"/>
          </w:tcPr>
          <w:p>
            <w:pPr>
              <w:jc w:val="right"/>
            </w:pPr>
            <w:r>
              <w:rPr>
                <w:sz w:val="18"/>
              </w:rPr>
              <w:t>S0</w:t>
            </w:r>
          </w:p>
        </w:tc>
        <w:tc>
          <w:tcPr>
            <w:tcW w:type="dxa" w:w="1474"/>
          </w:tcPr>
          <w:p>
            <w:pPr>
              <w:jc w:val="right"/>
            </w:pPr>
            <w:r>
              <w:rPr>
                <w:sz w:val="18"/>
              </w:rPr>
              <w:t>58.0</w:t>
            </w:r>
          </w:p>
        </w:tc>
        <w:tc>
          <w:tcPr>
            <w:tcW w:type="dxa" w:w="1361"/>
          </w:tcPr>
          <w:p>
            <w:pPr>
              <w:jc w:val="right"/>
            </w:pPr>
            <w:r>
              <w:rPr>
                <w:sz w:val="18"/>
              </w:rPr>
              <w:t>0.18</w:t>
            </w:r>
          </w:p>
        </w:tc>
        <w:tc>
          <w:tcPr>
            <w:tcW w:type="dxa" w:w="1474"/>
          </w:tcPr>
          <w:p>
            <w:pPr>
              <w:jc w:val="right"/>
            </w:pPr>
            <w:r>
              <w:rPr>
                <w:sz w:val="18"/>
              </w:rPr>
              <w:t>0.91</w:t>
            </w:r>
          </w:p>
        </w:tc>
        <w:tc>
          <w:tcPr>
            <w:tcW w:type="dxa" w:w="1928"/>
          </w:tcPr>
          <w:p>
            <w:pPr>
              <w:jc w:val="right"/>
            </w:pPr>
            <w:r>
              <w:rPr>
                <w:sz w:val="18"/>
              </w:rPr>
              <w:t>422</w:t>
            </w:r>
          </w:p>
        </w:tc>
      </w:tr>
      <w:tr>
        <w:tc>
          <w:tcPr>
            <w:tcW w:type="dxa" w:w="1474"/>
          </w:tcPr>
          <w:p>
            <w:r>
              <w:rPr>
                <w:sz w:val="18"/>
              </w:rPr>
              <w:t>S1-15C</w:t>
            </w:r>
          </w:p>
        </w:tc>
        <w:tc>
          <w:tcPr>
            <w:tcW w:type="dxa" w:w="1361"/>
          </w:tcPr>
          <w:p>
            <w:pPr>
              <w:jc w:val="right"/>
            </w:pPr>
            <w:r>
              <w:rPr>
                <w:sz w:val="18"/>
              </w:rPr>
              <w:t>S0</w:t>
            </w:r>
          </w:p>
        </w:tc>
        <w:tc>
          <w:tcPr>
            <w:tcW w:type="dxa" w:w="1474"/>
          </w:tcPr>
          <w:p>
            <w:pPr>
              <w:jc w:val="right"/>
            </w:pPr>
            <w:r>
              <w:rPr>
                <w:sz w:val="18"/>
              </w:rPr>
              <w:t>62.4</w:t>
            </w:r>
          </w:p>
        </w:tc>
        <w:tc>
          <w:tcPr>
            <w:tcW w:type="dxa" w:w="1361"/>
          </w:tcPr>
          <w:p>
            <w:pPr>
              <w:jc w:val="right"/>
            </w:pPr>
            <w:r>
              <w:rPr>
                <w:sz w:val="18"/>
              </w:rPr>
              <w:t>0.22</w:t>
            </w:r>
          </w:p>
        </w:tc>
        <w:tc>
          <w:tcPr>
            <w:tcW w:type="dxa" w:w="1474"/>
          </w:tcPr>
          <w:p>
            <w:pPr>
              <w:jc w:val="right"/>
            </w:pPr>
            <w:r>
              <w:rPr>
                <w:sz w:val="18"/>
              </w:rPr>
              <w:t>1.09</w:t>
            </w:r>
          </w:p>
        </w:tc>
        <w:tc>
          <w:tcPr>
            <w:tcW w:type="dxa" w:w="1928"/>
          </w:tcPr>
          <w:p>
            <w:pPr>
              <w:jc w:val="right"/>
            </w:pPr>
            <w:r>
              <w:rPr>
                <w:sz w:val="18"/>
              </w:rPr>
              <w:t>446</w:t>
            </w:r>
          </w:p>
        </w:tc>
      </w:tr>
      <w:tr>
        <w:tc>
          <w:tcPr>
            <w:tcW w:type="dxa" w:w="1474"/>
          </w:tcPr>
          <w:p>
            <w:r>
              <w:rPr>
                <w:sz w:val="18"/>
              </w:rPr>
              <w:t>S2-300</w:t>
            </w:r>
          </w:p>
        </w:tc>
        <w:tc>
          <w:tcPr>
            <w:tcW w:type="dxa" w:w="1361"/>
          </w:tcPr>
          <w:p>
            <w:pPr>
              <w:jc w:val="right"/>
            </w:pPr>
            <w:r>
              <w:rPr>
                <w:sz w:val="18"/>
              </w:rPr>
              <w:t>S0</w:t>
            </w:r>
          </w:p>
        </w:tc>
        <w:tc>
          <w:tcPr>
            <w:tcW w:type="dxa" w:w="1474"/>
          </w:tcPr>
          <w:p>
            <w:pPr>
              <w:jc w:val="right"/>
            </w:pPr>
            <w:r>
              <w:rPr>
                <w:sz w:val="18"/>
              </w:rPr>
              <w:t>65.0</w:t>
            </w:r>
          </w:p>
        </w:tc>
        <w:tc>
          <w:tcPr>
            <w:tcW w:type="dxa" w:w="1361"/>
          </w:tcPr>
          <w:p>
            <w:pPr>
              <w:jc w:val="right"/>
            </w:pPr>
            <w:r>
              <w:rPr>
                <w:sz w:val="18"/>
              </w:rPr>
              <w:t>0.24</w:t>
            </w:r>
          </w:p>
        </w:tc>
        <w:tc>
          <w:tcPr>
            <w:tcW w:type="dxa" w:w="1474"/>
          </w:tcPr>
          <w:p>
            <w:pPr>
              <w:jc w:val="right"/>
            </w:pPr>
            <w:r>
              <w:rPr>
                <w:sz w:val="18"/>
              </w:rPr>
              <w:t>1.21</w:t>
            </w:r>
          </w:p>
        </w:tc>
        <w:tc>
          <w:tcPr>
            <w:tcW w:type="dxa" w:w="1928"/>
          </w:tcPr>
          <w:p>
            <w:pPr>
              <w:jc w:val="right"/>
            </w:pPr>
            <w:r>
              <w:rPr>
                <w:sz w:val="18"/>
              </w:rPr>
              <w:t>341</w:t>
            </w:r>
          </w:p>
        </w:tc>
      </w:tr>
      <w:tr>
        <w:tc>
          <w:tcPr>
            <w:tcW w:type="dxa" w:w="1474"/>
          </w:tcPr>
          <w:p>
            <w:r>
              <w:rPr>
                <w:sz w:val="18"/>
              </w:rPr>
              <w:t>S2-600</w:t>
            </w:r>
          </w:p>
        </w:tc>
        <w:tc>
          <w:tcPr>
            <w:tcW w:type="dxa" w:w="1361"/>
          </w:tcPr>
          <w:p>
            <w:pPr>
              <w:jc w:val="right"/>
            </w:pPr>
            <w:r>
              <w:rPr>
                <w:sz w:val="18"/>
              </w:rPr>
              <w:t>S0</w:t>
            </w:r>
          </w:p>
        </w:tc>
        <w:tc>
          <w:tcPr>
            <w:tcW w:type="dxa" w:w="1474"/>
          </w:tcPr>
          <w:p>
            <w:pPr>
              <w:jc w:val="right"/>
            </w:pPr>
            <w:r>
              <w:rPr>
                <w:sz w:val="18"/>
              </w:rPr>
              <w:t>69.2</w:t>
            </w:r>
          </w:p>
        </w:tc>
        <w:tc>
          <w:tcPr>
            <w:tcW w:type="dxa" w:w="1361"/>
          </w:tcPr>
          <w:p>
            <w:pPr>
              <w:jc w:val="right"/>
            </w:pPr>
            <w:r>
              <w:rPr>
                <w:sz w:val="18"/>
              </w:rPr>
              <w:t>0.27</w:t>
            </w:r>
          </w:p>
        </w:tc>
        <w:tc>
          <w:tcPr>
            <w:tcW w:type="dxa" w:w="1474"/>
          </w:tcPr>
          <w:p>
            <w:pPr>
              <w:jc w:val="right"/>
            </w:pPr>
            <w:r>
              <w:rPr>
                <w:sz w:val="18"/>
              </w:rPr>
              <w:t>1.39</w:t>
            </w:r>
          </w:p>
        </w:tc>
        <w:tc>
          <w:tcPr>
            <w:tcW w:type="dxa" w:w="1928"/>
          </w:tcPr>
          <w:p>
            <w:pPr>
              <w:jc w:val="right"/>
            </w:pPr>
            <w:r>
              <w:rPr>
                <w:sz w:val="18"/>
              </w:rPr>
              <w:t>255</w:t>
            </w:r>
          </w:p>
        </w:tc>
      </w:tr>
      <w:tr>
        <w:tc>
          <w:tcPr>
            <w:tcW w:type="dxa" w:w="1474"/>
          </w:tcPr>
          <w:p>
            <w:r>
              <w:rPr>
                <w:sz w:val="18"/>
              </w:rPr>
              <w:t>G-lo-S1-15</w:t>
            </w:r>
          </w:p>
        </w:tc>
        <w:tc>
          <w:tcPr>
            <w:tcW w:type="dxa" w:w="1361"/>
          </w:tcPr>
          <w:p>
            <w:pPr>
              <w:jc w:val="right"/>
            </w:pPr>
            <w:r>
              <w:rPr>
                <w:sz w:val="18"/>
              </w:rPr>
              <w:t>G-lo-S0</w:t>
            </w:r>
          </w:p>
        </w:tc>
        <w:tc>
          <w:tcPr>
            <w:tcW w:type="dxa" w:w="1474"/>
          </w:tcPr>
          <w:p>
            <w:pPr>
              <w:jc w:val="right"/>
            </w:pPr>
            <w:r>
              <w:rPr>
                <w:sz w:val="18"/>
              </w:rPr>
              <w:t>43.0</w:t>
            </w:r>
          </w:p>
        </w:tc>
        <w:tc>
          <w:tcPr>
            <w:tcW w:type="dxa" w:w="1361"/>
          </w:tcPr>
          <w:p>
            <w:pPr>
              <w:jc w:val="right"/>
            </w:pPr>
            <w:r>
              <w:rPr>
                <w:sz w:val="18"/>
              </w:rPr>
              <w:t>0.28</w:t>
            </w:r>
          </w:p>
        </w:tc>
        <w:tc>
          <w:tcPr>
            <w:tcW w:type="dxa" w:w="1474"/>
          </w:tcPr>
          <w:p>
            <w:pPr>
              <w:jc w:val="right"/>
            </w:pPr>
            <w:r>
              <w:rPr>
                <w:sz w:val="18"/>
              </w:rPr>
              <w:t>1.42</w:t>
            </w:r>
          </w:p>
        </w:tc>
        <w:tc>
          <w:tcPr>
            <w:tcW w:type="dxa" w:w="1928"/>
          </w:tcPr>
          <w:p>
            <w:pPr>
              <w:jc w:val="right"/>
            </w:pPr>
            <w:r>
              <w:rPr>
                <w:sz w:val="18"/>
              </w:rPr>
              <w:t>348</w:t>
            </w:r>
          </w:p>
        </w:tc>
      </w:tr>
      <w:tr>
        <w:tc>
          <w:tcPr>
            <w:tcW w:type="dxa" w:w="1474"/>
          </w:tcPr>
          <w:p>
            <w:r>
              <w:rPr>
                <w:sz w:val="18"/>
              </w:rPr>
              <w:t>G-hi-S1-15</w:t>
            </w:r>
          </w:p>
        </w:tc>
        <w:tc>
          <w:tcPr>
            <w:tcW w:type="dxa" w:w="1361"/>
          </w:tcPr>
          <w:p>
            <w:pPr>
              <w:jc w:val="right"/>
            </w:pPr>
            <w:r>
              <w:rPr>
                <w:sz w:val="18"/>
              </w:rPr>
              <w:t>G-hi-S0</w:t>
            </w:r>
          </w:p>
        </w:tc>
        <w:tc>
          <w:tcPr>
            <w:tcW w:type="dxa" w:w="1474"/>
          </w:tcPr>
          <w:p>
            <w:pPr>
              <w:jc w:val="right"/>
            </w:pPr>
            <w:r>
              <w:rPr>
                <w:sz w:val="18"/>
              </w:rPr>
              <w:t>70.1</w:t>
            </w:r>
          </w:p>
        </w:tc>
        <w:tc>
          <w:tcPr>
            <w:tcW w:type="dxa" w:w="1361"/>
          </w:tcPr>
          <w:p>
            <w:pPr>
              <w:jc w:val="right"/>
            </w:pPr>
            <w:r>
              <w:rPr>
                <w:sz w:val="18"/>
              </w:rPr>
              <w:t>0.11</w:t>
            </w:r>
          </w:p>
        </w:tc>
        <w:tc>
          <w:tcPr>
            <w:tcW w:type="dxa" w:w="1474"/>
          </w:tcPr>
          <w:p>
            <w:pPr>
              <w:jc w:val="right"/>
            </w:pPr>
            <w:r>
              <w:rPr>
                <w:sz w:val="18"/>
              </w:rPr>
              <w:t>0.54</w:t>
            </w:r>
          </w:p>
        </w:tc>
        <w:tc>
          <w:tcPr>
            <w:tcW w:type="dxa" w:w="1928"/>
          </w:tcPr>
          <w:p>
            <w:pPr>
              <w:jc w:val="right"/>
            </w:pPr>
            <w:r>
              <w:rPr>
                <w:sz w:val="18"/>
              </w:rPr>
              <w:t>616</w:t>
            </w:r>
          </w:p>
        </w:tc>
      </w:tr>
    </w:tbl>
    <w:p/>
    <w:p>
      <w:r>
        <w:drawing>
          <wp:inline xmlns:a="http://schemas.openxmlformats.org/drawingml/2006/main" xmlns:pic="http://schemas.openxmlformats.org/drawingml/2006/picture">
            <wp:extent cx="5760000" cy="2215385"/>
            <wp:docPr id="3" name="Picture 3"/>
            <wp:cNvGraphicFramePr>
              <a:graphicFrameLocks noChangeAspect="1"/>
            </wp:cNvGraphicFramePr>
            <a:graphic>
              <a:graphicData uri="http://schemas.openxmlformats.org/drawingml/2006/picture">
                <pic:pic>
                  <pic:nvPicPr>
                    <pic:cNvPr id="0" name="8_avoided_per_mwh.png"/>
                    <pic:cNvPicPr/>
                  </pic:nvPicPr>
                  <pic:blipFill>
                    <a:blip r:embed="rId11"/>
                    <a:stretch>
                      <a:fillRect/>
                    </a:stretch>
                  </pic:blipFill>
                  <pic:spPr>
                    <a:xfrm>
                      <a:off x="0" y="0"/>
                      <a:ext cx="5760000" cy="2215385"/>
                    </a:xfrm>
                    <a:prstGeom prst="rect"/>
                  </pic:spPr>
                </pic:pic>
              </a:graphicData>
            </a:graphic>
          </wp:inline>
        </w:drawing>
      </w:r>
    </w:p>
    <w:p>
      <w:r>
        <w:rPr>
          <w:i/>
          <w:color w:val="52514E"/>
          <w:sz w:val="18"/>
        </w:rPr>
        <w:t>Figure 3. What each MWh saved avoids, against the reference at the same gas price.</w:t>
      </w:r>
    </w:p>
    <w:p>
      <w:pPr>
        <w:pStyle w:val="Heading2"/>
      </w:pPr>
      <w:r>
        <w:t>3.3 Findings</w:t>
      </w:r>
    </w:p>
    <w:p>
      <w:r>
        <w:rPr>
          <w:b/>
        </w:rPr>
        <w:t xml:space="preserve">Efficiency avoids new gas plant. </w:t>
      </w:r>
      <w:r>
        <w:t>The base case needs 423 MW of new gas turbines to keep the reserve margin. A 10% saving lowers the peak enough to avoid all of it, which is why the first 10% saved is worth the most (62.6 EUR/MWh against 59.6 for 15%). Beyond that point, further savings avoid mostly solar and wind that would otherwise be built.</w:t>
      </w:r>
    </w:p>
    <w:p>
      <w:r>
        <w:rPr>
          <w:b/>
        </w:rPr>
        <w:t xml:space="preserve">Timing matters. </w:t>
      </w:r>
      <w:r>
        <w:t>In S1-15C only 39% of the 15% saving fits on the summer cooling load; the rest is an even cut. That is enough to avoid 20% more gas per MWh and 11.5 M EUR per year more than S1-15, because air-conditioning hours are the hours when gas runs.</w:t>
      </w:r>
    </w:p>
    <w:p>
      <w:r>
        <w:drawing>
          <wp:inline xmlns:a="http://schemas.openxmlformats.org/drawingml/2006/main" xmlns:pic="http://schemas.openxmlformats.org/drawingml/2006/picture">
            <wp:extent cx="5760000" cy="1920000"/>
            <wp:docPr id="4" name="Picture 4"/>
            <wp:cNvGraphicFramePr>
              <a:graphicFrameLocks noChangeAspect="1"/>
            </wp:cNvGraphicFramePr>
            <a:graphic>
              <a:graphicData uri="http://schemas.openxmlformats.org/drawingml/2006/picture">
                <pic:pic>
                  <pic:nvPicPr>
                    <pic:cNvPr id="0" name="9_uniform_vs_cooling.png"/>
                    <pic:cNvPicPr/>
                  </pic:nvPicPr>
                  <pic:blipFill>
                    <a:blip r:embed="rId12"/>
                    <a:stretch>
                      <a:fillRect/>
                    </a:stretch>
                  </pic:blipFill>
                  <pic:spPr>
                    <a:xfrm>
                      <a:off x="0" y="0"/>
                      <a:ext cx="5760000" cy="1920000"/>
                    </a:xfrm>
                    <a:prstGeom prst="rect"/>
                  </pic:spPr>
                </pic:pic>
              </a:graphicData>
            </a:graphic>
          </wp:inline>
        </w:drawing>
      </w:r>
    </w:p>
    <w:p>
      <w:r>
        <w:rPr>
          <w:i/>
          <w:color w:val="52514E"/>
          <w:sz w:val="18"/>
        </w:rPr>
        <w:t>Figure 4. The same 15% saved evenly or from cooling first.</w:t>
      </w:r>
    </w:p>
    <w:p>
      <w:r>
        <w:rPr>
          <w:b/>
        </w:rPr>
        <w:t xml:space="preserve">Flexibility adds to efficiency. </w:t>
      </w:r>
      <w:r>
        <w:t>Shifting 300 MW of load saves 22.1 M EUR per year on top of S1-15, about 74,000 EUR per MW per year. The model moves morning and evening load into the midday solar hours, builds more solar and burns less gas. Under the reserve rule, flexibility gets no credit for lowering the peak, so all of this value is energy.</w:t>
      </w:r>
    </w:p>
    <w:p>
      <w:r>
        <w:drawing>
          <wp:inline xmlns:a="http://schemas.openxmlformats.org/drawingml/2006/main" xmlns:pic="http://schemas.openxmlformats.org/drawingml/2006/picture">
            <wp:extent cx="5760000" cy="2304000"/>
            <wp:docPr id="5" name="Picture 5"/>
            <wp:cNvGraphicFramePr>
              <a:graphicFrameLocks noChangeAspect="1"/>
            </wp:cNvGraphicFramePr>
            <a:graphic>
              <a:graphicData uri="http://schemas.openxmlformats.org/drawingml/2006/picture">
                <pic:pic>
                  <pic:nvPicPr>
                    <pic:cNvPr id="0" name="7_dispatch_peak_week.png"/>
                    <pic:cNvPicPr/>
                  </pic:nvPicPr>
                  <pic:blipFill>
                    <a:blip r:embed="rId13"/>
                    <a:stretch>
                      <a:fillRect/>
                    </a:stretch>
                  </pic:blipFill>
                  <pic:spPr>
                    <a:xfrm>
                      <a:off x="0" y="0"/>
                      <a:ext cx="5760000" cy="2304000"/>
                    </a:xfrm>
                    <a:prstGeom prst="rect"/>
                  </pic:spPr>
                </pic:pic>
              </a:graphicData>
            </a:graphic>
          </wp:inline>
        </w:drawing>
      </w:r>
    </w:p>
    <w:p>
      <w:r>
        <w:rPr>
          <w:i/>
          <w:color w:val="52514E"/>
          <w:sz w:val="18"/>
        </w:rPr>
        <w:t>Figure 5. Dispatch in the week around the annual peak, S0 and S2-300.</w:t>
      </w:r>
    </w:p>
    <w:p>
      <w:r>
        <w:rPr>
          <w:b/>
        </w:rPr>
        <w:t xml:space="preserve">The gas price changes the result most. </w:t>
      </w:r>
      <w:r>
        <w:t>With gas at x0.5, each MWh saved avoids 0.28 t of CO2, because the saving mostly displaces gas. With gas at x1.5, the reference system is already 70% renewable with 3,148 MWh of batteries, and each MWh saved avoids only 0.11 t of CO2 but 70 EUR.</w:t>
      </w:r>
    </w:p>
    <w:p>
      <w:r>
        <w:drawing>
          <wp:inline xmlns:a="http://schemas.openxmlformats.org/drawingml/2006/main" xmlns:pic="http://schemas.openxmlformats.org/drawingml/2006/picture">
            <wp:extent cx="5760000" cy="2880000"/>
            <wp:docPr id="6" name="Picture 6"/>
            <wp:cNvGraphicFramePr>
              <a:graphicFrameLocks noChangeAspect="1"/>
            </wp:cNvGraphicFramePr>
            <a:graphic>
              <a:graphicData uri="http://schemas.openxmlformats.org/drawingml/2006/picture">
                <pic:pic>
                  <pic:nvPicPr>
                    <pic:cNvPr id="0" name="6_price_duration.png"/>
                    <pic:cNvPicPr/>
                  </pic:nvPicPr>
                  <pic:blipFill>
                    <a:blip r:embed="rId14"/>
                    <a:stretch>
                      <a:fillRect/>
                    </a:stretch>
                  </pic:blipFill>
                  <pic:spPr>
                    <a:xfrm>
                      <a:off x="0" y="0"/>
                      <a:ext cx="5760000" cy="2880000"/>
                    </a:xfrm>
                    <a:prstGeom prst="rect"/>
                  </pic:spPr>
                </pic:pic>
              </a:graphicData>
            </a:graphic>
          </wp:inline>
        </w:drawing>
      </w:r>
    </w:p>
    <w:p>
      <w:r>
        <w:rPr>
          <w:i/>
          <w:color w:val="52514E"/>
          <w:sz w:val="18"/>
        </w:rPr>
        <w:t>Figure 6. Hourly electricity price, sorted, for S0, S1-15 and S2-300.</w:t>
      </w:r>
    </w:p>
    <w:p>
      <w:pPr>
        <w:pStyle w:val="Heading1"/>
      </w:pPr>
      <w:r>
        <w:t>4. Limitations</w:t>
      </w:r>
    </w:p>
    <w:p>
      <w:pPr>
        <w:pStyle w:val="ListBullet"/>
      </w:pPr>
      <w:r>
        <w:t>Nothing limits how fast renewables are built. The base case adds 6.0 GW of solar and wind by 2030, far above Tunisia's recent pace. The results show what least cost would do, not a forecast.</w:t>
      </w:r>
    </w:p>
    <w:p>
      <w:pPr>
        <w:pStyle w:val="ListBullet"/>
      </w:pPr>
      <w:r>
        <w:t>The cost of efficiency programmes is not modelled. The avoided cost per MWh is the most a programme could cost and still pay off for the power system.</w:t>
      </w:r>
    </w:p>
    <w:p>
      <w:pPr>
        <w:pStyle w:val="ListBullet"/>
      </w:pPr>
      <w:r>
        <w:t>One weather year (2013) at 1-hour steps. A 3-hour test run built 2.7% more solar and 3.9% more wind.</w:t>
      </w:r>
    </w:p>
    <w:p>
      <w:pPr>
        <w:pStyle w:val="ListBullet"/>
      </w:pPr>
      <w:r>
        <w:t>Demand growth and the 2030 peak come from STEG's forecast as quoted by JICA (2022), a secondary source.</w:t>
      </w:r>
    </w:p>
    <w:p>
      <w:pPr>
        <w:pStyle w:val="ListBullet"/>
      </w:pPr>
      <w:r>
        <w:t>Imports are flat at their 2024 level, so every MWh saved falls on domestic generation.</w:t>
      </w:r>
    </w:p>
    <w:p>
      <w:pPr>
        <w:pStyle w:val="ListBullet"/>
      </w:pPr>
      <w:r>
        <w:t>The fitted efficiency factor for existing gas units also stands in for plant outages, which are not modelled.</w:t>
      </w:r>
    </w:p>
    <w:p>
      <w:pPr>
        <w:pStyle w:val="ListBullet"/>
      </w:pPr>
      <w:r>
        <w:t>The reserve margin is one national capacity rule, not a reliability study.</w:t>
      </w:r>
    </w:p>
    <w:p>
      <w:pPr>
        <w:pStyle w:val="ListBullet"/>
      </w:pPr>
      <w:r>
        <w:t>System cost includes the annualised cost of plants that already exist. Differences between scenarios are meaningful; the absolute level is not the cost of the real system.</w:t>
      </w:r>
    </w:p>
    <w:p>
      <w:pPr>
        <w:pStyle w:val="Heading1"/>
      </w:pPr>
      <w:r>
        <w:t>5. Inputs and sources</w:t>
      </w:r>
    </w:p>
    <w:p>
      <w:r>
        <w:t>Every input is a row of data/assumptions_register.xlsx with its unit, type and source; rows typed 'assumption' have no published source and are explained in the register notes. The study inputs: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381"/>
          </w:tcPr>
          <w:p>
            <w:r>
              <w:rPr>
                <w:sz w:val="18"/>
              </w:rPr>
            </w:r>
            <w:r>
              <w:rPr>
                <w:b/>
                <w:sz w:val="18"/>
              </w:rPr>
              <w:t>Input</w:t>
            </w:r>
          </w:p>
        </w:tc>
        <w:tc>
          <w:tcPr>
            <w:tcW w:type="dxa" w:w="1020"/>
          </w:tcPr>
          <w:p>
            <w:r>
              <w:rPr>
                <w:sz w:val="18"/>
              </w:rPr>
            </w:r>
            <w:r>
              <w:rPr>
                <w:b/>
                <w:sz w:val="18"/>
              </w:rPr>
              <w:t>Value</w:t>
            </w:r>
          </w:p>
        </w:tc>
        <w:tc>
          <w:tcPr>
            <w:tcW w:type="dxa" w:w="1134"/>
          </w:tcPr>
          <w:p>
            <w:r>
              <w:rPr>
                <w:sz w:val="18"/>
              </w:rPr>
            </w:r>
            <w:r>
              <w:rPr>
                <w:b/>
                <w:sz w:val="18"/>
              </w:rPr>
              <w:t>Unit</w:t>
            </w:r>
          </w:p>
        </w:tc>
        <w:tc>
          <w:tcPr>
            <w:tcW w:type="dxa" w:w="1020"/>
          </w:tcPr>
          <w:p>
            <w:r>
              <w:rPr>
                <w:sz w:val="18"/>
              </w:rPr>
            </w:r>
            <w:r>
              <w:rPr>
                <w:b/>
                <w:sz w:val="18"/>
              </w:rPr>
              <w:t>Type</w:t>
            </w:r>
          </w:p>
        </w:tc>
        <w:tc>
          <w:tcPr>
            <w:tcW w:type="dxa" w:w="3742"/>
          </w:tcPr>
          <w:p>
            <w:r>
              <w:rPr>
                <w:sz w:val="18"/>
              </w:rPr>
            </w:r>
            <w:r>
              <w:rPr>
                <w:b/>
                <w:sz w:val="18"/>
              </w:rPr>
              <w:t>Source</w:t>
            </w:r>
          </w:p>
        </w:tc>
      </w:tr>
      <w:tr>
        <w:tc>
          <w:tcPr>
            <w:tcW w:type="dxa" w:w="2381"/>
          </w:tcPr>
          <w:p>
            <w:r>
              <w:rPr>
                <w:sz w:val="18"/>
              </w:rPr>
              <w:t>re_target_2030</w:t>
            </w:r>
          </w:p>
        </w:tc>
        <w:tc>
          <w:tcPr>
            <w:tcW w:type="dxa" w:w="1020"/>
          </w:tcPr>
          <w:p>
            <w:pPr>
              <w:jc w:val="right"/>
            </w:pPr>
            <w:r>
              <w:rPr>
                <w:sz w:val="18"/>
              </w:rPr>
              <w:t>0.35</w:t>
            </w:r>
          </w:p>
        </w:tc>
        <w:tc>
          <w:tcPr>
            <w:tcW w:type="dxa" w:w="1134"/>
          </w:tcPr>
          <w:p>
            <w:pPr>
              <w:jc w:val="right"/>
            </w:pPr>
            <w:r>
              <w:rPr>
                <w:sz w:val="18"/>
              </w:rPr>
              <w:t>share</w:t>
            </w:r>
          </w:p>
        </w:tc>
        <w:tc>
          <w:tcPr>
            <w:tcW w:type="dxa" w:w="1020"/>
          </w:tcPr>
          <w:p>
            <w:pPr>
              <w:jc w:val="right"/>
            </w:pPr>
            <w:r>
              <w:rPr>
                <w:sz w:val="18"/>
              </w:rPr>
              <w:t>sourced</w:t>
            </w:r>
          </w:p>
        </w:tc>
        <w:tc>
          <w:tcPr>
            <w:tcW w:type="dxa" w:w="3742"/>
          </w:tcPr>
          <w:p>
            <w:pPr>
              <w:jc w:val="right"/>
            </w:pPr>
            <w:r>
              <w:rPr>
                <w:sz w:val="18"/>
              </w:rPr>
              <w:t>TAP, 9 Oct 2026: Head of Government reaffirms 35% target</w:t>
            </w:r>
          </w:p>
        </w:tc>
      </w:tr>
      <w:tr>
        <w:tc>
          <w:tcPr>
            <w:tcW w:type="dxa" w:w="2381"/>
          </w:tcPr>
          <w:p>
            <w:r>
              <w:rPr>
                <w:sz w:val="18"/>
              </w:rPr>
              <w:t>flex_cap_mw</w:t>
            </w:r>
          </w:p>
        </w:tc>
        <w:tc>
          <w:tcPr>
            <w:tcW w:type="dxa" w:w="1020"/>
          </w:tcPr>
          <w:p>
            <w:pPr>
              <w:jc w:val="right"/>
            </w:pPr>
            <w:r>
              <w:rPr>
                <w:sz w:val="18"/>
              </w:rPr>
              <w:t>300</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TAP, 9 Oct 2026: action plan targets 300 MW peak-demand reduction</w:t>
            </w:r>
          </w:p>
        </w:tc>
      </w:tr>
      <w:tr>
        <w:tc>
          <w:tcPr>
            <w:tcW w:type="dxa" w:w="2381"/>
          </w:tcPr>
          <w:p>
            <w:r>
              <w:rPr>
                <w:sz w:val="18"/>
              </w:rPr>
              <w:t>flex_cap_hi_mw</w:t>
            </w:r>
          </w:p>
        </w:tc>
        <w:tc>
          <w:tcPr>
            <w:tcW w:type="dxa" w:w="1020"/>
          </w:tcPr>
          <w:p>
            <w:pPr>
              <w:jc w:val="right"/>
            </w:pPr>
            <w:r>
              <w:rPr>
                <w:sz w:val="18"/>
              </w:rPr>
              <w:t>600</w:t>
            </w:r>
          </w:p>
        </w:tc>
        <w:tc>
          <w:tcPr>
            <w:tcW w:type="dxa" w:w="1134"/>
          </w:tcPr>
          <w:p>
            <w:pPr>
              <w:jc w:val="right"/>
            </w:pPr>
            <w:r>
              <w:rPr>
                <w:sz w:val="18"/>
              </w:rPr>
              <w:t>MW</w:t>
            </w:r>
          </w:p>
        </w:tc>
        <w:tc>
          <w:tcPr>
            <w:tcW w:type="dxa" w:w="1020"/>
          </w:tcPr>
          <w:p>
            <w:pPr>
              <w:jc w:val="right"/>
            </w:pPr>
            <w:r>
              <w:rPr>
                <w:sz w:val="18"/>
              </w:rPr>
              <w:t>assumption</w:t>
            </w:r>
          </w:p>
        </w:tc>
        <w:tc>
          <w:tcPr>
            <w:tcW w:type="dxa" w:w="3742"/>
          </w:tcPr>
          <w:p>
            <w:pPr>
              <w:jc w:val="right"/>
            </w:pPr>
            <w:r>
              <w:rPr>
                <w:sz w:val="18"/>
              </w:rPr>
            </w:r>
          </w:p>
        </w:tc>
      </w:tr>
      <w:tr>
        <w:tc>
          <w:tcPr>
            <w:tcW w:type="dxa" w:w="2381"/>
          </w:tcPr>
          <w:p>
            <w:r>
              <w:rPr>
                <w:sz w:val="18"/>
              </w:rPr>
              <w:t>flex_max_hours</w:t>
            </w:r>
          </w:p>
        </w:tc>
        <w:tc>
          <w:tcPr>
            <w:tcW w:type="dxa" w:w="1020"/>
          </w:tcPr>
          <w:p>
            <w:pPr>
              <w:jc w:val="right"/>
            </w:pPr>
            <w:r>
              <w:rPr>
                <w:sz w:val="18"/>
              </w:rPr>
              <w:t>3</w:t>
            </w:r>
          </w:p>
        </w:tc>
        <w:tc>
          <w:tcPr>
            <w:tcW w:type="dxa" w:w="1134"/>
          </w:tcPr>
          <w:p>
            <w:pPr>
              <w:jc w:val="right"/>
            </w:pPr>
            <w:r>
              <w:rPr>
                <w:sz w:val="18"/>
              </w:rPr>
              <w:t>h</w:t>
            </w:r>
          </w:p>
        </w:tc>
        <w:tc>
          <w:tcPr>
            <w:tcW w:type="dxa" w:w="1020"/>
          </w:tcPr>
          <w:p>
            <w:pPr>
              <w:jc w:val="right"/>
            </w:pPr>
            <w:r>
              <w:rPr>
                <w:sz w:val="18"/>
              </w:rPr>
              <w:t>assumption</w:t>
            </w:r>
          </w:p>
        </w:tc>
        <w:tc>
          <w:tcPr>
            <w:tcW w:type="dxa" w:w="3742"/>
          </w:tcPr>
          <w:p>
            <w:pPr>
              <w:jc w:val="right"/>
            </w:pPr>
            <w:r>
              <w:rPr>
                <w:sz w:val="18"/>
              </w:rPr>
            </w:r>
          </w:p>
        </w:tc>
      </w:tr>
      <w:tr>
        <w:tc>
          <w:tcPr>
            <w:tcW w:type="dxa" w:w="2381"/>
          </w:tcPr>
          <w:p>
            <w:r>
              <w:rPr>
                <w:sz w:val="18"/>
              </w:rPr>
              <w:t>gas_price_factor_lo</w:t>
            </w:r>
          </w:p>
        </w:tc>
        <w:tc>
          <w:tcPr>
            <w:tcW w:type="dxa" w:w="1020"/>
          </w:tcPr>
          <w:p>
            <w:pPr>
              <w:jc w:val="right"/>
            </w:pPr>
            <w:r>
              <w:rPr>
                <w:sz w:val="18"/>
              </w:rPr>
              <w:t>0.5</w:t>
            </w:r>
          </w:p>
        </w:tc>
        <w:tc>
          <w:tcPr>
            <w:tcW w:type="dxa" w:w="1134"/>
          </w:tcPr>
          <w:p>
            <w:pPr>
              <w:jc w:val="right"/>
            </w:pPr>
            <w:r>
              <w:rPr>
                <w:sz w:val="18"/>
              </w:rPr>
              <w:t>x base</w:t>
            </w:r>
          </w:p>
        </w:tc>
        <w:tc>
          <w:tcPr>
            <w:tcW w:type="dxa" w:w="1020"/>
          </w:tcPr>
          <w:p>
            <w:pPr>
              <w:jc w:val="right"/>
            </w:pPr>
            <w:r>
              <w:rPr>
                <w:sz w:val="18"/>
              </w:rPr>
              <w:t>assumption</w:t>
            </w:r>
          </w:p>
        </w:tc>
        <w:tc>
          <w:tcPr>
            <w:tcW w:type="dxa" w:w="3742"/>
          </w:tcPr>
          <w:p>
            <w:pPr>
              <w:jc w:val="right"/>
            </w:pPr>
            <w:r>
              <w:rPr>
                <w:sz w:val="18"/>
              </w:rPr>
            </w:r>
          </w:p>
        </w:tc>
      </w:tr>
      <w:tr>
        <w:tc>
          <w:tcPr>
            <w:tcW w:type="dxa" w:w="2381"/>
          </w:tcPr>
          <w:p>
            <w:r>
              <w:rPr>
                <w:sz w:val="18"/>
              </w:rPr>
              <w:t>gas_price_factor_hi</w:t>
            </w:r>
          </w:p>
        </w:tc>
        <w:tc>
          <w:tcPr>
            <w:tcW w:type="dxa" w:w="1020"/>
          </w:tcPr>
          <w:p>
            <w:pPr>
              <w:jc w:val="right"/>
            </w:pPr>
            <w:r>
              <w:rPr>
                <w:sz w:val="18"/>
              </w:rPr>
              <w:t>1.5</w:t>
            </w:r>
          </w:p>
        </w:tc>
        <w:tc>
          <w:tcPr>
            <w:tcW w:type="dxa" w:w="1134"/>
          </w:tcPr>
          <w:p>
            <w:pPr>
              <w:jc w:val="right"/>
            </w:pPr>
            <w:r>
              <w:rPr>
                <w:sz w:val="18"/>
              </w:rPr>
              <w:t>x base</w:t>
            </w:r>
          </w:p>
        </w:tc>
        <w:tc>
          <w:tcPr>
            <w:tcW w:type="dxa" w:w="1020"/>
          </w:tcPr>
          <w:p>
            <w:pPr>
              <w:jc w:val="right"/>
            </w:pPr>
            <w:r>
              <w:rPr>
                <w:sz w:val="18"/>
              </w:rPr>
              <w:t>assumption</w:t>
            </w:r>
          </w:p>
        </w:tc>
        <w:tc>
          <w:tcPr>
            <w:tcW w:type="dxa" w:w="3742"/>
          </w:tcPr>
          <w:p>
            <w:pPr>
              <w:jc w:val="right"/>
            </w:pPr>
            <w:r>
              <w:rPr>
                <w:sz w:val="18"/>
              </w:rPr>
            </w:r>
          </w:p>
        </w:tc>
      </w:tr>
      <w:tr>
        <w:tc>
          <w:tcPr>
            <w:tcW w:type="dxa" w:w="2381"/>
          </w:tcPr>
          <w:p>
            <w:r>
              <w:rPr>
                <w:sz w:val="18"/>
              </w:rPr>
              <w:t>demand_growth</w:t>
            </w:r>
          </w:p>
        </w:tc>
        <w:tc>
          <w:tcPr>
            <w:tcW w:type="dxa" w:w="1020"/>
          </w:tcPr>
          <w:p>
            <w:pPr>
              <w:jc w:val="right"/>
            </w:pPr>
            <w:r>
              <w:rPr>
                <w:sz w:val="18"/>
              </w:rPr>
              <w:t>0.032</w:t>
            </w:r>
          </w:p>
        </w:tc>
        <w:tc>
          <w:tcPr>
            <w:tcW w:type="dxa" w:w="1134"/>
          </w:tcPr>
          <w:p>
            <w:pPr>
              <w:jc w:val="right"/>
            </w:pPr>
            <w:r>
              <w:rPr>
                <w:sz w:val="18"/>
              </w:rPr>
              <w:t>1/yr</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quoting STEG's base-case forecast, p.2-17 and p.5-34</w:t>
            </w:r>
          </w:p>
        </w:tc>
      </w:tr>
      <w:tr>
        <w:tc>
          <w:tcPr>
            <w:tcW w:type="dxa" w:w="2381"/>
          </w:tcPr>
          <w:p>
            <w:r>
              <w:rPr>
                <w:sz w:val="18"/>
              </w:rPr>
              <w:t>peak_ref_2030_mw</w:t>
            </w:r>
          </w:p>
        </w:tc>
        <w:tc>
          <w:tcPr>
            <w:tcW w:type="dxa" w:w="1020"/>
          </w:tcPr>
          <w:p>
            <w:pPr>
              <w:jc w:val="right"/>
            </w:pPr>
            <w:r>
              <w:rPr>
                <w:sz w:val="18"/>
              </w:rPr>
              <w:t>6,000</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quoting STEG's base-case forecast, p.2-17 and p.5-35</w:t>
            </w:r>
          </w:p>
        </w:tc>
      </w:tr>
      <w:tr>
        <w:tc>
          <w:tcPr>
            <w:tcW w:type="dxa" w:w="2381"/>
          </w:tcPr>
          <w:p>
            <w:r>
              <w:rPr>
                <w:sz w:val="18"/>
              </w:rPr>
              <w:t>discount_rate</w:t>
            </w:r>
          </w:p>
        </w:tc>
        <w:tc>
          <w:tcPr>
            <w:tcW w:type="dxa" w:w="1020"/>
          </w:tcPr>
          <w:p>
            <w:pPr>
              <w:jc w:val="right"/>
            </w:pPr>
            <w:r>
              <w:rPr>
                <w:sz w:val="18"/>
              </w:rPr>
              <w:t>0.071</w:t>
            </w:r>
          </w:p>
        </w:tc>
        <w:tc>
          <w:tcPr>
            <w:tcW w:type="dxa" w:w="1134"/>
          </w:tcPr>
          <w:p>
            <w:pPr>
              <w:jc w:val="right"/>
            </w:pPr>
            <w:r>
              <w:rPr>
                <w:sz w:val="18"/>
              </w:rPr>
              <w:t>1/yr</w:t>
            </w:r>
          </w:p>
        </w:tc>
        <w:tc>
          <w:tcPr>
            <w:tcW w:type="dxa" w:w="1020"/>
          </w:tcPr>
          <w:p>
            <w:pPr>
              <w:jc w:val="right"/>
            </w:pPr>
            <w:r>
              <w:rPr>
                <w:sz w:val="18"/>
              </w:rPr>
              <w:t>sourced</w:t>
            </w:r>
          </w:p>
        </w:tc>
        <w:tc>
          <w:tcPr>
            <w:tcW w:type="dxa" w:w="3742"/>
          </w:tcPr>
          <w:p>
            <w:pPr>
              <w:jc w:val="right"/>
            </w:pPr>
            <w:r>
              <w:rPr>
                <w:sz w:val="18"/>
              </w:rPr>
              <w:t>PyPSA-Earth v0.10.0 config.default.yaml, costs.discountrate</w:t>
            </w:r>
          </w:p>
        </w:tc>
      </w:tr>
      <w:tr>
        <w:tc>
          <w:tcPr>
            <w:tcW w:type="dxa" w:w="2381"/>
          </w:tcPr>
          <w:p>
            <w:r>
              <w:rPr>
                <w:sz w:val="18"/>
              </w:rPr>
              <w:t>demand_2024_twh</w:t>
            </w:r>
          </w:p>
        </w:tc>
        <w:tc>
          <w:tcPr>
            <w:tcW w:type="dxa" w:w="1020"/>
          </w:tcPr>
          <w:p>
            <w:pPr>
              <w:jc w:val="right"/>
            </w:pPr>
            <w:r>
              <w:rPr>
                <w:sz w:val="18"/>
              </w:rPr>
              <w:t>22.51</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 table 'ELECTRICITE', printed p.18</w:t>
            </w:r>
          </w:p>
        </w:tc>
      </w:tr>
      <w:tr>
        <w:tc>
          <w:tcPr>
            <w:tcW w:type="dxa" w:w="2381"/>
          </w:tcPr>
          <w:p>
            <w:r>
              <w:rPr>
                <w:sz w:val="18"/>
              </w:rPr>
              <w:t>imports_2024_twh</w:t>
            </w:r>
          </w:p>
        </w:tc>
        <w:tc>
          <w:tcPr>
            <w:tcW w:type="dxa" w:w="1020"/>
          </w:tcPr>
          <w:p>
            <w:pPr>
              <w:jc w:val="right"/>
            </w:pPr>
            <w:r>
              <w:rPr>
                <w:sz w:val="18"/>
              </w:rPr>
              <w:t>3.113</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 table 'ELECTRICITE', printed p.18</w:t>
            </w:r>
          </w:p>
        </w:tc>
      </w:tr>
      <w:tr>
        <w:tc>
          <w:tcPr>
            <w:tcW w:type="dxa" w:w="2381"/>
          </w:tcPr>
          <w:p>
            <w:r>
              <w:rPr>
                <w:sz w:val="18"/>
              </w:rPr>
              <w:t>gas_price_eur_per_mwh_th</w:t>
            </w:r>
          </w:p>
        </w:tc>
        <w:tc>
          <w:tcPr>
            <w:tcW w:type="dxa" w:w="1020"/>
          </w:tcPr>
          <w:p>
            <w:pPr>
              <w:jc w:val="right"/>
            </w:pPr>
            <w:r>
              <w:rPr>
                <w:sz w:val="18"/>
              </w:rPr>
              <w:t>28.42</w:t>
            </w:r>
          </w:p>
        </w:tc>
        <w:tc>
          <w:tcPr>
            <w:tcW w:type="dxa" w:w="1134"/>
          </w:tcPr>
          <w:p>
            <w:pPr>
              <w:jc w:val="right"/>
            </w:pPr>
            <w:r>
              <w:rPr>
                <w:sz w:val="18"/>
              </w:rPr>
              <w:t>EUR/MWh_th</w:t>
            </w:r>
          </w:p>
        </w:tc>
        <w:tc>
          <w:tcPr>
            <w:tcW w:type="dxa" w:w="1020"/>
          </w:tcPr>
          <w:p>
            <w:pPr>
              <w:jc w:val="right"/>
            </w:pPr>
            <w:r>
              <w:rPr>
                <w:sz w:val="18"/>
              </w:rPr>
              <w:t>sourced</w:t>
            </w:r>
          </w:p>
        </w:tc>
        <w:tc>
          <w:tcPr>
            <w:tcW w:type="dxa" w:w="3742"/>
          </w:tcPr>
          <w:p>
            <w:pPr>
              <w:jc w:val="right"/>
            </w:pPr>
            <w:r>
              <w:rPr>
                <w:sz w:val="18"/>
              </w:rPr>
              <w:t>PyPSA technology-data v0.15.0 costs_2030.csv (gas, fuel); original: World Bank Commodity Markets 2025 and ENTSO-E/ENTSOG TYNDP 2024</w:t>
            </w:r>
          </w:p>
        </w:tc>
      </w:tr>
      <w:tr>
        <w:tc>
          <w:tcPr>
            <w:tcW w:type="dxa" w:w="2381"/>
          </w:tcPr>
          <w:p>
            <w:r>
              <w:rPr>
                <w:sz w:val="18"/>
              </w:rPr>
              <w:t>cap_2024_ccgt_mw</w:t>
            </w:r>
          </w:p>
        </w:tc>
        <w:tc>
          <w:tcPr>
            <w:tcW w:type="dxa" w:w="1020"/>
          </w:tcPr>
          <w:p>
            <w:pPr>
              <w:jc w:val="right"/>
            </w:pPr>
            <w:r>
              <w:rPr>
                <w:sz w:val="18"/>
              </w:rPr>
              <w:t>2,527</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cap_2024_ocgt_mw</w:t>
            </w:r>
          </w:p>
        </w:tc>
        <w:tc>
          <w:tcPr>
            <w:tcW w:type="dxa" w:w="1020"/>
          </w:tcPr>
          <w:p>
            <w:pPr>
              <w:jc w:val="right"/>
            </w:pPr>
            <w:r>
              <w:rPr>
                <w:sz w:val="18"/>
              </w:rPr>
              <w:t>2,457</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cap_2024_steam_mw</w:t>
            </w:r>
          </w:p>
        </w:tc>
        <w:tc>
          <w:tcPr>
            <w:tcW w:type="dxa" w:w="1020"/>
          </w:tcPr>
          <w:p>
            <w:pPr>
              <w:jc w:val="right"/>
            </w:pPr>
            <w:r>
              <w:rPr>
                <w:sz w:val="18"/>
              </w:rPr>
              <w:t>660</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cap_2024_re_mw</w:t>
            </w:r>
          </w:p>
        </w:tc>
        <w:tc>
          <w:tcPr>
            <w:tcW w:type="dxa" w:w="1020"/>
          </w:tcPr>
          <w:p>
            <w:pPr>
              <w:jc w:val="right"/>
            </w:pPr>
            <w:r>
              <w:rPr>
                <w:sz w:val="18"/>
              </w:rPr>
              <w:t>368</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cap_2024_total_mw</w:t>
            </w:r>
          </w:p>
        </w:tc>
        <w:tc>
          <w:tcPr>
            <w:tcW w:type="dxa" w:w="1020"/>
          </w:tcPr>
          <w:p>
            <w:pPr>
              <w:jc w:val="right"/>
            </w:pPr>
            <w:r>
              <w:rPr>
                <w:sz w:val="18"/>
              </w:rPr>
              <w:t>6,012</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gen_2024_gas_twh</w:t>
            </w:r>
          </w:p>
        </w:tc>
        <w:tc>
          <w:tcPr>
            <w:tcW w:type="dxa" w:w="1020"/>
          </w:tcPr>
          <w:p>
            <w:pPr>
              <w:jc w:val="right"/>
            </w:pPr>
            <w:r>
              <w:rPr>
                <w:sz w:val="18"/>
              </w:rPr>
              <w:t>18.16</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gen_2024_oil_twh</w:t>
            </w:r>
          </w:p>
        </w:tc>
        <w:tc>
          <w:tcPr>
            <w:tcW w:type="dxa" w:w="1020"/>
          </w:tcPr>
          <w:p>
            <w:pPr>
              <w:jc w:val="right"/>
            </w:pPr>
            <w:r>
              <w:rPr>
                <w:sz w:val="18"/>
              </w:rPr>
              <w:t>0.0719</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gen_2024_hydro_twh</w:t>
            </w:r>
          </w:p>
        </w:tc>
        <w:tc>
          <w:tcPr>
            <w:tcW w:type="dxa" w:w="1020"/>
          </w:tcPr>
          <w:p>
            <w:pPr>
              <w:jc w:val="right"/>
            </w:pPr>
            <w:r>
              <w:rPr>
                <w:sz w:val="18"/>
              </w:rPr>
              <w:t>0.016</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gen_2024_wind_twh</w:t>
            </w:r>
          </w:p>
        </w:tc>
        <w:tc>
          <w:tcPr>
            <w:tcW w:type="dxa" w:w="1020"/>
          </w:tcPr>
          <w:p>
            <w:pPr>
              <w:jc w:val="right"/>
            </w:pPr>
            <w:r>
              <w:rPr>
                <w:sz w:val="18"/>
              </w:rPr>
              <w:t>0.337</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gen_2024_solar_twh</w:t>
            </w:r>
          </w:p>
        </w:tc>
        <w:tc>
          <w:tcPr>
            <w:tcW w:type="dxa" w:w="1020"/>
          </w:tcPr>
          <w:p>
            <w:pPr>
              <w:jc w:val="right"/>
            </w:pPr>
            <w:r>
              <w:rPr>
                <w:sz w:val="18"/>
              </w:rPr>
              <w:t>0.6278</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gen_2024_total_twh</w:t>
            </w:r>
          </w:p>
        </w:tc>
        <w:tc>
          <w:tcPr>
            <w:tcW w:type="dxa" w:w="1020"/>
          </w:tcPr>
          <w:p>
            <w:pPr>
              <w:jc w:val="right"/>
            </w:pPr>
            <w:r>
              <w:rPr>
                <w:sz w:val="18"/>
              </w:rPr>
              <w:t>19.21</w:t>
            </w:r>
          </w:p>
        </w:tc>
        <w:tc>
          <w:tcPr>
            <w:tcW w:type="dxa" w:w="1134"/>
          </w:tcPr>
          <w:p>
            <w:pPr>
              <w:jc w:val="right"/>
            </w:pPr>
            <w:r>
              <w:rPr>
                <w:sz w:val="18"/>
              </w:rPr>
              <w:t>TWh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gas_share_2024</w:t>
            </w:r>
          </w:p>
        </w:tc>
        <w:tc>
          <w:tcPr>
            <w:tcW w:type="dxa" w:w="1020"/>
          </w:tcPr>
          <w:p>
            <w:pPr>
              <w:jc w:val="right"/>
            </w:pPr>
            <w:r>
              <w:rPr>
                <w:sz w:val="18"/>
              </w:rPr>
              <w:t>0.945</w:t>
            </w:r>
          </w:p>
        </w:tc>
        <w:tc>
          <w:tcPr>
            <w:tcW w:type="dxa" w:w="1134"/>
          </w:tcPr>
          <w:p>
            <w:pPr>
              <w:jc w:val="right"/>
            </w:pPr>
            <w:r>
              <w:rPr>
                <w:sz w:val="18"/>
              </w:rPr>
              <w:t>share</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peak_2024_mw</w:t>
            </w:r>
          </w:p>
        </w:tc>
        <w:tc>
          <w:tcPr>
            <w:tcW w:type="dxa" w:w="1020"/>
          </w:tcPr>
          <w:p>
            <w:pPr>
              <w:jc w:val="right"/>
            </w:pPr>
            <w:r>
              <w:rPr>
                <w:sz w:val="18"/>
              </w:rPr>
              <w:t>4,888</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steg_specific_consumption_2024</w:t>
            </w:r>
          </w:p>
        </w:tc>
        <w:tc>
          <w:tcPr>
            <w:tcW w:type="dxa" w:w="1020"/>
          </w:tcPr>
          <w:p>
            <w:pPr>
              <w:jc w:val="right"/>
            </w:pPr>
            <w:r>
              <w:rPr>
                <w:sz w:val="18"/>
              </w:rPr>
              <w:t>194.8</w:t>
            </w:r>
          </w:p>
        </w:tc>
        <w:tc>
          <w:tcPr>
            <w:tcW w:type="dxa" w:w="1134"/>
          </w:tcPr>
          <w:p>
            <w:pPr>
              <w:jc w:val="right"/>
            </w:pPr>
            <w:r>
              <w:rPr>
                <w:sz w:val="18"/>
              </w:rPr>
              <w:t>toe(GCV)/GWh</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steg_demand_2030_gwh</w:t>
            </w:r>
          </w:p>
        </w:tc>
        <w:tc>
          <w:tcPr>
            <w:tcW w:type="dxa" w:w="1020"/>
          </w:tcPr>
          <w:p>
            <w:pPr>
              <w:jc w:val="right"/>
            </w:pPr>
            <w:r>
              <w:rPr>
                <w:sz w:val="18"/>
              </w:rPr>
              <w:t>28,362</w:t>
            </w:r>
          </w:p>
        </w:tc>
        <w:tc>
          <w:tcPr>
            <w:tcW w:type="dxa" w:w="1134"/>
          </w:tcPr>
          <w:p>
            <w:pPr>
              <w:jc w:val="right"/>
            </w:pPr>
            <w:r>
              <w:rPr>
                <w:sz w:val="18"/>
              </w:rPr>
              <w:t>GWh</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quoting STEG's base-case forecast, p.2-17</w:t>
            </w:r>
          </w:p>
        </w:tc>
      </w:tr>
      <w:tr>
        <w:tc>
          <w:tcPr>
            <w:tcW w:type="dxa" w:w="2381"/>
          </w:tcPr>
          <w:p>
            <w:r>
              <w:rPr>
                <w:sz w:val="18"/>
              </w:rPr>
              <w:t>load_factor_2030</w:t>
            </w:r>
          </w:p>
        </w:tc>
        <w:tc>
          <w:tcPr>
            <w:tcW w:type="dxa" w:w="1020"/>
          </w:tcPr>
          <w:p>
            <w:pPr>
              <w:jc w:val="right"/>
            </w:pPr>
            <w:r>
              <w:rPr>
                <w:sz w:val="18"/>
              </w:rPr>
              <w:t>0.54</w:t>
            </w:r>
          </w:p>
        </w:tc>
        <w:tc>
          <w:tcPr>
            <w:tcW w:type="dxa" w:w="1134"/>
          </w:tcPr>
          <w:p>
            <w:pPr>
              <w:jc w:val="right"/>
            </w:pPr>
            <w:r>
              <w:rPr>
                <w:sz w:val="18"/>
              </w:rPr>
              <w:t>share</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quoting STEG's base-case forecast, p.5-34</w:t>
            </w:r>
          </w:p>
        </w:tc>
      </w:tr>
      <w:tr>
        <w:tc>
          <w:tcPr>
            <w:tcW w:type="dxa" w:w="2381"/>
          </w:tcPr>
          <w:p>
            <w:r>
              <w:rPr>
                <w:sz w:val="18"/>
              </w:rPr>
              <w:t>min_to_peak_2030</w:t>
            </w:r>
          </w:p>
        </w:tc>
        <w:tc>
          <w:tcPr>
            <w:tcW w:type="dxa" w:w="1020"/>
          </w:tcPr>
          <w:p>
            <w:pPr>
              <w:jc w:val="right"/>
            </w:pPr>
            <w:r>
              <w:rPr>
                <w:sz w:val="18"/>
              </w:rPr>
              <w:t>0.34</w:t>
            </w:r>
          </w:p>
        </w:tc>
        <w:tc>
          <w:tcPr>
            <w:tcW w:type="dxa" w:w="1134"/>
          </w:tcPr>
          <w:p>
            <w:pPr>
              <w:jc w:val="right"/>
            </w:pPr>
            <w:r>
              <w:rPr>
                <w:sz w:val="18"/>
              </w:rPr>
              <w:t>share</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quoting STEG's base-case forecast, p.5-35</w:t>
            </w:r>
          </w:p>
        </w:tc>
      </w:tr>
      <w:tr>
        <w:tc>
          <w:tcPr>
            <w:tcW w:type="dxa" w:w="2381"/>
          </w:tcPr>
          <w:p>
            <w:r>
              <w:rPr>
                <w:sz w:val="18"/>
              </w:rPr>
              <w:t>ccgt_efficiency</w:t>
            </w:r>
          </w:p>
        </w:tc>
        <w:tc>
          <w:tcPr>
            <w:tcW w:type="dxa" w:w="1020"/>
          </w:tcPr>
          <w:p>
            <w:pPr>
              <w:jc w:val="right"/>
            </w:pPr>
            <w:r>
              <w:rPr>
                <w:sz w:val="18"/>
              </w:rPr>
              <w:t>0.58</w:t>
            </w:r>
          </w:p>
        </w:tc>
        <w:tc>
          <w:tcPr>
            <w:tcW w:type="dxa" w:w="1134"/>
          </w:tcPr>
          <w:p>
            <w:pPr>
              <w:jc w:val="right"/>
            </w:pPr>
            <w:r>
              <w:rPr>
                <w:sz w:val="18"/>
              </w:rPr>
              <w:t>per unit</w:t>
            </w:r>
          </w:p>
        </w:tc>
        <w:tc>
          <w:tcPr>
            <w:tcW w:type="dxa" w:w="1020"/>
          </w:tcPr>
          <w:p>
            <w:pPr>
              <w:jc w:val="right"/>
            </w:pPr>
            <w:r>
              <w:rPr>
                <w:sz w:val="18"/>
              </w:rPr>
              <w:t>sourced</w:t>
            </w:r>
          </w:p>
        </w:tc>
        <w:tc>
          <w:tcPr>
            <w:tcW w:type="dxa" w:w="3742"/>
          </w:tcPr>
          <w:p>
            <w:pPr>
              <w:jc w:val="right"/>
            </w:pPr>
            <w:r>
              <w:rPr>
                <w:sz w:val="18"/>
              </w:rPr>
              <w:t>PyPSA technology-data v0.15.0 costs_2030.csv (CCGT, efficiency); original: Danish Energy Agency, inputs/technology_data_for_el_and_dh.xlsx</w:t>
            </w:r>
          </w:p>
        </w:tc>
      </w:tr>
      <w:tr>
        <w:tc>
          <w:tcPr>
            <w:tcW w:type="dxa" w:w="2381"/>
          </w:tcPr>
          <w:p>
            <w:r>
              <w:rPr>
                <w:sz w:val="18"/>
              </w:rPr>
              <w:t>ccgt_vom</w:t>
            </w:r>
          </w:p>
        </w:tc>
        <w:tc>
          <w:tcPr>
            <w:tcW w:type="dxa" w:w="1020"/>
          </w:tcPr>
          <w:p>
            <w:pPr>
              <w:jc w:val="right"/>
            </w:pPr>
            <w:r>
              <w:rPr>
                <w:sz w:val="18"/>
              </w:rPr>
              <w:t>5.61</w:t>
            </w:r>
          </w:p>
        </w:tc>
        <w:tc>
          <w:tcPr>
            <w:tcW w:type="dxa" w:w="1134"/>
          </w:tcPr>
          <w:p>
            <w:pPr>
              <w:jc w:val="right"/>
            </w:pPr>
            <w:r>
              <w:rPr>
                <w:sz w:val="18"/>
              </w:rPr>
              <w:t>EUR/MWh</w:t>
            </w:r>
          </w:p>
        </w:tc>
        <w:tc>
          <w:tcPr>
            <w:tcW w:type="dxa" w:w="1020"/>
          </w:tcPr>
          <w:p>
            <w:pPr>
              <w:jc w:val="right"/>
            </w:pPr>
            <w:r>
              <w:rPr>
                <w:sz w:val="18"/>
              </w:rPr>
              <w:t>sourced</w:t>
            </w:r>
          </w:p>
        </w:tc>
        <w:tc>
          <w:tcPr>
            <w:tcW w:type="dxa" w:w="3742"/>
          </w:tcPr>
          <w:p>
            <w:pPr>
              <w:jc w:val="right"/>
            </w:pPr>
            <w:r>
              <w:rPr>
                <w:sz w:val="18"/>
              </w:rPr>
              <w:t>PyPSA technology-data v0.15.0 costs_2030.csv (CCGT, VOM); original: Danish Energy Agency, inputs/technology_data_for_el_and_dh.xlsx</w:t>
            </w:r>
          </w:p>
        </w:tc>
      </w:tr>
      <w:tr>
        <w:tc>
          <w:tcPr>
            <w:tcW w:type="dxa" w:w="2381"/>
          </w:tcPr>
          <w:p>
            <w:r>
              <w:rPr>
                <w:sz w:val="18"/>
              </w:rPr>
              <w:t>ocgt_efficiency</w:t>
            </w:r>
          </w:p>
        </w:tc>
        <w:tc>
          <w:tcPr>
            <w:tcW w:type="dxa" w:w="1020"/>
          </w:tcPr>
          <w:p>
            <w:pPr>
              <w:jc w:val="right"/>
            </w:pPr>
            <w:r>
              <w:rPr>
                <w:sz w:val="18"/>
              </w:rPr>
              <w:t>0.41</w:t>
            </w:r>
          </w:p>
        </w:tc>
        <w:tc>
          <w:tcPr>
            <w:tcW w:type="dxa" w:w="1134"/>
          </w:tcPr>
          <w:p>
            <w:pPr>
              <w:jc w:val="right"/>
            </w:pPr>
            <w:r>
              <w:rPr>
                <w:sz w:val="18"/>
              </w:rPr>
              <w:t>per unit</w:t>
            </w:r>
          </w:p>
        </w:tc>
        <w:tc>
          <w:tcPr>
            <w:tcW w:type="dxa" w:w="1020"/>
          </w:tcPr>
          <w:p>
            <w:pPr>
              <w:jc w:val="right"/>
            </w:pPr>
            <w:r>
              <w:rPr>
                <w:sz w:val="18"/>
              </w:rPr>
              <w:t>sourced</w:t>
            </w:r>
          </w:p>
        </w:tc>
        <w:tc>
          <w:tcPr>
            <w:tcW w:type="dxa" w:w="3742"/>
          </w:tcPr>
          <w:p>
            <w:pPr>
              <w:jc w:val="right"/>
            </w:pPr>
            <w:r>
              <w:rPr>
                <w:sz w:val="18"/>
              </w:rPr>
              <w:t>PyPSA technology-data v0.15.0 costs_2030.csv (OCGT, efficiency); original: Danish Energy Agency, inputs/technology_data_for_el_and_dh.xlsx</w:t>
            </w:r>
          </w:p>
        </w:tc>
      </w:tr>
      <w:tr>
        <w:tc>
          <w:tcPr>
            <w:tcW w:type="dxa" w:w="2381"/>
          </w:tcPr>
          <w:p>
            <w:r>
              <w:rPr>
                <w:sz w:val="18"/>
              </w:rPr>
              <w:t>ocgt_vom</w:t>
            </w:r>
          </w:p>
        </w:tc>
        <w:tc>
          <w:tcPr>
            <w:tcW w:type="dxa" w:w="1020"/>
          </w:tcPr>
          <w:p>
            <w:pPr>
              <w:jc w:val="right"/>
            </w:pPr>
            <w:r>
              <w:rPr>
                <w:sz w:val="18"/>
              </w:rPr>
              <w:t>6.011</w:t>
            </w:r>
          </w:p>
        </w:tc>
        <w:tc>
          <w:tcPr>
            <w:tcW w:type="dxa" w:w="1134"/>
          </w:tcPr>
          <w:p>
            <w:pPr>
              <w:jc w:val="right"/>
            </w:pPr>
            <w:r>
              <w:rPr>
                <w:sz w:val="18"/>
              </w:rPr>
              <w:t>EUR/MWh</w:t>
            </w:r>
          </w:p>
        </w:tc>
        <w:tc>
          <w:tcPr>
            <w:tcW w:type="dxa" w:w="1020"/>
          </w:tcPr>
          <w:p>
            <w:pPr>
              <w:jc w:val="right"/>
            </w:pPr>
            <w:r>
              <w:rPr>
                <w:sz w:val="18"/>
              </w:rPr>
              <w:t>sourced</w:t>
            </w:r>
          </w:p>
        </w:tc>
        <w:tc>
          <w:tcPr>
            <w:tcW w:type="dxa" w:w="3742"/>
          </w:tcPr>
          <w:p>
            <w:pPr>
              <w:jc w:val="right"/>
            </w:pPr>
            <w:r>
              <w:rPr>
                <w:sz w:val="18"/>
              </w:rPr>
              <w:t>PyPSA technology-data v0.15.0 costs_2030.csv (OCGT, VOM); original: Danish Energy Agency, inputs/technology_data_for_el_and_dh.xlsx</w:t>
            </w:r>
          </w:p>
        </w:tc>
      </w:tr>
      <w:tr>
        <w:tc>
          <w:tcPr>
            <w:tcW w:type="dxa" w:w="2381"/>
          </w:tcPr>
          <w:p>
            <w:r>
              <w:rPr>
                <w:sz w:val="18"/>
              </w:rPr>
              <w:t>gas_ncv_per_gcv</w:t>
            </w:r>
          </w:p>
        </w:tc>
        <w:tc>
          <w:tcPr>
            <w:tcW w:type="dxa" w:w="1020"/>
          </w:tcPr>
          <w:p>
            <w:pPr>
              <w:jc w:val="right"/>
            </w:pPr>
            <w:r>
              <w:rPr>
                <w:sz w:val="18"/>
              </w:rPr>
              <w:t>0.9</w:t>
            </w:r>
          </w:p>
        </w:tc>
        <w:tc>
          <w:tcPr>
            <w:tcW w:type="dxa" w:w="1134"/>
          </w:tcPr>
          <w:p>
            <w:pPr>
              <w:jc w:val="right"/>
            </w:pPr>
            <w:r>
              <w:rPr>
                <w:sz w:val="18"/>
              </w:rPr>
              <w:t>ratio</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conversion table (PDF p.22)</w:t>
            </w:r>
          </w:p>
        </w:tc>
      </w:tr>
      <w:tr>
        <w:tc>
          <w:tcPr>
            <w:tcW w:type="dxa" w:w="2381"/>
          </w:tcPr>
          <w:p>
            <w:r>
              <w:rPr>
                <w:sz w:val="18"/>
              </w:rPr>
              <w:t>existing_gas_efficiency_factor</w:t>
            </w:r>
          </w:p>
        </w:tc>
        <w:tc>
          <w:tcPr>
            <w:tcW w:type="dxa" w:w="1020"/>
          </w:tcPr>
          <w:p>
            <w:pPr>
              <w:jc w:val="right"/>
            </w:pPr>
            <w:r>
              <w:rPr>
                <w:sz w:val="18"/>
              </w:rPr>
              <w:t>0.8634</w:t>
            </w:r>
          </w:p>
        </w:tc>
        <w:tc>
          <w:tcPr>
            <w:tcW w:type="dxa" w:w="1134"/>
          </w:tcPr>
          <w:p>
            <w:pPr>
              <w:jc w:val="right"/>
            </w:pPr>
            <w:r>
              <w:rPr>
                <w:sz w:val="18"/>
              </w:rPr>
              <w:t>x tech-data</w:t>
            </w:r>
          </w:p>
        </w:tc>
        <w:tc>
          <w:tcPr>
            <w:tcW w:type="dxa" w:w="1020"/>
          </w:tcPr>
          <w:p>
            <w:pPr>
              <w:jc w:val="right"/>
            </w:pPr>
            <w:r>
              <w:rPr>
                <w:sz w:val="18"/>
              </w:rPr>
              <w:t>assumption</w:t>
            </w:r>
          </w:p>
        </w:tc>
        <w:tc>
          <w:tcPr>
            <w:tcW w:type="dxa" w:w="3742"/>
          </w:tcPr>
          <w:p>
            <w:pPr>
              <w:jc w:val="right"/>
            </w:pPr>
            <w:r>
              <w:rPr>
                <w:sz w:val="18"/>
              </w:rPr>
              <w:t>Calibrated (Task 10) so the dispatch-only 2024 run matches STEG's measured fuel use: ONEM Memento 2024, specific consumption 194.8 toe(PCS)/GWh, PCI = 0.9 PCS</w:t>
            </w:r>
          </w:p>
        </w:tc>
      </w:tr>
      <w:tr>
        <w:tc>
          <w:tcPr>
            <w:tcW w:type="dxa" w:w="2381"/>
          </w:tcPr>
          <w:p>
            <w:r>
              <w:rPr>
                <w:sz w:val="18"/>
              </w:rPr>
              <w:t>ocgt_investment</w:t>
            </w:r>
          </w:p>
        </w:tc>
        <w:tc>
          <w:tcPr>
            <w:tcW w:type="dxa" w:w="1020"/>
          </w:tcPr>
          <w:p>
            <w:pPr>
              <w:jc w:val="right"/>
            </w:pPr>
            <w:r>
              <w:rPr>
                <w:sz w:val="18"/>
              </w:rPr>
              <w:t>581.4</w:t>
            </w:r>
          </w:p>
        </w:tc>
        <w:tc>
          <w:tcPr>
            <w:tcW w:type="dxa" w:w="1134"/>
          </w:tcPr>
          <w:p>
            <w:pPr>
              <w:jc w:val="right"/>
            </w:pPr>
            <w:r>
              <w:rPr>
                <w:sz w:val="18"/>
              </w:rPr>
              <w:t>EUR/kW</w:t>
            </w:r>
          </w:p>
        </w:tc>
        <w:tc>
          <w:tcPr>
            <w:tcW w:type="dxa" w:w="1020"/>
          </w:tcPr>
          <w:p>
            <w:pPr>
              <w:jc w:val="right"/>
            </w:pPr>
            <w:r>
              <w:rPr>
                <w:sz w:val="18"/>
              </w:rPr>
              <w:t>sourced</w:t>
            </w:r>
          </w:p>
        </w:tc>
        <w:tc>
          <w:tcPr>
            <w:tcW w:type="dxa" w:w="3742"/>
          </w:tcPr>
          <w:p>
            <w:pPr>
              <w:jc w:val="right"/>
            </w:pPr>
            <w:r>
              <w:rPr>
                <w:sz w:val="18"/>
              </w:rPr>
              <w:t>PyPSA technology-data v0.15.0 costs_2030.csv (OCGT, investment); original: Danish Energy Agency, inputs/technology_data_for_el_and_dh.xlsx</w:t>
            </w:r>
          </w:p>
        </w:tc>
      </w:tr>
      <w:tr>
        <w:tc>
          <w:tcPr>
            <w:tcW w:type="dxa" w:w="2381"/>
          </w:tcPr>
          <w:p>
            <w:r>
              <w:rPr>
                <w:sz w:val="18"/>
              </w:rPr>
              <w:t>ocgt_fom</w:t>
            </w:r>
          </w:p>
        </w:tc>
        <w:tc>
          <w:tcPr>
            <w:tcW w:type="dxa" w:w="1020"/>
          </w:tcPr>
          <w:p>
            <w:pPr>
              <w:jc w:val="right"/>
            </w:pPr>
            <w:r>
              <w:rPr>
                <w:sz w:val="18"/>
              </w:rPr>
              <w:t>1.78</w:t>
            </w:r>
          </w:p>
        </w:tc>
        <w:tc>
          <w:tcPr>
            <w:tcW w:type="dxa" w:w="1134"/>
          </w:tcPr>
          <w:p>
            <w:pPr>
              <w:jc w:val="right"/>
            </w:pPr>
            <w:r>
              <w:rPr>
                <w:sz w:val="18"/>
              </w:rPr>
              <w:t>%/year</w:t>
            </w:r>
          </w:p>
        </w:tc>
        <w:tc>
          <w:tcPr>
            <w:tcW w:type="dxa" w:w="1020"/>
          </w:tcPr>
          <w:p>
            <w:pPr>
              <w:jc w:val="right"/>
            </w:pPr>
            <w:r>
              <w:rPr>
                <w:sz w:val="18"/>
              </w:rPr>
              <w:t>sourced</w:t>
            </w:r>
          </w:p>
        </w:tc>
        <w:tc>
          <w:tcPr>
            <w:tcW w:type="dxa" w:w="3742"/>
          </w:tcPr>
          <w:p>
            <w:pPr>
              <w:jc w:val="right"/>
            </w:pPr>
            <w:r>
              <w:rPr>
                <w:sz w:val="18"/>
              </w:rPr>
              <w:t>PyPSA technology-data v0.15.0 costs_2030.csv (OCGT, FOM); original: Danish Energy Agency, inputs/technology_data_for_el_and_dh.xlsx</w:t>
            </w:r>
          </w:p>
        </w:tc>
      </w:tr>
      <w:tr>
        <w:tc>
          <w:tcPr>
            <w:tcW w:type="dxa" w:w="2381"/>
          </w:tcPr>
          <w:p>
            <w:r>
              <w:rPr>
                <w:sz w:val="18"/>
              </w:rPr>
              <w:t>ocgt_lifetime</w:t>
            </w:r>
          </w:p>
        </w:tc>
        <w:tc>
          <w:tcPr>
            <w:tcW w:type="dxa" w:w="1020"/>
          </w:tcPr>
          <w:p>
            <w:pPr>
              <w:jc w:val="right"/>
            </w:pPr>
            <w:r>
              <w:rPr>
                <w:sz w:val="18"/>
              </w:rPr>
              <w:t>25</w:t>
            </w:r>
          </w:p>
        </w:tc>
        <w:tc>
          <w:tcPr>
            <w:tcW w:type="dxa" w:w="1134"/>
          </w:tcPr>
          <w:p>
            <w:pPr>
              <w:jc w:val="right"/>
            </w:pPr>
            <w:r>
              <w:rPr>
                <w:sz w:val="18"/>
              </w:rPr>
              <w:t>years</w:t>
            </w:r>
          </w:p>
        </w:tc>
        <w:tc>
          <w:tcPr>
            <w:tcW w:type="dxa" w:w="1020"/>
          </w:tcPr>
          <w:p>
            <w:pPr>
              <w:jc w:val="right"/>
            </w:pPr>
            <w:r>
              <w:rPr>
                <w:sz w:val="18"/>
              </w:rPr>
              <w:t>sourced</w:t>
            </w:r>
          </w:p>
        </w:tc>
        <w:tc>
          <w:tcPr>
            <w:tcW w:type="dxa" w:w="3742"/>
          </w:tcPr>
          <w:p>
            <w:pPr>
              <w:jc w:val="right"/>
            </w:pPr>
            <w:r>
              <w:rPr>
                <w:sz w:val="18"/>
              </w:rPr>
              <w:t>PyPSA technology-data v0.15.0 costs_2030.csv (OCGT, lifetime); original: Danish Energy Agency, inputs/technology_data_for_el_and_dh.xlsx</w:t>
            </w:r>
          </w:p>
        </w:tc>
      </w:tr>
      <w:tr>
        <w:tc>
          <w:tcPr>
            <w:tcW w:type="dxa" w:w="2381"/>
          </w:tcPr>
          <w:p>
            <w:r>
              <w:rPr>
                <w:sz w:val="18"/>
              </w:rPr>
              <w:t>gas_co2_intensity</w:t>
            </w:r>
          </w:p>
        </w:tc>
        <w:tc>
          <w:tcPr>
            <w:tcW w:type="dxa" w:w="1020"/>
          </w:tcPr>
          <w:p>
            <w:pPr>
              <w:jc w:val="right"/>
            </w:pPr>
            <w:r>
              <w:rPr>
                <w:sz w:val="18"/>
              </w:rPr>
              <w:t>0.198</w:t>
            </w:r>
          </w:p>
        </w:tc>
        <w:tc>
          <w:tcPr>
            <w:tcW w:type="dxa" w:w="1134"/>
          </w:tcPr>
          <w:p>
            <w:pPr>
              <w:jc w:val="right"/>
            </w:pPr>
            <w:r>
              <w:rPr>
                <w:sz w:val="18"/>
              </w:rPr>
              <w:t>tCO2/MWh_th</w:t>
            </w:r>
          </w:p>
        </w:tc>
        <w:tc>
          <w:tcPr>
            <w:tcW w:type="dxa" w:w="1020"/>
          </w:tcPr>
          <w:p>
            <w:pPr>
              <w:jc w:val="right"/>
            </w:pPr>
            <w:r>
              <w:rPr>
                <w:sz w:val="18"/>
              </w:rPr>
              <w:t>sourced</w:t>
            </w:r>
          </w:p>
        </w:tc>
        <w:tc>
          <w:tcPr>
            <w:tcW w:type="dxa" w:w="3742"/>
          </w:tcPr>
          <w:p>
            <w:pPr>
              <w:jc w:val="right"/>
            </w:pPr>
            <w:r>
              <w:rPr>
                <w:sz w:val="18"/>
              </w:rPr>
              <w:t>PyPSA technology-data v0.15.0 costs_2030.csv (gas, CO2 intensity); original: Stoichiometric calculation with 50 GJ/t CH4</w:t>
            </w:r>
          </w:p>
        </w:tc>
      </w:tr>
      <w:tr>
        <w:tc>
          <w:tcPr>
            <w:tcW w:type="dxa" w:w="2381"/>
          </w:tcPr>
          <w:p>
            <w:r>
              <w:rPr>
                <w:sz w:val="18"/>
              </w:rPr>
              <w:t>gas_for_power_2024_ktep_ncv</w:t>
            </w:r>
          </w:p>
        </w:tc>
        <w:tc>
          <w:tcPr>
            <w:tcW w:type="dxa" w:w="1020"/>
          </w:tcPr>
          <w:p>
            <w:pPr>
              <w:jc w:val="right"/>
            </w:pPr>
            <w:r>
              <w:rPr>
                <w:sz w:val="18"/>
              </w:rPr>
              <w:t>3,168</w:t>
            </w:r>
          </w:p>
        </w:tc>
        <w:tc>
          <w:tcPr>
            <w:tcW w:type="dxa" w:w="1134"/>
          </w:tcPr>
          <w:p>
            <w:pPr>
              <w:jc w:val="right"/>
            </w:pPr>
            <w:r>
              <w:rPr>
                <w:sz w:val="18"/>
              </w:rPr>
              <w:t>ktep (net CV)</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cap_2024_selfgen_solar_lv_mw</w:t>
            </w:r>
          </w:p>
        </w:tc>
        <w:tc>
          <w:tcPr>
            <w:tcW w:type="dxa" w:w="1020"/>
          </w:tcPr>
          <w:p>
            <w:pPr>
              <w:jc w:val="right"/>
            </w:pPr>
            <w:r>
              <w:rPr>
                <w:sz w:val="18"/>
              </w:rPr>
              <w:t>315</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cap_2024_selfgen_solar_mvhv_mw</w:t>
            </w:r>
          </w:p>
        </w:tc>
        <w:tc>
          <w:tcPr>
            <w:tcW w:type="dxa" w:w="1020"/>
          </w:tcPr>
          <w:p>
            <w:pPr>
              <w:jc w:val="right"/>
            </w:pPr>
            <w:r>
              <w:rPr>
                <w:sz w:val="18"/>
              </w:rPr>
              <w:t>125</w:t>
            </w:r>
          </w:p>
        </w:tc>
        <w:tc>
          <w:tcPr>
            <w:tcW w:type="dxa" w:w="1134"/>
          </w:tcPr>
          <w:p>
            <w:pPr>
              <w:jc w:val="right"/>
            </w:pPr>
            <w:r>
              <w:rPr>
                <w:sz w:val="18"/>
              </w:rPr>
              <w:t>MW</w:t>
            </w:r>
          </w:p>
        </w:tc>
        <w:tc>
          <w:tcPr>
            <w:tcW w:type="dxa" w:w="1020"/>
          </w:tcPr>
          <w:p>
            <w:pPr>
              <w:jc w:val="right"/>
            </w:pPr>
            <w:r>
              <w:rPr>
                <w:sz w:val="18"/>
              </w:rPr>
              <w:t>sourced</w:t>
            </w:r>
          </w:p>
        </w:tc>
        <w:tc>
          <w:tcPr>
            <w:tcW w:type="dxa" w:w="3742"/>
          </w:tcPr>
          <w:p>
            <w:pPr>
              <w:jc w:val="right"/>
            </w:pPr>
            <w:r>
              <w:rPr>
                <w:sz w:val="18"/>
              </w:rPr>
              <w:t>ONEM / Ministry of Industry, Mines and Energy, Memento du secteur de l'énergie, Chiffres de 2024 (Aug 2025)</w:t>
            </w:r>
          </w:p>
        </w:tc>
      </w:tr>
      <w:tr>
        <w:tc>
          <w:tcPr>
            <w:tcW w:type="dxa" w:w="2381"/>
          </w:tcPr>
          <w:p>
            <w:r>
              <w:rPr>
                <w:sz w:val="18"/>
              </w:rPr>
              <w:t>reserve_margin</w:t>
            </w:r>
          </w:p>
        </w:tc>
        <w:tc>
          <w:tcPr>
            <w:tcW w:type="dxa" w:w="1020"/>
          </w:tcPr>
          <w:p>
            <w:pPr>
              <w:jc w:val="right"/>
            </w:pPr>
            <w:r>
              <w:rPr>
                <w:sz w:val="18"/>
              </w:rPr>
              <w:t>0.1</w:t>
            </w:r>
          </w:p>
        </w:tc>
        <w:tc>
          <w:tcPr>
            <w:tcW w:type="dxa" w:w="1134"/>
          </w:tcPr>
          <w:p>
            <w:pPr>
              <w:jc w:val="right"/>
            </w:pPr>
            <w:r>
              <w:rPr>
                <w:sz w:val="18"/>
              </w:rPr>
              <w:t>share of peak</w:t>
            </w:r>
          </w:p>
        </w:tc>
        <w:tc>
          <w:tcPr>
            <w:tcW w:type="dxa" w:w="1020"/>
          </w:tcPr>
          <w:p>
            <w:pPr>
              <w:jc w:val="right"/>
            </w:pPr>
            <w:r>
              <w:rPr>
                <w:sz w:val="18"/>
              </w:rPr>
              <w:t>sourced</w:t>
            </w:r>
          </w:p>
        </w:tc>
        <w:tc>
          <w:tcPr>
            <w:tcW w:type="dxa" w:w="3742"/>
          </w:tcPr>
          <w:p>
            <w:pPr>
              <w:jc w:val="right"/>
            </w:pPr>
            <w:r>
              <w:rPr>
                <w:sz w:val="18"/>
              </w:rPr>
              <w:t>JICA / TEPSCO / KPMG, Data Collection Survey on Power Sector in Tunisia, Final Report (Mar 2022), p.5-33</w:t>
            </w:r>
          </w:p>
        </w:tc>
      </w:tr>
    </w:tbl>
    <w:p/>
    <w:p>
      <w:pPr>
        <w:pStyle w:val="Heading1"/>
      </w:pPr>
      <w:r>
        <w:t>6. Reproducing the study</w:t>
      </w:r>
    </w:p>
    <w:p>
      <w:r>
        <w:t>The code, tests, scenario files and step-by-step instructions are in the repository README. One command (snakemake -j 1) rebuilds, solves and checks all 11 scenarios in about an hour on a laptop, and scripts/make_figures.py and scripts/make_report.py redraw the figures and this report.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