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2ED28">
      <w:pPr>
        <w:spacing w:after="800"/>
      </w:pPr>
    </w:p>
    <w:p w14:paraId="4005EC8B">
      <w:pPr>
        <w:spacing w:after="40"/>
        <w:jc w:val="center"/>
      </w:pPr>
      <w:r>
        <w:rPr>
          <w:rFonts w:ascii="Arial" w:hAnsi="Arial" w:eastAsia="Arial" w:cs="Arial"/>
          <w:b/>
          <w:bCs/>
          <w:color w:val="1B4F72"/>
          <w:sz w:val="72"/>
          <w:szCs w:val="72"/>
        </w:rPr>
        <w:t>THE TRAINER–SUPERVISOR</w:t>
      </w:r>
    </w:p>
    <w:p w14:paraId="3004B496">
      <w:pPr>
        <w:spacing w:after="200"/>
        <w:jc w:val="center"/>
      </w:pPr>
      <w:r>
        <w:rPr>
          <w:rFonts w:ascii="Arial" w:hAnsi="Arial" w:eastAsia="Arial" w:cs="Arial"/>
          <w:b/>
          <w:bCs/>
          <w:color w:val="1B4F72"/>
          <w:sz w:val="72"/>
          <w:szCs w:val="72"/>
        </w:rPr>
        <w:t>MASTERY PROGRAM</w:t>
      </w:r>
    </w:p>
    <w:p w14:paraId="54F1FAAB">
      <w:pPr>
        <w:pBdr>
          <w:top w:val="single" w:color="B7950B" w:sz="8" w:space="0"/>
          <w:bottom w:val="single" w:color="B7950B" w:sz="8" w:space="0"/>
        </w:pBdr>
        <w:shd w:val="clear" w:fill="FEF9E7"/>
        <w:spacing w:after="80"/>
        <w:ind w:left="500" w:right="500"/>
        <w:jc w:val="center"/>
      </w:pPr>
      <w:r>
        <w:rPr>
          <w:rFonts w:ascii="Arial" w:hAnsi="Arial" w:eastAsia="Arial" w:cs="Arial"/>
          <w:i/>
          <w:iCs/>
          <w:color w:val="CA6F1E"/>
          <w:sz w:val="32"/>
          <w:szCs w:val="32"/>
        </w:rPr>
        <w:t>A Four-Month Professional Development Curriculum</w:t>
      </w:r>
    </w:p>
    <w:p w14:paraId="20A2B04A">
      <w:pPr>
        <w:shd w:val="clear" w:fill="FEF9E7"/>
        <w:spacing w:before="40" w:after="400"/>
        <w:ind w:left="500" w:right="500"/>
        <w:jc w:val="center"/>
      </w:pPr>
      <w:r>
        <w:rPr>
          <w:rFonts w:ascii="Arial" w:hAnsi="Arial" w:eastAsia="Arial" w:cs="Arial"/>
          <w:i/>
          <w:iCs/>
          <w:color w:val="CA6F1E"/>
          <w:sz w:val="32"/>
          <w:szCs w:val="32"/>
        </w:rPr>
        <w:t>for Teacher Trainers and Supervisors</w:t>
      </w:r>
    </w:p>
    <w:p w14:paraId="4390A098">
      <w:pPr>
        <w:spacing w:after="160"/>
      </w:pPr>
    </w:p>
    <w:p w14:paraId="7865E95B">
      <w:pPr>
        <w:spacing w:after="60"/>
        <w:jc w:val="center"/>
      </w:pPr>
      <w:r>
        <w:rPr>
          <w:rFonts w:ascii="Arial" w:hAnsi="Arial" w:eastAsia="Arial" w:cs="Arial"/>
          <w:i/>
          <w:iCs/>
          <w:color w:val="5D6D7E"/>
          <w:sz w:val="24"/>
          <w:szCs w:val="24"/>
        </w:rPr>
        <w:t>Designed &amp; Developed by</w:t>
      </w:r>
    </w:p>
    <w:p w14:paraId="4B89E3AC">
      <w:pPr>
        <w:spacing w:after="60"/>
        <w:jc w:val="center"/>
      </w:pPr>
      <w:r>
        <w:rPr>
          <w:rFonts w:ascii="Arial" w:hAnsi="Arial" w:eastAsia="Arial" w:cs="Arial"/>
          <w:b/>
          <w:bCs/>
          <w:color w:val="1B4F72"/>
          <w:sz w:val="34"/>
          <w:szCs w:val="34"/>
        </w:rPr>
        <w:t>Rayene Medabis, M.Ed.</w:t>
      </w:r>
    </w:p>
    <w:p w14:paraId="50ECE486">
      <w:pPr>
        <w:spacing w:after="40"/>
        <w:jc w:val="center"/>
      </w:pPr>
      <w:r>
        <w:rPr>
          <w:rFonts w:ascii="Arial" w:hAnsi="Arial" w:eastAsia="Arial" w:cs="Arial"/>
          <w:color w:val="5D6D7E"/>
          <w:sz w:val="22"/>
          <w:szCs w:val="22"/>
        </w:rPr>
        <w:t>EFL Educator · Teacher Trainer · Curriculum &amp; Instructional Designer</w:t>
      </w:r>
    </w:p>
    <w:p w14:paraId="1A89A94F">
      <w:pPr>
        <w:spacing w:after="40"/>
        <w:jc w:val="center"/>
      </w:pPr>
      <w:r>
        <w:rPr>
          <w:rFonts w:ascii="Arial" w:hAnsi="Arial" w:eastAsia="Arial" w:cs="Arial"/>
          <w:color w:val="5D6D7E"/>
          <w:sz w:val="22"/>
          <w:szCs w:val="22"/>
        </w:rPr>
        <w:t>TESOL-Certified Professional · M.Ed. in Didactics</w:t>
      </w:r>
    </w:p>
    <w:p w14:paraId="1D4D56C9">
      <w:pPr>
        <w:spacing w:after="40"/>
        <w:jc w:val="center"/>
        <w:rPr>
          <w:rFonts w:hint="default"/>
          <w:lang w:val="fr-FR"/>
        </w:rPr>
      </w:pPr>
      <w:r>
        <w:rPr>
          <w:rFonts w:ascii="Arial" w:hAnsi="Arial" w:eastAsia="Arial" w:cs="Arial"/>
          <w:color w:val="5D6D7E"/>
          <w:sz w:val="22"/>
          <w:szCs w:val="22"/>
        </w:rPr>
        <w:t>Muscat, Oman · 202</w:t>
      </w:r>
      <w:r>
        <w:rPr>
          <w:rFonts w:hint="default" w:cs="Arial"/>
          <w:color w:val="5D6D7E"/>
          <w:sz w:val="22"/>
          <w:szCs w:val="22"/>
          <w:lang w:val="fr-FR"/>
        </w:rPr>
        <w:t>6</w:t>
      </w:r>
    </w:p>
    <w:p w14:paraId="3C79406D">
      <w:pPr>
        <w:spacing w:after="200"/>
      </w:pPr>
    </w:p>
    <w:p w14:paraId="4D1B3BD6">
      <w:pPr>
        <w:pBdr>
          <w:top w:val="single" w:color="D5D8DC" w:sz="4" w:space="0"/>
          <w:bottom w:val="single" w:color="D5D8DC" w:sz="4" w:space="0"/>
        </w:pBdr>
        <w:shd w:val="clear" w:fill="F2F3F4"/>
        <w:spacing w:after="60"/>
        <w:ind w:left="300" w:right="300"/>
        <w:jc w:val="center"/>
        <w:sectPr>
          <w:pgSz w:w="11906" w:h="16838"/>
          <w:pgMar w:top="1440" w:right="1800" w:bottom="1440" w:left="1800" w:header="708" w:footer="708" w:gutter="0"/>
          <w:pgBorders>
            <w:top w:val="none" w:sz="0" w:space="0"/>
            <w:left w:val="none" w:sz="0" w:space="0"/>
            <w:bottom w:val="none" w:sz="0" w:space="0"/>
            <w:right w:val="none" w:sz="0" w:space="0"/>
          </w:pgBorders>
          <w:cols w:space="720" w:num="1"/>
          <w:docGrid w:linePitch="360" w:charSpace="0"/>
        </w:sectPr>
      </w:pPr>
      <w:r>
        <w:rPr>
          <w:rFonts w:ascii="Arial" w:hAnsi="Arial" w:eastAsia="Arial" w:cs="Arial"/>
          <w:i/>
          <w:iCs/>
          <w:color w:val="5D6D7E"/>
          <w:sz w:val="18"/>
          <w:szCs w:val="18"/>
        </w:rPr>
        <w:t>© 202</w:t>
      </w:r>
      <w:r>
        <w:rPr>
          <w:rFonts w:hint="default" w:cs="Arial"/>
          <w:i/>
          <w:iCs/>
          <w:color w:val="5D6D7E"/>
          <w:sz w:val="18"/>
          <w:szCs w:val="18"/>
          <w:lang w:val="fr-FR"/>
        </w:rPr>
        <w:t>6</w:t>
      </w:r>
      <w:r>
        <w:rPr>
          <w:rFonts w:ascii="Arial" w:hAnsi="Arial" w:eastAsia="Arial" w:cs="Arial"/>
          <w:i/>
          <w:iCs/>
          <w:color w:val="5D6D7E"/>
          <w:sz w:val="18"/>
          <w:szCs w:val="18"/>
        </w:rPr>
        <w:t xml:space="preserve"> Rayene Medabis. All rights reserved. This document and its entire contents are the exclusive intellectual property of Rayene Medabis. No portion may be reproduced, distributed, adapted, or used in training or instructional contexts without explicit written permission from the author.</w:t>
      </w:r>
    </w:p>
    <w:p w14:paraId="7C3DD6A9">
      <w:pPr>
        <w:pStyle w:val="3"/>
        <w:pBdr>
          <w:bottom w:val="single" w:color="2E86C1" w:sz="8" w:space="4"/>
        </w:pBdr>
      </w:pPr>
      <w:r>
        <w:rPr>
          <w:rFonts w:ascii="Arial" w:hAnsi="Arial" w:eastAsia="Arial" w:cs="Arial"/>
          <w:b/>
          <w:bCs/>
          <w:color w:val="1B4F72"/>
          <w:sz w:val="28"/>
          <w:szCs w:val="28"/>
        </w:rPr>
        <w:t>Intellectual Property &amp; Copyright Notice</w:t>
      </w:r>
    </w:p>
    <w:p w14:paraId="5091618E">
      <w:pPr>
        <w:spacing w:before="60" w:after="120"/>
      </w:pPr>
      <w:r>
        <w:rPr>
          <w:rFonts w:ascii="Arial" w:hAnsi="Arial" w:eastAsia="Arial" w:cs="Arial"/>
          <w:color w:val="1C2833"/>
          <w:sz w:val="22"/>
          <w:szCs w:val="22"/>
        </w:rPr>
        <w:t>This curriculum document — The Trainer-Supervisor Mastery Program — including its complete program design, curriculum framework, syllabus, weekly session plans, activity descriptions, assessment tools, templates, and all associated content, is the exclusive intellectual property of Rayene Medabis. It was conceived, designed, and developed independently by the author in her professional capacity as a teacher trainer, curriculum designer, and instructional design specialist.</w:t>
      </w:r>
    </w:p>
    <w:p w14:paraId="53603A1E">
      <w:pPr>
        <w:spacing w:after="120"/>
      </w:pPr>
    </w:p>
    <w:p w14:paraId="0BAFB67A">
      <w:pPr>
        <w:spacing w:before="60" w:after="120"/>
      </w:pPr>
      <w:r>
        <w:rPr>
          <w:rFonts w:ascii="Arial" w:hAnsi="Arial" w:eastAsia="Arial" w:cs="Arial"/>
          <w:b/>
          <w:bCs/>
          <w:color w:val="1B4F72"/>
          <w:sz w:val="22"/>
          <w:szCs w:val="22"/>
        </w:rPr>
        <w:t>Author:</w:t>
      </w:r>
      <w:r>
        <w:rPr>
          <w:rFonts w:ascii="Arial" w:hAnsi="Arial" w:eastAsia="Arial" w:cs="Arial"/>
          <w:color w:val="1C2833"/>
          <w:sz w:val="22"/>
          <w:szCs w:val="22"/>
        </w:rPr>
        <w:t xml:space="preserve">  Rayene Medabis, M.Ed.  |  EFL Educator, Teacher Trainer, Curriculum &amp; Instructional Designer, TESOL-Certified Professional</w:t>
      </w:r>
    </w:p>
    <w:p w14:paraId="475DAADC">
      <w:pPr>
        <w:spacing w:before="60" w:after="120"/>
        <w:rPr>
          <w:rFonts w:hint="default"/>
          <w:lang w:val="fr-FR"/>
        </w:rPr>
      </w:pPr>
      <w:r>
        <w:rPr>
          <w:rFonts w:ascii="Arial" w:hAnsi="Arial" w:eastAsia="Arial" w:cs="Arial"/>
          <w:b/>
          <w:bCs/>
          <w:color w:val="1B4F72"/>
          <w:sz w:val="22"/>
          <w:szCs w:val="22"/>
        </w:rPr>
        <w:t>Year:</w:t>
      </w:r>
      <w:r>
        <w:rPr>
          <w:rFonts w:ascii="Arial" w:hAnsi="Arial" w:eastAsia="Arial" w:cs="Arial"/>
          <w:color w:val="1C2833"/>
          <w:sz w:val="22"/>
          <w:szCs w:val="22"/>
        </w:rPr>
        <w:t xml:space="preserve">  202</w:t>
      </w:r>
      <w:r>
        <w:rPr>
          <w:rFonts w:hint="default" w:cs="Arial"/>
          <w:color w:val="1C2833"/>
          <w:sz w:val="22"/>
          <w:szCs w:val="22"/>
          <w:lang w:val="fr-FR"/>
        </w:rPr>
        <w:t>6</w:t>
      </w:r>
    </w:p>
    <w:p w14:paraId="0BC0280C">
      <w:pPr>
        <w:spacing w:before="60" w:after="120"/>
      </w:pPr>
      <w:r>
        <w:rPr>
          <w:rFonts w:ascii="Arial" w:hAnsi="Arial" w:eastAsia="Arial" w:cs="Arial"/>
          <w:b/>
          <w:bCs/>
          <w:color w:val="1B4F72"/>
          <w:sz w:val="22"/>
          <w:szCs w:val="22"/>
        </w:rPr>
        <w:t>Location:</w:t>
      </w:r>
      <w:r>
        <w:rPr>
          <w:rFonts w:ascii="Arial" w:hAnsi="Arial" w:eastAsia="Arial" w:cs="Arial"/>
          <w:color w:val="1C2833"/>
          <w:sz w:val="22"/>
          <w:szCs w:val="22"/>
        </w:rPr>
        <w:t xml:space="preserve">  Muscat, Oman</w:t>
      </w:r>
    </w:p>
    <w:p w14:paraId="77052378">
      <w:pPr>
        <w:spacing w:before="60" w:after="120"/>
      </w:pPr>
      <w:r>
        <w:rPr>
          <w:rFonts w:ascii="Arial" w:hAnsi="Arial" w:eastAsia="Arial" w:cs="Arial"/>
          <w:b/>
          <w:bCs/>
          <w:color w:val="1C2833"/>
          <w:sz w:val="22"/>
          <w:szCs w:val="22"/>
        </w:rPr>
        <w:t>All Rights Reserved.</w:t>
      </w:r>
    </w:p>
    <w:p w14:paraId="28F5E536">
      <w:pPr>
        <w:spacing w:after="120"/>
      </w:pPr>
    </w:p>
    <w:p w14:paraId="252B1D90">
      <w:pPr>
        <w:spacing w:before="60" w:after="120"/>
      </w:pPr>
      <w:r>
        <w:rPr>
          <w:rFonts w:ascii="Arial" w:hAnsi="Arial" w:eastAsia="Arial" w:cs="Arial"/>
          <w:color w:val="1C2833"/>
          <w:sz w:val="22"/>
          <w:szCs w:val="22"/>
        </w:rPr>
        <w:t>No part of this document may be reproduced, copied, adapted, translated, delivered as training, published in any format, or used for commercial or institutional purposes without the prior, explicit, written consent of Rayene Medabis. Unauthorized use constitutes a violation of intellectual property rights.</w:t>
      </w:r>
    </w:p>
    <w:p w14:paraId="37E3C518">
      <w:pPr>
        <w:spacing w:before="60" w:after="120"/>
      </w:pPr>
      <w:r>
        <w:rPr>
          <w:rFonts w:ascii="Arial" w:hAnsi="Arial" w:eastAsia="Arial" w:cs="Arial"/>
          <w:color w:val="1C2833"/>
          <w:sz w:val="22"/>
          <w:szCs w:val="22"/>
        </w:rPr>
        <w:t>For licensing, permissions, professional collaboration inquiries, or customized delivery of this program, please contact the author directly via LinkedIn.</w:t>
      </w:r>
    </w:p>
    <w:p w14:paraId="15DAB1C7">
      <w:pPr>
        <w:pBdr>
          <w:bottom w:val="single" w:color="D5D8DC" w:sz="6" w:space="0"/>
        </w:pBdr>
        <w:spacing w:before="200" w:after="200"/>
      </w:pPr>
    </w:p>
    <w:p w14:paraId="419BAE81">
      <w:pPr>
        <w:pBdr>
          <w:bottom w:val="single" w:color="D5D8DC" w:sz="6" w:space="0"/>
        </w:pBdr>
        <w:spacing w:before="200" w:after="200"/>
      </w:pPr>
    </w:p>
    <w:p w14:paraId="14ED3423">
      <w:pPr>
        <w:pBdr>
          <w:bottom w:val="single" w:color="D5D8DC" w:sz="6" w:space="0"/>
        </w:pBdr>
        <w:spacing w:before="200" w:after="200"/>
      </w:pPr>
    </w:p>
    <w:p w14:paraId="06608620">
      <w:pPr>
        <w:pBdr>
          <w:bottom w:val="single" w:color="D5D8DC" w:sz="6" w:space="0"/>
        </w:pBdr>
        <w:spacing w:before="200" w:after="200"/>
      </w:pPr>
    </w:p>
    <w:p w14:paraId="5A9F2670">
      <w:pPr>
        <w:pBdr>
          <w:bottom w:val="single" w:color="D5D8DC" w:sz="6" w:space="0"/>
        </w:pBdr>
        <w:spacing w:before="200" w:after="200"/>
      </w:pPr>
    </w:p>
    <w:p w14:paraId="209BABA9">
      <w:pPr>
        <w:pBdr>
          <w:bottom w:val="single" w:color="D5D8DC" w:sz="6" w:space="0"/>
        </w:pBdr>
        <w:spacing w:before="200" w:after="200"/>
      </w:pPr>
    </w:p>
    <w:p w14:paraId="2E5E2CA7">
      <w:pPr>
        <w:pBdr>
          <w:bottom w:val="single" w:color="D5D8DC" w:sz="6" w:space="0"/>
        </w:pBdr>
        <w:spacing w:before="200" w:after="200"/>
      </w:pPr>
    </w:p>
    <w:p w14:paraId="337997B5">
      <w:pPr>
        <w:pBdr>
          <w:bottom w:val="single" w:color="D5D8DC" w:sz="6" w:space="0"/>
        </w:pBdr>
        <w:spacing w:before="200" w:after="200"/>
      </w:pPr>
    </w:p>
    <w:p w14:paraId="7D2E9ECA">
      <w:pPr>
        <w:pBdr>
          <w:bottom w:val="single" w:color="D5D8DC" w:sz="6" w:space="0"/>
        </w:pBdr>
        <w:spacing w:before="200" w:after="200"/>
      </w:pPr>
    </w:p>
    <w:p w14:paraId="31AE192B">
      <w:pPr>
        <w:pBdr>
          <w:bottom w:val="single" w:color="D5D8DC" w:sz="6" w:space="0"/>
        </w:pBdr>
        <w:spacing w:before="200" w:after="200"/>
      </w:pPr>
    </w:p>
    <w:p w14:paraId="475A2685">
      <w:pPr>
        <w:pBdr>
          <w:bottom w:val="single" w:color="D5D8DC" w:sz="6" w:space="0"/>
        </w:pBdr>
        <w:spacing w:before="200" w:after="200"/>
      </w:pPr>
    </w:p>
    <w:p w14:paraId="3C42B7F9">
      <w:pPr>
        <w:pBdr>
          <w:bottom w:val="single" w:color="D5D8DC" w:sz="6" w:space="0"/>
        </w:pBdr>
        <w:spacing w:before="200" w:after="200"/>
      </w:pPr>
    </w:p>
    <w:p w14:paraId="485DCE5F">
      <w:pPr>
        <w:pBdr>
          <w:bottom w:val="single" w:color="D5D8DC" w:sz="6" w:space="0"/>
        </w:pBdr>
        <w:spacing w:before="200" w:after="200"/>
      </w:pPr>
    </w:p>
    <w:p w14:paraId="1FA4407A">
      <w:pPr>
        <w:pBdr>
          <w:bottom w:val="single" w:color="D5D8DC" w:sz="6" w:space="0"/>
        </w:pBdr>
        <w:spacing w:before="200" w:after="200"/>
      </w:pPr>
    </w:p>
    <w:p w14:paraId="0FFEC245">
      <w:pPr>
        <w:pBdr>
          <w:bottom w:val="single" w:color="D5D8DC" w:sz="6" w:space="0"/>
        </w:pBdr>
        <w:spacing w:before="200" w:after="200"/>
      </w:pPr>
    </w:p>
    <w:p w14:paraId="744E734E">
      <w:pPr>
        <w:pBdr>
          <w:bottom w:val="single" w:color="D5D8DC" w:sz="6" w:space="0"/>
        </w:pBdr>
        <w:spacing w:before="200" w:after="200"/>
      </w:pPr>
    </w:p>
    <w:p w14:paraId="12DBA59E">
      <w:pPr>
        <w:pStyle w:val="3"/>
        <w:pBdr>
          <w:bottom w:val="single" w:color="2E86C1" w:sz="8" w:space="4"/>
        </w:pBdr>
      </w:pPr>
      <w:r>
        <w:rPr>
          <w:rFonts w:ascii="Arial" w:hAnsi="Arial" w:eastAsia="Arial" w:cs="Arial"/>
          <w:b/>
          <w:bCs/>
          <w:color w:val="1B4F72"/>
          <w:sz w:val="28"/>
          <w:szCs w:val="28"/>
        </w:rPr>
        <w:t>How to Use This Document</w:t>
      </w:r>
    </w:p>
    <w:p w14:paraId="72CF8F32">
      <w:pPr>
        <w:spacing w:before="60" w:after="120"/>
      </w:pPr>
      <w:r>
        <w:rPr>
          <w:rFonts w:ascii="Arial" w:hAnsi="Arial" w:eastAsia="Arial" w:cs="Arial"/>
          <w:color w:val="1C2833"/>
          <w:sz w:val="22"/>
          <w:szCs w:val="22"/>
        </w:rPr>
        <w:t>This document is organized into five main parts. It is intended to function both as a facilitator guide and as a curriculum reference document.</w:t>
      </w:r>
    </w:p>
    <w:p w14:paraId="4C0B6A1C">
      <w:pPr>
        <w:spacing w:after="120"/>
      </w:pPr>
    </w:p>
    <w:p w14:paraId="11A76CF2">
      <w:pPr>
        <w:pStyle w:val="16"/>
        <w:numPr>
          <w:ilvl w:val="0"/>
          <w:numId w:val="1"/>
        </w:numPr>
      </w:pPr>
      <w:r>
        <w:rPr>
          <w:rFonts w:ascii="Arial" w:hAnsi="Arial" w:eastAsia="Arial" w:cs="Arial"/>
          <w:b/>
          <w:bCs/>
          <w:color w:val="1C2833"/>
          <w:sz w:val="22"/>
          <w:szCs w:val="22"/>
        </w:rPr>
        <w:t xml:space="preserve">Part One: Program Overview &amp; Instructional Design Framework: </w:t>
      </w:r>
      <w:r>
        <w:rPr>
          <w:rFonts w:ascii="Arial" w:hAnsi="Arial" w:eastAsia="Arial" w:cs="Arial"/>
          <w:color w:val="1C2833"/>
          <w:sz w:val="22"/>
          <w:szCs w:val="22"/>
        </w:rPr>
        <w:t>provides the theoretical and design foundation of the program. Read this first to understand the design logic before delivering or adapting any content.</w:t>
      </w:r>
    </w:p>
    <w:p w14:paraId="5FD2A170">
      <w:pPr>
        <w:pStyle w:val="16"/>
        <w:numPr>
          <w:ilvl w:val="0"/>
          <w:numId w:val="1"/>
        </w:numPr>
      </w:pPr>
      <w:r>
        <w:rPr>
          <w:rFonts w:ascii="Arial" w:hAnsi="Arial" w:eastAsia="Arial" w:cs="Arial"/>
          <w:b/>
          <w:bCs/>
          <w:color w:val="1C2833"/>
          <w:sz w:val="22"/>
          <w:szCs w:val="22"/>
        </w:rPr>
        <w:t xml:space="preserve">Part Two: Competency Framework: </w:t>
      </w:r>
      <w:r>
        <w:rPr>
          <w:rFonts w:ascii="Arial" w:hAnsi="Arial" w:eastAsia="Arial" w:cs="Arial"/>
          <w:color w:val="1C2833"/>
          <w:sz w:val="22"/>
          <w:szCs w:val="22"/>
        </w:rPr>
        <w:t>maps the program's exit outcomes against core professional competency domains. Use it for intake and exit assessments.</w:t>
      </w:r>
    </w:p>
    <w:p w14:paraId="21E93E4E">
      <w:pPr>
        <w:pStyle w:val="16"/>
        <w:numPr>
          <w:ilvl w:val="0"/>
          <w:numId w:val="1"/>
        </w:numPr>
      </w:pPr>
      <w:r>
        <w:rPr>
          <w:rFonts w:ascii="Arial" w:hAnsi="Arial" w:eastAsia="Arial" w:cs="Arial"/>
          <w:b/>
          <w:bCs/>
          <w:color w:val="1C2833"/>
          <w:sz w:val="22"/>
          <w:szCs w:val="22"/>
        </w:rPr>
        <w:t xml:space="preserve">Part Three: Monthly Curriculum (Months 1–4): </w:t>
      </w:r>
      <w:r>
        <w:rPr>
          <w:rFonts w:ascii="Arial" w:hAnsi="Arial" w:eastAsia="Arial" w:cs="Arial"/>
          <w:color w:val="1C2833"/>
          <w:sz w:val="22"/>
          <w:szCs w:val="22"/>
        </w:rPr>
        <w:t>contains the full session-by-session content including topics, learning outcomes, activities, hands-on practice tasks, common challenges, and trainer tips. This is the instructional core of the document.</w:t>
      </w:r>
    </w:p>
    <w:p w14:paraId="4D7613FD">
      <w:pPr>
        <w:pStyle w:val="16"/>
        <w:numPr>
          <w:ilvl w:val="0"/>
          <w:numId w:val="1"/>
        </w:numPr>
      </w:pPr>
      <w:r>
        <w:rPr>
          <w:rFonts w:ascii="Arial" w:hAnsi="Arial" w:eastAsia="Arial" w:cs="Arial"/>
          <w:b/>
          <w:bCs/>
          <w:color w:val="1C2833"/>
          <w:sz w:val="22"/>
          <w:szCs w:val="22"/>
        </w:rPr>
        <w:t xml:space="preserve">Part Four: Master Syllabus &amp; Assessment Framework: </w:t>
      </w:r>
      <w:r>
        <w:rPr>
          <w:rFonts w:ascii="Arial" w:hAnsi="Arial" w:eastAsia="Arial" w:cs="Arial"/>
          <w:color w:val="1C2833"/>
          <w:sz w:val="22"/>
          <w:szCs w:val="22"/>
        </w:rPr>
        <w:t>provides a consolidated 16-week overview table and the full assessment architecture including formative tasks, portfolio requirements, and summative rubrics.</w:t>
      </w:r>
    </w:p>
    <w:p w14:paraId="10F896DF">
      <w:pPr>
        <w:pStyle w:val="16"/>
        <w:numPr>
          <w:ilvl w:val="0"/>
          <w:numId w:val="1"/>
        </w:numPr>
      </w:pPr>
      <w:r>
        <w:rPr>
          <w:rFonts w:ascii="Arial" w:hAnsi="Arial" w:eastAsia="Arial" w:cs="Arial"/>
          <w:b/>
          <w:bCs/>
          <w:color w:val="1C2833"/>
          <w:sz w:val="22"/>
          <w:szCs w:val="22"/>
        </w:rPr>
        <w:t xml:space="preserve">Part Five: Appendices: </w:t>
      </w:r>
      <w:r>
        <w:rPr>
          <w:rFonts w:ascii="Arial" w:hAnsi="Arial" w:eastAsia="Arial" w:cs="Arial"/>
          <w:color w:val="1C2833"/>
          <w:sz w:val="22"/>
          <w:szCs w:val="22"/>
        </w:rPr>
        <w:t>includes a glossary of key terms, a curated reading list, and essential professional templates for observation, conferencing, and session planning.</w:t>
      </w:r>
    </w:p>
    <w:p w14:paraId="1FB305BD">
      <w:r>
        <w:br w:type="page"/>
      </w:r>
    </w:p>
    <w:p w14:paraId="1A4FA32C">
      <w:pPr>
        <w:pStyle w:val="2"/>
        <w:shd w:val="clear" w:fill="E36C09" w:themeFill="accent6" w:themeFillShade="BF"/>
        <w:spacing w:before="0" w:after="200"/>
        <w:ind w:right="240"/>
      </w:pPr>
      <w:r>
        <w:rPr>
          <w:rFonts w:ascii="Arial" w:hAnsi="Arial" w:eastAsia="Arial" w:cs="Arial"/>
          <w:b/>
          <w:bCs/>
          <w:color w:val="FFFFFF"/>
          <w:sz w:val="38"/>
          <w:szCs w:val="38"/>
        </w:rPr>
        <w:t>PROGRAM OVERVIEW</w:t>
      </w:r>
    </w:p>
    <w:p w14:paraId="20792A79">
      <w:pPr>
        <w:pStyle w:val="3"/>
        <w:pBdr>
          <w:bottom w:val="single" w:color="2E86C1" w:sz="8" w:space="4"/>
        </w:pBdr>
      </w:pPr>
      <w:r>
        <w:rPr>
          <w:rFonts w:ascii="Arial" w:hAnsi="Arial" w:eastAsia="Arial" w:cs="Arial"/>
          <w:b/>
          <w:bCs/>
          <w:color w:val="1B4F72"/>
          <w:sz w:val="28"/>
          <w:szCs w:val="28"/>
        </w:rPr>
        <w:t>Program Philosophy</w:t>
      </w:r>
    </w:p>
    <w:p w14:paraId="0D8DD163">
      <w:pPr>
        <w:spacing w:before="60" w:after="120"/>
      </w:pPr>
      <w:r>
        <w:rPr>
          <w:rFonts w:ascii="Arial" w:hAnsi="Arial" w:eastAsia="Arial" w:cs="Arial"/>
          <w:color w:val="1C2833"/>
          <w:sz w:val="22"/>
          <w:szCs w:val="22"/>
        </w:rPr>
        <w:t>The Trainer-Supervisor Mastery Program is grounded in the belief that effective trainer-supervisors are not simply experienced teachers who have been promoted. They are professionals who require deliberate, structured development in a distinct and demanding set of competencies. The ability to observe without evaluating prematurely, to ask questions rather than provide answers, to give feedback that builds rather than diminishes, and to design training that respects the intelligence and experience of adult professionals — these are skills that must be learned, practiced, and refined.</w:t>
      </w:r>
    </w:p>
    <w:p w14:paraId="496912F4">
      <w:pPr>
        <w:spacing w:before="60" w:after="120"/>
      </w:pPr>
      <w:r>
        <w:rPr>
          <w:rFonts w:ascii="Arial" w:hAnsi="Arial" w:eastAsia="Arial" w:cs="Arial"/>
          <w:color w:val="1C2833"/>
          <w:sz w:val="22"/>
          <w:szCs w:val="22"/>
        </w:rPr>
        <w:t>This program treats participants as capable, experienced professionals who are transitioning into or deepening a specialist role. It does not assume they are beginners — it assumes they are ready to be challenged, stretched, and given real tools for real work. The design prioritizes doing over listening, reflection over reception, and genuine professional dialogue over passive content delivery.</w:t>
      </w:r>
    </w:p>
    <w:p w14:paraId="0341035E">
      <w:pPr>
        <w:pStyle w:val="3"/>
        <w:pBdr>
          <w:bottom w:val="single" w:color="2E86C1" w:sz="8" w:space="4"/>
        </w:pBdr>
      </w:pPr>
      <w:r>
        <w:rPr>
          <w:rFonts w:ascii="Arial" w:hAnsi="Arial" w:eastAsia="Arial" w:cs="Arial"/>
          <w:b/>
          <w:bCs/>
          <w:color w:val="1B4F72"/>
          <w:sz w:val="28"/>
          <w:szCs w:val="28"/>
        </w:rPr>
        <w:t>Target Audience</w:t>
      </w:r>
    </w:p>
    <w:p w14:paraId="0155CABB">
      <w:pPr>
        <w:spacing w:before="60" w:after="120"/>
      </w:pPr>
      <w:r>
        <w:rPr>
          <w:rFonts w:ascii="Arial" w:hAnsi="Arial" w:eastAsia="Arial" w:cs="Arial"/>
          <w:color w:val="1C2833"/>
          <w:sz w:val="22"/>
          <w:szCs w:val="22"/>
        </w:rPr>
        <w:t>This program is designed for professionals in EFL, ESL, or general educational contexts who are actively working in or preparing to take on roles in teacher training, academic supervision, instructional coaching, or professional development coordination.</w:t>
      </w:r>
    </w:p>
    <w:p w14:paraId="5EAF882F">
      <w:pPr>
        <w:pStyle w:val="16"/>
        <w:numPr>
          <w:ilvl w:val="0"/>
          <w:numId w:val="1"/>
        </w:numPr>
      </w:pPr>
      <w:r>
        <w:rPr>
          <w:rFonts w:ascii="Arial" w:hAnsi="Arial" w:eastAsia="Arial" w:cs="Arial"/>
          <w:b w:val="0"/>
          <w:bCs w:val="0"/>
          <w:color w:val="1C2833"/>
          <w:sz w:val="22"/>
          <w:szCs w:val="22"/>
        </w:rPr>
        <w:t>Experienced teachers transitioning into trainer or supervisor roles</w:t>
      </w:r>
    </w:p>
    <w:p w14:paraId="3703AF97">
      <w:pPr>
        <w:pStyle w:val="16"/>
        <w:numPr>
          <w:ilvl w:val="0"/>
          <w:numId w:val="1"/>
        </w:numPr>
      </w:pPr>
      <w:r>
        <w:rPr>
          <w:rFonts w:ascii="Arial" w:hAnsi="Arial" w:eastAsia="Arial" w:cs="Arial"/>
          <w:b w:val="0"/>
          <w:bCs w:val="0"/>
          <w:color w:val="1C2833"/>
          <w:sz w:val="22"/>
          <w:szCs w:val="22"/>
        </w:rPr>
        <w:t>Practicing teacher trainers seeking formal professional development</w:t>
      </w:r>
    </w:p>
    <w:p w14:paraId="3232609F">
      <w:pPr>
        <w:pStyle w:val="16"/>
        <w:numPr>
          <w:ilvl w:val="0"/>
          <w:numId w:val="1"/>
        </w:numPr>
      </w:pPr>
      <w:r>
        <w:rPr>
          <w:rFonts w:ascii="Arial" w:hAnsi="Arial" w:eastAsia="Arial" w:cs="Arial"/>
          <w:b w:val="0"/>
          <w:bCs w:val="0"/>
          <w:color w:val="1C2833"/>
          <w:sz w:val="22"/>
          <w:szCs w:val="22"/>
        </w:rPr>
        <w:t>Academic supervisors and department heads responsible for teacher observation and appraisal</w:t>
      </w:r>
    </w:p>
    <w:p w14:paraId="52D89649">
      <w:pPr>
        <w:pStyle w:val="16"/>
        <w:numPr>
          <w:ilvl w:val="0"/>
          <w:numId w:val="1"/>
        </w:numPr>
      </w:pPr>
      <w:r>
        <w:rPr>
          <w:rFonts w:ascii="Arial" w:hAnsi="Arial" w:eastAsia="Arial" w:cs="Arial"/>
          <w:b w:val="0"/>
          <w:bCs w:val="0"/>
          <w:color w:val="1C2833"/>
          <w:sz w:val="22"/>
          <w:szCs w:val="22"/>
        </w:rPr>
        <w:t>Professional development coordinators in schools, language institutes, or training organizations</w:t>
      </w:r>
    </w:p>
    <w:p w14:paraId="04770B83">
      <w:pPr>
        <w:pStyle w:val="16"/>
        <w:numPr>
          <w:ilvl w:val="0"/>
          <w:numId w:val="1"/>
        </w:numPr>
      </w:pPr>
      <w:r>
        <w:rPr>
          <w:rFonts w:ascii="Arial" w:hAnsi="Arial" w:eastAsia="Arial" w:cs="Arial"/>
          <w:b w:val="0"/>
          <w:bCs w:val="0"/>
          <w:color w:val="1C2833"/>
          <w:sz w:val="22"/>
          <w:szCs w:val="22"/>
        </w:rPr>
        <w:t>ELT methodology instructors in TESOL or teacher education programs</w:t>
      </w:r>
    </w:p>
    <w:p w14:paraId="02941780">
      <w:pPr>
        <w:spacing w:after="120"/>
      </w:pPr>
    </w:p>
    <w:p w14:paraId="6457A399">
      <w:pPr>
        <w:spacing w:before="60" w:after="120"/>
      </w:pPr>
      <w:r>
        <w:rPr>
          <w:rFonts w:ascii="Arial" w:hAnsi="Arial" w:eastAsia="Arial" w:cs="Arial"/>
          <w:b/>
          <w:bCs/>
          <w:color w:val="1C2833"/>
          <w:sz w:val="22"/>
          <w:szCs w:val="22"/>
        </w:rPr>
        <w:t xml:space="preserve">Prerequisites: </w:t>
      </w:r>
    </w:p>
    <w:p w14:paraId="1B07BDB7">
      <w:pPr>
        <w:pStyle w:val="16"/>
        <w:numPr>
          <w:ilvl w:val="0"/>
          <w:numId w:val="1"/>
        </w:numPr>
      </w:pPr>
      <w:r>
        <w:rPr>
          <w:rFonts w:ascii="Arial" w:hAnsi="Arial" w:eastAsia="Arial" w:cs="Arial"/>
          <w:b w:val="0"/>
          <w:bCs w:val="0"/>
          <w:color w:val="1C2833"/>
          <w:sz w:val="22"/>
          <w:szCs w:val="22"/>
        </w:rPr>
        <w:t>A minimum of three years of classroom teaching experience</w:t>
      </w:r>
    </w:p>
    <w:p w14:paraId="5B7B7CBE">
      <w:pPr>
        <w:pStyle w:val="16"/>
        <w:numPr>
          <w:ilvl w:val="0"/>
          <w:numId w:val="1"/>
        </w:numPr>
      </w:pPr>
      <w:r>
        <w:rPr>
          <w:rFonts w:ascii="Arial" w:hAnsi="Arial" w:eastAsia="Arial" w:cs="Arial"/>
          <w:b w:val="0"/>
          <w:bCs w:val="0"/>
          <w:color w:val="1C2833"/>
          <w:sz w:val="22"/>
          <w:szCs w:val="22"/>
        </w:rPr>
        <w:t>Familiarity with basic EFL/ESL methodology and lesson planning</w:t>
      </w:r>
    </w:p>
    <w:p w14:paraId="56C91743">
      <w:pPr>
        <w:pStyle w:val="16"/>
        <w:numPr>
          <w:ilvl w:val="0"/>
          <w:numId w:val="1"/>
        </w:numPr>
      </w:pPr>
      <w:r>
        <w:rPr>
          <w:rFonts w:ascii="Arial" w:hAnsi="Arial" w:eastAsia="Arial" w:cs="Arial"/>
          <w:b w:val="0"/>
          <w:bCs w:val="0"/>
          <w:color w:val="1C2833"/>
          <w:sz w:val="22"/>
          <w:szCs w:val="22"/>
        </w:rPr>
        <w:t>Current or imminent engagement in a trainer, supervisor, or leadership role</w:t>
      </w:r>
    </w:p>
    <w:p w14:paraId="6280F0CC">
      <w:pPr>
        <w:pStyle w:val="3"/>
        <w:pBdr>
          <w:bottom w:val="single" w:color="2E86C1" w:sz="8" w:space="4"/>
        </w:pBdr>
      </w:pPr>
      <w:r>
        <w:rPr>
          <w:rFonts w:ascii="Arial" w:hAnsi="Arial" w:eastAsia="Arial" w:cs="Arial"/>
          <w:b/>
          <w:bCs/>
          <w:color w:val="1B4F72"/>
          <w:sz w:val="28"/>
          <w:szCs w:val="28"/>
        </w:rPr>
        <w:t>Program Duration &amp; Structure</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722A6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8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1B65A526">
            <w:r>
              <w:rPr>
                <w:rFonts w:ascii="Arial" w:hAnsi="Arial" w:eastAsia="Arial" w:cs="Arial"/>
                <w:b/>
                <w:bCs/>
                <w:color w:val="FFFFFF"/>
                <w:sz w:val="22"/>
                <w:szCs w:val="22"/>
              </w:rPr>
              <w:t>Parameter</w:t>
            </w:r>
          </w:p>
        </w:tc>
        <w:tc>
          <w:tcPr>
            <w:tcW w:w="6226"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0A13C377">
            <w:r>
              <w:rPr>
                <w:rFonts w:ascii="Arial" w:hAnsi="Arial" w:eastAsia="Arial" w:cs="Arial"/>
                <w:b/>
                <w:bCs/>
                <w:color w:val="FFFFFF"/>
                <w:sz w:val="22"/>
                <w:szCs w:val="22"/>
              </w:rPr>
              <w:t>Details</w:t>
            </w:r>
          </w:p>
        </w:tc>
      </w:tr>
      <w:tr w14:paraId="7BB4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93F875C">
            <w:r>
              <w:rPr>
                <w:rFonts w:ascii="Arial" w:hAnsi="Arial" w:eastAsia="Arial" w:cs="Arial"/>
                <w:b w:val="0"/>
                <w:bCs w:val="0"/>
                <w:color w:val="1C2833"/>
                <w:sz w:val="20"/>
                <w:szCs w:val="20"/>
              </w:rPr>
              <w:t>Total Duration</w:t>
            </w:r>
          </w:p>
        </w:tc>
        <w:tc>
          <w:tcPr>
            <w:tcW w:w="62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04DE473">
            <w:r>
              <w:rPr>
                <w:rFonts w:ascii="Arial" w:hAnsi="Arial" w:eastAsia="Arial" w:cs="Arial"/>
                <w:b w:val="0"/>
                <w:bCs w:val="0"/>
                <w:color w:val="1C2833"/>
                <w:sz w:val="20"/>
                <w:szCs w:val="20"/>
              </w:rPr>
              <w:t>4 Months (16 Weeks)</w:t>
            </w:r>
          </w:p>
        </w:tc>
      </w:tr>
      <w:tr w14:paraId="4FB96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18285E1">
            <w:r>
              <w:rPr>
                <w:rFonts w:ascii="Arial" w:hAnsi="Arial" w:eastAsia="Arial" w:cs="Arial"/>
                <w:b w:val="0"/>
                <w:bCs w:val="0"/>
                <w:color w:val="1C2833"/>
                <w:sz w:val="20"/>
                <w:szCs w:val="20"/>
              </w:rPr>
              <w:t>Program Hours</w:t>
            </w:r>
          </w:p>
        </w:tc>
        <w:tc>
          <w:tcPr>
            <w:tcW w:w="62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AC36146">
            <w:r>
              <w:rPr>
                <w:rFonts w:ascii="Arial" w:hAnsi="Arial" w:eastAsia="Arial" w:cs="Arial"/>
                <w:b w:val="0"/>
                <w:bCs w:val="0"/>
                <w:color w:val="1C2833"/>
                <w:sz w:val="20"/>
                <w:szCs w:val="20"/>
              </w:rPr>
              <w:t>Approximately 180 hours total (120 contact + 60 independent study &amp; practicum)</w:t>
            </w:r>
          </w:p>
        </w:tc>
      </w:tr>
      <w:tr w14:paraId="3319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7C78CD5">
            <w:r>
              <w:rPr>
                <w:rFonts w:ascii="Arial" w:hAnsi="Arial" w:eastAsia="Arial" w:cs="Arial"/>
                <w:b w:val="0"/>
                <w:bCs w:val="0"/>
                <w:color w:val="1C2833"/>
                <w:sz w:val="20"/>
                <w:szCs w:val="20"/>
              </w:rPr>
              <w:t>Sessions per Week</w:t>
            </w:r>
          </w:p>
        </w:tc>
        <w:tc>
          <w:tcPr>
            <w:tcW w:w="62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4DECDB3">
            <w:r>
              <w:rPr>
                <w:rFonts w:ascii="Arial" w:hAnsi="Arial" w:eastAsia="Arial" w:cs="Arial"/>
                <w:b w:val="0"/>
                <w:bCs w:val="0"/>
                <w:color w:val="1C2833"/>
                <w:sz w:val="20"/>
                <w:szCs w:val="20"/>
              </w:rPr>
              <w:t>3 sessions × 90 minutes = 4.5 contact hours/week</w:t>
            </w:r>
          </w:p>
        </w:tc>
      </w:tr>
      <w:tr w14:paraId="734A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6D1E650">
            <w:r>
              <w:rPr>
                <w:rFonts w:ascii="Arial" w:hAnsi="Arial" w:eastAsia="Arial" w:cs="Arial"/>
                <w:b w:val="0"/>
                <w:bCs w:val="0"/>
                <w:color w:val="1C2833"/>
                <w:sz w:val="20"/>
                <w:szCs w:val="20"/>
              </w:rPr>
              <w:t>Independent Study</w:t>
            </w:r>
          </w:p>
        </w:tc>
        <w:tc>
          <w:tcPr>
            <w:tcW w:w="62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FA32222">
            <w:r>
              <w:rPr>
                <w:rFonts w:ascii="Arial" w:hAnsi="Arial" w:eastAsia="Arial" w:cs="Arial"/>
                <w:b w:val="0"/>
                <w:bCs w:val="0"/>
                <w:color w:val="1C2833"/>
                <w:sz w:val="20"/>
                <w:szCs w:val="20"/>
              </w:rPr>
              <w:t>Approximately 3–4 hours/week (readings, reflective journals, portfolio work)</w:t>
            </w:r>
          </w:p>
        </w:tc>
      </w:tr>
      <w:tr w14:paraId="653D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B38128F">
            <w:r>
              <w:rPr>
                <w:rFonts w:ascii="Arial" w:hAnsi="Arial" w:eastAsia="Arial" w:cs="Arial"/>
                <w:b w:val="0"/>
                <w:bCs w:val="0"/>
                <w:color w:val="1C2833"/>
                <w:sz w:val="20"/>
                <w:szCs w:val="20"/>
              </w:rPr>
              <w:t>Practicum Component</w:t>
            </w:r>
          </w:p>
        </w:tc>
        <w:tc>
          <w:tcPr>
            <w:tcW w:w="62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C96D9B3">
            <w:r>
              <w:rPr>
                <w:rFonts w:ascii="Arial" w:hAnsi="Arial" w:eastAsia="Arial" w:cs="Arial"/>
                <w:b w:val="0"/>
                <w:bCs w:val="0"/>
                <w:color w:val="1C2833"/>
                <w:sz w:val="20"/>
                <w:szCs w:val="20"/>
              </w:rPr>
              <w:t>Minimum 20 hours of supervised observation or training practice across the program</w:t>
            </w:r>
          </w:p>
        </w:tc>
      </w:tr>
      <w:tr w14:paraId="3199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D07CEF2">
            <w:r>
              <w:rPr>
                <w:rFonts w:ascii="Arial" w:hAnsi="Arial" w:eastAsia="Arial" w:cs="Arial"/>
                <w:b w:val="0"/>
                <w:bCs w:val="0"/>
                <w:color w:val="1C2833"/>
                <w:sz w:val="20"/>
                <w:szCs w:val="20"/>
              </w:rPr>
              <w:t>Delivery Format</w:t>
            </w:r>
          </w:p>
        </w:tc>
        <w:tc>
          <w:tcPr>
            <w:tcW w:w="62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076B107">
            <w:r>
              <w:rPr>
                <w:rFonts w:ascii="Arial" w:hAnsi="Arial" w:eastAsia="Arial" w:cs="Arial"/>
                <w:b w:val="0"/>
                <w:bCs w:val="0"/>
                <w:color w:val="1C2833"/>
                <w:sz w:val="20"/>
                <w:szCs w:val="20"/>
              </w:rPr>
              <w:t>Blended: Face-to-face workshops + independent tasks + collaborative online components</w:t>
            </w:r>
          </w:p>
        </w:tc>
      </w:tr>
      <w:tr w14:paraId="0CA4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9B70ED1">
            <w:r>
              <w:rPr>
                <w:rFonts w:ascii="Arial" w:hAnsi="Arial" w:eastAsia="Arial" w:cs="Arial"/>
                <w:b w:val="0"/>
                <w:bCs w:val="0"/>
                <w:color w:val="1C2833"/>
                <w:sz w:val="20"/>
                <w:szCs w:val="20"/>
              </w:rPr>
              <w:t>Group Size</w:t>
            </w:r>
          </w:p>
        </w:tc>
        <w:tc>
          <w:tcPr>
            <w:tcW w:w="62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B0CED6B">
            <w:r>
              <w:rPr>
                <w:rFonts w:ascii="Arial" w:hAnsi="Arial" w:eastAsia="Arial" w:cs="Arial"/>
                <w:b w:val="0"/>
                <w:bCs w:val="0"/>
                <w:color w:val="1C2833"/>
                <w:sz w:val="20"/>
                <w:szCs w:val="20"/>
              </w:rPr>
              <w:t>Recommended 8–16 participants per cohort</w:t>
            </w:r>
          </w:p>
        </w:tc>
      </w:tr>
      <w:tr w14:paraId="1154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8FD40DD">
            <w:r>
              <w:rPr>
                <w:rFonts w:ascii="Arial" w:hAnsi="Arial" w:eastAsia="Arial" w:cs="Arial"/>
                <w:b w:val="0"/>
                <w:bCs w:val="0"/>
                <w:color w:val="1C2833"/>
                <w:sz w:val="20"/>
                <w:szCs w:val="20"/>
              </w:rPr>
              <w:t>Assessment</w:t>
            </w:r>
          </w:p>
        </w:tc>
        <w:tc>
          <w:tcPr>
            <w:tcW w:w="62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11E8547">
            <w:r>
              <w:rPr>
                <w:rFonts w:ascii="Arial" w:hAnsi="Arial" w:eastAsia="Arial" w:cs="Arial"/>
                <w:b w:val="0"/>
                <w:bCs w:val="0"/>
                <w:color w:val="1C2833"/>
                <w:sz w:val="20"/>
                <w:szCs w:val="20"/>
              </w:rPr>
              <w:t>Portfolio-based (ongoing) + Capstone Demonstration (final)</w:t>
            </w:r>
          </w:p>
        </w:tc>
      </w:tr>
    </w:tbl>
    <w:p w14:paraId="3448547C">
      <w:pPr>
        <w:spacing w:after="120"/>
      </w:pPr>
    </w:p>
    <w:p w14:paraId="669EB426">
      <w:pPr>
        <w:pStyle w:val="3"/>
        <w:pBdr>
          <w:bottom w:val="single" w:color="2E86C1" w:sz="8" w:space="4"/>
        </w:pBdr>
      </w:pPr>
      <w:r>
        <w:rPr>
          <w:rFonts w:ascii="Arial" w:hAnsi="Arial" w:eastAsia="Arial" w:cs="Arial"/>
          <w:b/>
          <w:bCs/>
          <w:color w:val="1B4F72"/>
          <w:sz w:val="28"/>
          <w:szCs w:val="28"/>
        </w:rPr>
        <w:t>Program Goals</w:t>
      </w:r>
    </w:p>
    <w:p w14:paraId="274C4BEE">
      <w:pPr>
        <w:spacing w:before="60" w:after="120"/>
      </w:pPr>
      <w:r>
        <w:rPr>
          <w:rFonts w:ascii="Arial" w:hAnsi="Arial" w:eastAsia="Arial" w:cs="Arial"/>
          <w:color w:val="1C2833"/>
          <w:sz w:val="22"/>
          <w:szCs w:val="22"/>
        </w:rPr>
        <w:t>By the completion of this program, participants will:</w:t>
      </w:r>
    </w:p>
    <w:p w14:paraId="04078AF3">
      <w:pPr>
        <w:pStyle w:val="16"/>
        <w:numPr>
          <w:ilvl w:val="0"/>
          <w:numId w:val="2"/>
        </w:numPr>
      </w:pPr>
      <w:r>
        <w:rPr>
          <w:rFonts w:ascii="Arial" w:hAnsi="Arial" w:eastAsia="Arial" w:cs="Arial"/>
          <w:color w:val="1C2833"/>
          <w:sz w:val="22"/>
          <w:szCs w:val="22"/>
        </w:rPr>
        <w:t>Possess a robust, theoretically grounded understanding of supervision and training as professional disciplines</w:t>
      </w:r>
    </w:p>
    <w:p w14:paraId="2E14BAAB">
      <w:pPr>
        <w:pStyle w:val="16"/>
        <w:numPr>
          <w:ilvl w:val="0"/>
          <w:numId w:val="2"/>
        </w:numPr>
      </w:pPr>
      <w:r>
        <w:rPr>
          <w:rFonts w:ascii="Arial" w:hAnsi="Arial" w:eastAsia="Arial" w:cs="Arial"/>
          <w:color w:val="1C2833"/>
          <w:sz w:val="22"/>
          <w:szCs w:val="22"/>
        </w:rPr>
        <w:t>Command a diverse repertoire of training delivery methods, facilitation strategies, questioning techniques, and feedback frameworks</w:t>
      </w:r>
    </w:p>
    <w:p w14:paraId="678767ED">
      <w:pPr>
        <w:pStyle w:val="16"/>
        <w:numPr>
          <w:ilvl w:val="0"/>
          <w:numId w:val="2"/>
        </w:numPr>
      </w:pPr>
      <w:r>
        <w:rPr>
          <w:rFonts w:ascii="Arial" w:hAnsi="Arial" w:eastAsia="Arial" w:cs="Arial"/>
          <w:color w:val="1C2833"/>
          <w:sz w:val="22"/>
          <w:szCs w:val="22"/>
        </w:rPr>
        <w:t>Demonstrate competency in the full supervision cycle: needs analysis, observation, conferencing, evaluation, and follow-up</w:t>
      </w:r>
    </w:p>
    <w:p w14:paraId="30175CD9">
      <w:pPr>
        <w:pStyle w:val="16"/>
        <w:numPr>
          <w:ilvl w:val="0"/>
          <w:numId w:val="2"/>
        </w:numPr>
      </w:pPr>
      <w:r>
        <w:rPr>
          <w:rFonts w:ascii="Arial" w:hAnsi="Arial" w:eastAsia="Arial" w:cs="Arial"/>
          <w:color w:val="1C2833"/>
          <w:sz w:val="22"/>
          <w:szCs w:val="22"/>
        </w:rPr>
        <w:t>Navigate complex interpersonal and professional dynamics in supervision and training contexts with confidence</w:t>
      </w:r>
    </w:p>
    <w:p w14:paraId="71FD1E07">
      <w:pPr>
        <w:pStyle w:val="16"/>
        <w:numPr>
          <w:ilvl w:val="0"/>
          <w:numId w:val="2"/>
        </w:numPr>
      </w:pPr>
      <w:r>
        <w:rPr>
          <w:rFonts w:ascii="Arial" w:hAnsi="Arial" w:eastAsia="Arial" w:cs="Arial"/>
          <w:color w:val="1C2833"/>
          <w:sz w:val="22"/>
          <w:szCs w:val="22"/>
        </w:rPr>
        <w:t>Design, deliver, and evaluate professional development programs aligned to institutional and learner needs</w:t>
      </w:r>
    </w:p>
    <w:p w14:paraId="6EAADD6A">
      <w:pPr>
        <w:pStyle w:val="16"/>
        <w:numPr>
          <w:ilvl w:val="0"/>
          <w:numId w:val="2"/>
        </w:numPr>
      </w:pPr>
      <w:r>
        <w:rPr>
          <w:rFonts w:ascii="Arial" w:hAnsi="Arial" w:eastAsia="Arial" w:cs="Arial"/>
          <w:color w:val="1C2833"/>
          <w:sz w:val="22"/>
          <w:szCs w:val="22"/>
        </w:rPr>
        <w:t>Lead the development of a professional learning culture in their institutional context</w:t>
      </w:r>
    </w:p>
    <w:p w14:paraId="20574DAE">
      <w:r>
        <w:br w:type="page"/>
      </w:r>
    </w:p>
    <w:p w14:paraId="721F5067">
      <w:pPr>
        <w:pStyle w:val="2"/>
        <w:shd w:val="clear" w:fill="E36C09" w:themeFill="accent6" w:themeFillShade="BF"/>
        <w:spacing w:before="0" w:after="200"/>
        <w:ind w:right="240"/>
        <w:rPr>
          <w:rFonts w:ascii="Arial" w:hAnsi="Arial" w:eastAsia="Arial" w:cs="Arial"/>
          <w:b/>
          <w:bCs/>
          <w:color w:val="FFFFFF"/>
          <w:sz w:val="38"/>
          <w:szCs w:val="38"/>
        </w:rPr>
      </w:pPr>
      <w:r>
        <w:rPr>
          <w:rFonts w:ascii="Arial" w:hAnsi="Arial" w:eastAsia="Arial" w:cs="Arial"/>
          <w:b/>
          <w:bCs/>
          <w:color w:val="FFFFFF"/>
          <w:sz w:val="38"/>
          <w:szCs w:val="38"/>
        </w:rPr>
        <w:t>INSTRUCTIONAL DESIGN FRAMEWORK</w:t>
      </w:r>
    </w:p>
    <w:p w14:paraId="3BBC5B2F"/>
    <w:p w14:paraId="31925E88">
      <w:pPr>
        <w:spacing w:before="60" w:after="120"/>
      </w:pPr>
      <w:r>
        <w:rPr>
          <w:rFonts w:ascii="Arial" w:hAnsi="Arial" w:eastAsia="Arial" w:cs="Arial"/>
          <w:color w:val="1C2833"/>
          <w:sz w:val="22"/>
          <w:szCs w:val="22"/>
        </w:rPr>
        <w:t>The design of this program did not begin with a list of topics. It began with a question: What must a fully competent trainer-supervisor be able to do, and how do we know when they can do it? Every structural and content decision in this program was made in service of that question. This section explains the instructional design methodology that governs the program's architecture, pedagogy, and assessment.</w:t>
      </w:r>
    </w:p>
    <w:p w14:paraId="4E027526">
      <w:pPr>
        <w:pStyle w:val="3"/>
        <w:pBdr>
          <w:bottom w:val="single" w:color="2E86C1" w:sz="8" w:space="4"/>
        </w:pBdr>
      </w:pPr>
      <w:r>
        <w:rPr>
          <w:rFonts w:ascii="Arial" w:hAnsi="Arial" w:eastAsia="Arial" w:cs="Arial"/>
          <w:b/>
          <w:bCs/>
          <w:color w:val="1B4F72"/>
          <w:sz w:val="28"/>
          <w:szCs w:val="28"/>
        </w:rPr>
        <w:t>Primary Design Model: Understanding by Design (UbD)</w:t>
      </w:r>
    </w:p>
    <w:p w14:paraId="64B5AA0C">
      <w:pPr>
        <w:spacing w:before="60" w:after="120"/>
      </w:pPr>
      <w:r>
        <w:rPr>
          <w:rFonts w:ascii="Arial" w:hAnsi="Arial" w:eastAsia="Arial" w:cs="Arial"/>
          <w:color w:val="1C2833"/>
          <w:sz w:val="22"/>
          <w:szCs w:val="22"/>
        </w:rPr>
        <w:t>This program was designed using Grant Wiggins and Jay McTighe's Understanding by Design (UbD) framework — a backward design model that begins not with content coverage but with desired outcomes. The three-stage backward design process underpins the entire curriculum.</w:t>
      </w:r>
    </w:p>
    <w:p w14:paraId="50053B1C">
      <w:pPr>
        <w:pStyle w:val="5"/>
      </w:pPr>
      <w:r>
        <w:rPr>
          <w:rFonts w:ascii="Arial" w:hAnsi="Arial" w:eastAsia="Arial" w:cs="Arial"/>
          <w:b/>
          <w:bCs/>
          <w:color w:val="0E6655"/>
          <w:sz w:val="22"/>
          <w:szCs w:val="22"/>
        </w:rPr>
        <w:t>Stage 1 — Desired Results: What should participants know, understand, and be able to do?</w:t>
      </w:r>
    </w:p>
    <w:p w14:paraId="11CD65DA">
      <w:pPr>
        <w:spacing w:before="60" w:after="120"/>
      </w:pPr>
      <w:r>
        <w:rPr>
          <w:rFonts w:ascii="Arial" w:hAnsi="Arial" w:eastAsia="Arial" w:cs="Arial"/>
          <w:color w:val="1C2833"/>
          <w:sz w:val="22"/>
          <w:szCs w:val="22"/>
        </w:rPr>
        <w:t>Before any content was selected, the program's exit competencies were defined. The question driving Stage 1 was: What does a fully effective trainer-supervisor look like in practice? The answers formed the Competency Framework (see Section 3) and shaped every learning outcome in the program. Content was then selected only if it demonstrably served those outcomes.</w:t>
      </w:r>
    </w:p>
    <w:p w14:paraId="0A42BA61">
      <w:pPr>
        <w:spacing w:after="120"/>
      </w:pPr>
    </w:p>
    <w:p w14:paraId="6B12FBC0">
      <w:pPr>
        <w:pStyle w:val="5"/>
      </w:pPr>
      <w:r>
        <w:rPr>
          <w:rFonts w:ascii="Arial" w:hAnsi="Arial" w:eastAsia="Arial" w:cs="Arial"/>
          <w:b/>
          <w:bCs/>
          <w:color w:val="0E6655"/>
          <w:sz w:val="22"/>
          <w:szCs w:val="22"/>
        </w:rPr>
        <w:t>Stage 2 — Assessment Evidence: How will we know when participants have achieved the outcomes?</w:t>
      </w:r>
    </w:p>
    <w:p w14:paraId="68547522">
      <w:pPr>
        <w:spacing w:before="60" w:after="120"/>
      </w:pPr>
      <w:r>
        <w:rPr>
          <w:rFonts w:ascii="Arial" w:hAnsi="Arial" w:eastAsia="Arial" w:cs="Arial"/>
          <w:color w:val="1C2833"/>
          <w:sz w:val="22"/>
          <w:szCs w:val="22"/>
        </w:rPr>
        <w:t>The assessment architecture was designed at Stage 2 — before activities were planned. This ensures that what is assessed is what matters, not merely what is convenient to measure. The program uses portfolio-based assessment as its primary evidence format because it captures growth, reflection, and professional application over time in ways that a single test cannot.</w:t>
      </w:r>
    </w:p>
    <w:p w14:paraId="6C3BD152">
      <w:pPr>
        <w:spacing w:after="120"/>
      </w:pPr>
    </w:p>
    <w:p w14:paraId="0FE54E00">
      <w:pPr>
        <w:pStyle w:val="5"/>
      </w:pPr>
      <w:r>
        <w:rPr>
          <w:rFonts w:ascii="Arial" w:hAnsi="Arial" w:eastAsia="Arial" w:cs="Arial"/>
          <w:b/>
          <w:bCs/>
          <w:color w:val="0E6655"/>
          <w:sz w:val="22"/>
          <w:szCs w:val="22"/>
        </w:rPr>
        <w:t>Stage 3 — Learning Plan: What experiences and instruction will get participants there?</w:t>
      </w:r>
    </w:p>
    <w:p w14:paraId="02884265">
      <w:pPr>
        <w:spacing w:before="60" w:after="120"/>
      </w:pPr>
      <w:r>
        <w:rPr>
          <w:rFonts w:ascii="Arial" w:hAnsi="Arial" w:eastAsia="Arial" w:cs="Arial"/>
          <w:color w:val="1C2833"/>
          <w:sz w:val="22"/>
          <w:szCs w:val="22"/>
        </w:rPr>
        <w:t>Only at Stage 3 were the specific activities, sequences, readings, workshops, and facilitation approaches selected. This sequence guarantees alignment between what participants learn, how they are assessed, and what the program ultimately claims to produce.</w:t>
      </w:r>
    </w:p>
    <w:p w14:paraId="0942C233">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437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65900412">
            <w:pPr>
              <w:spacing w:before="80" w:after="100"/>
            </w:pPr>
            <w:r>
              <w:rPr>
                <w:rFonts w:ascii="Arial" w:hAnsi="Arial" w:eastAsia="Arial" w:cs="Arial"/>
                <w:b/>
                <w:bCs/>
                <w:color w:val="1B4F72"/>
                <w:sz w:val="24"/>
                <w:szCs w:val="24"/>
              </w:rPr>
              <w:t>Why UbD for this program?</w:t>
            </w:r>
          </w:p>
          <w:p w14:paraId="0DE02FC9">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Trainer-supervisor competency is complex and multi-dimensional — it cannot be captured by content coverage alone. UbD forces the designer to focus on transfer and understanding, not just exposure.</w:t>
            </w:r>
          </w:p>
          <w:p w14:paraId="450DE1BB">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The backward design logic means every session earns its place by contributing to a defined outcome. There is no filler content.</w:t>
            </w:r>
          </w:p>
          <w:p w14:paraId="54856E2D">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UbD's emphasis on 'big ideas' and 'essential questions' matches the reflective, inquiry-based culture the program aims to build in participants.</w:t>
            </w:r>
          </w:p>
        </w:tc>
      </w:tr>
    </w:tbl>
    <w:p w14:paraId="13E3D0E3">
      <w:pPr>
        <w:spacing w:after="120"/>
      </w:pPr>
    </w:p>
    <w:p w14:paraId="41A604CD">
      <w:pPr>
        <w:pStyle w:val="3"/>
        <w:pBdr>
          <w:bottom w:val="single" w:color="2E86C1" w:sz="8" w:space="4"/>
        </w:pBdr>
      </w:pPr>
      <w:r>
        <w:rPr>
          <w:rFonts w:ascii="Arial" w:hAnsi="Arial" w:eastAsia="Arial" w:cs="Arial"/>
          <w:b/>
          <w:bCs/>
          <w:color w:val="1B4F72"/>
          <w:sz w:val="28"/>
          <w:szCs w:val="28"/>
        </w:rPr>
        <w:t>Session-Level Design: Gagne's Nine Events of Instruction</w:t>
      </w:r>
    </w:p>
    <w:p w14:paraId="1E857AEE">
      <w:pPr>
        <w:spacing w:before="60" w:after="120"/>
      </w:pPr>
      <w:r>
        <w:rPr>
          <w:rFonts w:ascii="Arial" w:hAnsi="Arial" w:eastAsia="Arial" w:cs="Arial"/>
          <w:color w:val="1C2833"/>
          <w:sz w:val="22"/>
          <w:szCs w:val="22"/>
        </w:rPr>
        <w:t>For the design of individual sessions and workshop modules, Robert Gagne's Nine Events of Instruction (1965, revised) provides the sequencing framework. These events — gaining attention, informing of objectives, stimulating recall, presenting content, providing guidance, eliciting performance, providing feedback, assessing performance, and enhancing retention and transfer — appear in every session plan in this program, adapted to the adult professional context.</w:t>
      </w:r>
    </w:p>
    <w:p w14:paraId="73B8B00A">
      <w:pPr>
        <w:spacing w:before="60" w:after="120"/>
      </w:pPr>
      <w:r>
        <w:rPr>
          <w:rFonts w:ascii="Arial" w:hAnsi="Arial" w:eastAsia="Arial" w:cs="Arial"/>
          <w:color w:val="1C2833"/>
          <w:sz w:val="22"/>
          <w:szCs w:val="22"/>
        </w:rPr>
        <w:t>In practice, this means that every session in the program has a deliberate opening that activates prior knowledge, a structured content phase, a supported practice phase, a feedback loop, and a closing transfer activity. Participants experience Gagne's model not just as design theory but as lived training reality.</w:t>
      </w:r>
    </w:p>
    <w:p w14:paraId="1883D6A4">
      <w:pPr>
        <w:pStyle w:val="3"/>
        <w:pBdr>
          <w:bottom w:val="single" w:color="2E86C1" w:sz="8" w:space="4"/>
        </w:pBdr>
      </w:pPr>
      <w:r>
        <w:rPr>
          <w:rFonts w:ascii="Arial" w:hAnsi="Arial" w:eastAsia="Arial" w:cs="Arial"/>
          <w:b/>
          <w:bCs/>
          <w:color w:val="1B4F72"/>
          <w:sz w:val="28"/>
          <w:szCs w:val="28"/>
        </w:rPr>
        <w:t>Learning Theory Foundation: Constructivism &amp; Andragogy</w:t>
      </w:r>
    </w:p>
    <w:p w14:paraId="307AAC32">
      <w:pPr>
        <w:spacing w:before="60" w:after="120"/>
      </w:pPr>
      <w:r>
        <w:rPr>
          <w:rFonts w:ascii="Arial" w:hAnsi="Arial" w:eastAsia="Arial" w:cs="Arial"/>
          <w:color w:val="1C2833"/>
          <w:sz w:val="22"/>
          <w:szCs w:val="22"/>
        </w:rPr>
        <w:t>The program's pedagogical underpinning is constructivist. Drawing from Vygotsky's social constructivism and Kolb's experiential learning cycle, participants build new professional understanding by connecting new knowledge to their existing experience, collaborating in meaningful tasks, engaging in situated practice, and reflecting critically on that practice. Input from the facilitator is a catalyst for construction, not a container of knowledge to be transferred.</w:t>
      </w:r>
    </w:p>
    <w:p w14:paraId="36EB2004">
      <w:pPr>
        <w:spacing w:before="60" w:after="120"/>
      </w:pPr>
      <w:r>
        <w:rPr>
          <w:rFonts w:ascii="Arial" w:hAnsi="Arial" w:eastAsia="Arial" w:cs="Arial"/>
          <w:color w:val="1C2833"/>
          <w:sz w:val="22"/>
          <w:szCs w:val="22"/>
        </w:rPr>
        <w:t>All design choices are further filtered through Malcolm Knowles' andragogical principles. Adults learn best when they are self-directed, when learning is grounded in their own experience, when they have a clear rationale for what they are learning, when they solve real problems rather than abstract content, and when they are treated as intellectual equals. This is why the program relies heavily on case studies, simulations, peer learning, practicum, and professional portfolio tasks rather than lecture-heavy delivery.</w:t>
      </w:r>
    </w:p>
    <w:p w14:paraId="22133E03">
      <w:pPr>
        <w:pStyle w:val="3"/>
        <w:pBdr>
          <w:bottom w:val="single" w:color="2E86C1" w:sz="8" w:space="4"/>
        </w:pBdr>
      </w:pPr>
      <w:r>
        <w:rPr>
          <w:rFonts w:ascii="Arial" w:hAnsi="Arial" w:eastAsia="Arial" w:cs="Arial"/>
          <w:b/>
          <w:bCs/>
          <w:color w:val="1B4F72"/>
          <w:sz w:val="28"/>
          <w:szCs w:val="28"/>
        </w:rPr>
        <w:t>Reflective Practice Framework: Schön's Reflective Practitioner</w:t>
      </w:r>
    </w:p>
    <w:p w14:paraId="029A126B">
      <w:pPr>
        <w:spacing w:before="60" w:after="120"/>
      </w:pPr>
      <w:r>
        <w:rPr>
          <w:rFonts w:ascii="Arial" w:hAnsi="Arial" w:eastAsia="Arial" w:cs="Arial"/>
          <w:color w:val="1C2833"/>
          <w:sz w:val="22"/>
          <w:szCs w:val="22"/>
        </w:rPr>
        <w:t>Donald Schön's model of reflection-in-action and reflection-on-action underpins the program's commitment to professional metacognition. Participants are not expected merely to acquire skills; they are expected to develop the habit of thinking critically about their own practice as trainers and supervisors — to ask not just 'what do I do?' but 'why do I do it, and how can I do it better?' Reflective journals, post-session debriefs, post-observation conference protocols, and the personal philosophy statement are all direct expressions of this framework.</w:t>
      </w:r>
    </w:p>
    <w:p w14:paraId="5A1EB923">
      <w:pPr>
        <w:pStyle w:val="3"/>
        <w:pBdr>
          <w:bottom w:val="single" w:color="2E86C1" w:sz="8" w:space="4"/>
        </w:pBdr>
      </w:pPr>
      <w:r>
        <w:rPr>
          <w:rFonts w:ascii="Arial" w:hAnsi="Arial" w:eastAsia="Arial" w:cs="Arial"/>
          <w:b/>
          <w:bCs/>
          <w:color w:val="1B4F72"/>
          <w:sz w:val="28"/>
          <w:szCs w:val="28"/>
        </w:rPr>
        <w:t>How the Frameworks Integrate</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426"/>
      </w:tblGrid>
      <w:tr w14:paraId="2C26B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5DE551A0">
            <w:r>
              <w:rPr>
                <w:rFonts w:ascii="Arial" w:hAnsi="Arial" w:eastAsia="Arial" w:cs="Arial"/>
                <w:b/>
                <w:bCs/>
                <w:color w:val="FFFFFF"/>
                <w:sz w:val="22"/>
                <w:szCs w:val="22"/>
              </w:rPr>
              <w:t>Framework</w:t>
            </w:r>
          </w:p>
        </w:tc>
        <w:tc>
          <w:tcPr>
            <w:tcW w:w="22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09A7C95B">
            <w:r>
              <w:rPr>
                <w:rFonts w:ascii="Arial" w:hAnsi="Arial" w:eastAsia="Arial" w:cs="Arial"/>
                <w:b/>
                <w:bCs/>
                <w:color w:val="FFFFFF"/>
                <w:sz w:val="22"/>
                <w:szCs w:val="22"/>
              </w:rPr>
              <w:t>Scale</w:t>
            </w:r>
          </w:p>
        </w:tc>
        <w:tc>
          <w:tcPr>
            <w:tcW w:w="4426"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46DE522C">
            <w:r>
              <w:rPr>
                <w:rFonts w:ascii="Arial" w:hAnsi="Arial" w:eastAsia="Arial" w:cs="Arial"/>
                <w:b/>
                <w:bCs/>
                <w:color w:val="FFFFFF"/>
                <w:sz w:val="22"/>
                <w:szCs w:val="22"/>
              </w:rPr>
              <w:t>Function in This Program</w:t>
            </w:r>
          </w:p>
        </w:tc>
      </w:tr>
      <w:tr w14:paraId="629A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9FADD9C">
            <w:r>
              <w:rPr>
                <w:rFonts w:ascii="Arial" w:hAnsi="Arial" w:eastAsia="Arial" w:cs="Arial"/>
                <w:b w:val="0"/>
                <w:bCs w:val="0"/>
                <w:color w:val="1C2833"/>
                <w:sz w:val="20"/>
                <w:szCs w:val="20"/>
              </w:rPr>
              <w:t>Understanding by Design (UbD)</w:t>
            </w:r>
          </w:p>
        </w:tc>
        <w:tc>
          <w:tcPr>
            <w:tcW w:w="22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ECEA22C">
            <w:r>
              <w:rPr>
                <w:rFonts w:ascii="Arial" w:hAnsi="Arial" w:eastAsia="Arial" w:cs="Arial"/>
                <w:b w:val="0"/>
                <w:bCs w:val="0"/>
                <w:color w:val="1C2833"/>
                <w:sz w:val="20"/>
                <w:szCs w:val="20"/>
              </w:rPr>
              <w:t>Program Level</w:t>
            </w:r>
          </w:p>
        </w:tc>
        <w:tc>
          <w:tcPr>
            <w:tcW w:w="44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7305580">
            <w:r>
              <w:rPr>
                <w:rFonts w:ascii="Arial" w:hAnsi="Arial" w:eastAsia="Arial" w:cs="Arial"/>
                <w:b w:val="0"/>
                <w:bCs w:val="0"/>
                <w:color w:val="1C2833"/>
                <w:sz w:val="20"/>
                <w:szCs w:val="20"/>
              </w:rPr>
              <w:t>Defines outcomes first; ensures alignment between goals, assessment, and instruction across all 16 weeks</w:t>
            </w:r>
          </w:p>
        </w:tc>
      </w:tr>
      <w:tr w14:paraId="5123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AAF60A1">
            <w:r>
              <w:rPr>
                <w:rFonts w:ascii="Arial" w:hAnsi="Arial" w:eastAsia="Arial" w:cs="Arial"/>
                <w:b w:val="0"/>
                <w:bCs w:val="0"/>
                <w:color w:val="1C2833"/>
                <w:sz w:val="20"/>
                <w:szCs w:val="20"/>
              </w:rPr>
              <w:t>Gagne's Nine Events</w:t>
            </w:r>
          </w:p>
        </w:tc>
        <w:tc>
          <w:tcPr>
            <w:tcW w:w="22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59FD385">
            <w:r>
              <w:rPr>
                <w:rFonts w:ascii="Arial" w:hAnsi="Arial" w:eastAsia="Arial" w:cs="Arial"/>
                <w:b w:val="0"/>
                <w:bCs w:val="0"/>
                <w:color w:val="1C2833"/>
                <w:sz w:val="20"/>
                <w:szCs w:val="20"/>
              </w:rPr>
              <w:t>Session Level</w:t>
            </w:r>
          </w:p>
        </w:tc>
        <w:tc>
          <w:tcPr>
            <w:tcW w:w="44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09B20DD">
            <w:r>
              <w:rPr>
                <w:rFonts w:ascii="Arial" w:hAnsi="Arial" w:eastAsia="Arial" w:cs="Arial"/>
                <w:b w:val="0"/>
                <w:bCs w:val="0"/>
                <w:color w:val="1C2833"/>
                <w:sz w:val="20"/>
                <w:szCs w:val="20"/>
              </w:rPr>
              <w:t>Sequences every workshop and module for maximum cognitive engagement and retention</w:t>
            </w:r>
          </w:p>
        </w:tc>
      </w:tr>
      <w:tr w14:paraId="553DA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AF3E02A">
            <w:r>
              <w:rPr>
                <w:rFonts w:ascii="Arial" w:hAnsi="Arial" w:eastAsia="Arial" w:cs="Arial"/>
                <w:b w:val="0"/>
                <w:bCs w:val="0"/>
                <w:color w:val="1C2833"/>
                <w:sz w:val="20"/>
                <w:szCs w:val="20"/>
              </w:rPr>
              <w:t>Constructivism &amp; Kolb's Cycle</w:t>
            </w:r>
          </w:p>
        </w:tc>
        <w:tc>
          <w:tcPr>
            <w:tcW w:w="22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36E8847">
            <w:r>
              <w:rPr>
                <w:rFonts w:ascii="Arial" w:hAnsi="Arial" w:eastAsia="Arial" w:cs="Arial"/>
                <w:b w:val="0"/>
                <w:bCs w:val="0"/>
                <w:color w:val="1C2833"/>
                <w:sz w:val="20"/>
                <w:szCs w:val="20"/>
              </w:rPr>
              <w:t>Pedagogical Level</w:t>
            </w:r>
          </w:p>
        </w:tc>
        <w:tc>
          <w:tcPr>
            <w:tcW w:w="44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565F03B">
            <w:r>
              <w:rPr>
                <w:rFonts w:ascii="Arial" w:hAnsi="Arial" w:eastAsia="Arial" w:cs="Arial"/>
                <w:b w:val="0"/>
                <w:bCs w:val="0"/>
                <w:color w:val="1C2833"/>
                <w:sz w:val="20"/>
                <w:szCs w:val="20"/>
              </w:rPr>
              <w:t>Drives the emphasis on experience, reflection, and collaborative sense-making over content delivery</w:t>
            </w:r>
          </w:p>
        </w:tc>
      </w:tr>
      <w:tr w14:paraId="05B5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7419F94">
            <w:r>
              <w:rPr>
                <w:rFonts w:ascii="Arial" w:hAnsi="Arial" w:eastAsia="Arial" w:cs="Arial"/>
                <w:b w:val="0"/>
                <w:bCs w:val="0"/>
                <w:color w:val="1C2833"/>
                <w:sz w:val="20"/>
                <w:szCs w:val="20"/>
              </w:rPr>
              <w:t>Knowles' Andragogy</w:t>
            </w:r>
          </w:p>
        </w:tc>
        <w:tc>
          <w:tcPr>
            <w:tcW w:w="22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6F6FEAF">
            <w:r>
              <w:rPr>
                <w:rFonts w:ascii="Arial" w:hAnsi="Arial" w:eastAsia="Arial" w:cs="Arial"/>
                <w:b w:val="0"/>
                <w:bCs w:val="0"/>
                <w:color w:val="1C2833"/>
                <w:sz w:val="20"/>
                <w:szCs w:val="20"/>
              </w:rPr>
              <w:t>Design Principle</w:t>
            </w:r>
          </w:p>
        </w:tc>
        <w:tc>
          <w:tcPr>
            <w:tcW w:w="44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FFBBBB5">
            <w:r>
              <w:rPr>
                <w:rFonts w:ascii="Arial" w:hAnsi="Arial" w:eastAsia="Arial" w:cs="Arial"/>
                <w:b w:val="0"/>
                <w:bCs w:val="0"/>
                <w:color w:val="1C2833"/>
                <w:sz w:val="20"/>
                <w:szCs w:val="20"/>
              </w:rPr>
              <w:t>Filters every instructional decision through the lens of adult professional learning</w:t>
            </w:r>
          </w:p>
        </w:tc>
      </w:tr>
      <w:tr w14:paraId="2311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40D1252">
            <w:r>
              <w:rPr>
                <w:rFonts w:ascii="Arial" w:hAnsi="Arial" w:eastAsia="Arial" w:cs="Arial"/>
                <w:b w:val="0"/>
                <w:bCs w:val="0"/>
                <w:color w:val="1C2833"/>
                <w:sz w:val="20"/>
                <w:szCs w:val="20"/>
              </w:rPr>
              <w:t>Schön's Reflective Practitioner</w:t>
            </w:r>
          </w:p>
        </w:tc>
        <w:tc>
          <w:tcPr>
            <w:tcW w:w="22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73E28C7">
            <w:r>
              <w:rPr>
                <w:rFonts w:ascii="Arial" w:hAnsi="Arial" w:eastAsia="Arial" w:cs="Arial"/>
                <w:b w:val="0"/>
                <w:bCs w:val="0"/>
                <w:color w:val="1C2833"/>
                <w:sz w:val="20"/>
                <w:szCs w:val="20"/>
              </w:rPr>
              <w:t>Professional Identity</w:t>
            </w:r>
          </w:p>
        </w:tc>
        <w:tc>
          <w:tcPr>
            <w:tcW w:w="44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9423AB5">
            <w:r>
              <w:rPr>
                <w:rFonts w:ascii="Arial" w:hAnsi="Arial" w:eastAsia="Arial" w:cs="Arial"/>
                <w:b w:val="0"/>
                <w:bCs w:val="0"/>
                <w:color w:val="1C2833"/>
                <w:sz w:val="20"/>
                <w:szCs w:val="20"/>
              </w:rPr>
              <w:t>Builds metacognitive awareness as a core professional disposition across all four months</w:t>
            </w:r>
          </w:p>
        </w:tc>
      </w:tr>
    </w:tbl>
    <w:p w14:paraId="24080D05">
      <w:r>
        <w:br w:type="page"/>
      </w:r>
    </w:p>
    <w:p w14:paraId="01DB80D3">
      <w:pPr>
        <w:pStyle w:val="2"/>
        <w:shd w:val="clear" w:fill="E36C09" w:themeFill="accent6" w:themeFillShade="BF"/>
        <w:spacing w:before="0" w:after="200"/>
        <w:ind w:right="240"/>
      </w:pPr>
      <w:r>
        <w:rPr>
          <w:rFonts w:ascii="Arial" w:hAnsi="Arial" w:eastAsia="Arial" w:cs="Arial"/>
          <w:b/>
          <w:bCs/>
          <w:color w:val="FFFFFF"/>
          <w:sz w:val="38"/>
          <w:szCs w:val="38"/>
        </w:rPr>
        <w:t>PROGRAM COMPETENCY FRAMEWORK</w:t>
      </w:r>
    </w:p>
    <w:p w14:paraId="0815F9CD">
      <w:pPr>
        <w:spacing w:after="120"/>
      </w:pPr>
    </w:p>
    <w:p w14:paraId="2DB85B41">
      <w:pPr>
        <w:spacing w:before="60" w:after="120"/>
      </w:pPr>
      <w:r>
        <w:rPr>
          <w:rFonts w:ascii="Arial" w:hAnsi="Arial" w:eastAsia="Arial" w:cs="Arial"/>
          <w:color w:val="1C2833"/>
          <w:sz w:val="22"/>
          <w:szCs w:val="22"/>
        </w:rPr>
        <w:t>The following five competency domains define the professional outcomes of this program. They function as the program's north star: every session, activity, and assessment task contributes to the development of one or more of these domains. The competency framework was developed through a synthesis of established professional standards in teacher education, TESOL supervision, and instructional design.</w:t>
      </w:r>
    </w:p>
    <w:p w14:paraId="6CB3AD3F">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200"/>
        <w:gridCol w:w="5726"/>
      </w:tblGrid>
      <w:tr w14:paraId="1B8CE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1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0D0104EE">
            <w:r>
              <w:rPr>
                <w:rFonts w:ascii="Arial" w:hAnsi="Arial" w:eastAsia="Arial" w:cs="Arial"/>
                <w:b/>
                <w:bCs/>
                <w:color w:val="FFFFFF"/>
                <w:sz w:val="22"/>
                <w:szCs w:val="22"/>
              </w:rPr>
              <w:t>Domain</w:t>
            </w:r>
          </w:p>
        </w:tc>
        <w:tc>
          <w:tcPr>
            <w:tcW w:w="22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7C5495A7">
            <w:r>
              <w:rPr>
                <w:rFonts w:ascii="Arial" w:hAnsi="Arial" w:eastAsia="Arial" w:cs="Arial"/>
                <w:b/>
                <w:bCs/>
                <w:color w:val="FFFFFF"/>
                <w:sz w:val="22"/>
                <w:szCs w:val="22"/>
              </w:rPr>
              <w:t>Competency Area</w:t>
            </w:r>
          </w:p>
        </w:tc>
        <w:tc>
          <w:tcPr>
            <w:tcW w:w="5726"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567D5DBE">
            <w:r>
              <w:rPr>
                <w:rFonts w:ascii="Arial" w:hAnsi="Arial" w:eastAsia="Arial" w:cs="Arial"/>
                <w:b/>
                <w:bCs/>
                <w:color w:val="FFFFFF"/>
                <w:sz w:val="22"/>
                <w:szCs w:val="22"/>
              </w:rPr>
              <w:t>Core Indicators</w:t>
            </w:r>
          </w:p>
        </w:tc>
      </w:tr>
      <w:tr w14:paraId="319A9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278B2AC">
            <w:r>
              <w:rPr>
                <w:rFonts w:ascii="Arial" w:hAnsi="Arial" w:eastAsia="Arial" w:cs="Arial"/>
                <w:b w:val="0"/>
                <w:bCs w:val="0"/>
                <w:color w:val="1C2833"/>
                <w:sz w:val="20"/>
                <w:szCs w:val="20"/>
              </w:rPr>
              <w:t>Domain 1</w:t>
            </w:r>
          </w:p>
        </w:tc>
        <w:tc>
          <w:tcPr>
            <w:tcW w:w="22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0BCAAB1">
            <w:r>
              <w:rPr>
                <w:rFonts w:ascii="Arial" w:hAnsi="Arial" w:eastAsia="Arial" w:cs="Arial"/>
                <w:b w:val="0"/>
                <w:bCs w:val="0"/>
                <w:color w:val="1C2833"/>
                <w:sz w:val="20"/>
                <w:szCs w:val="20"/>
              </w:rPr>
              <w:t>Professional Identity &amp; Ethics</w:t>
            </w:r>
          </w:p>
        </w:tc>
        <w:tc>
          <w:tcPr>
            <w:tcW w:w="5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E92E3F1">
            <w:r>
              <w:rPr>
                <w:rFonts w:ascii="Arial" w:hAnsi="Arial" w:eastAsia="Arial" w:cs="Arial"/>
                <w:b w:val="0"/>
                <w:bCs w:val="0"/>
                <w:color w:val="1C2833"/>
                <w:sz w:val="20"/>
                <w:szCs w:val="20"/>
              </w:rPr>
              <w:t>Articulates a personal trainer-supervisor philosophy; applies ethical principles to all supervisory decisions; maintains professional boundaries; demonstrates awareness of power dynamics</w:t>
            </w:r>
          </w:p>
        </w:tc>
      </w:tr>
      <w:tr w14:paraId="4348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8DCBC84">
            <w:r>
              <w:rPr>
                <w:rFonts w:ascii="Arial" w:hAnsi="Arial" w:eastAsia="Arial" w:cs="Arial"/>
                <w:b w:val="0"/>
                <w:bCs w:val="0"/>
                <w:color w:val="1C2833"/>
                <w:sz w:val="20"/>
                <w:szCs w:val="20"/>
              </w:rPr>
              <w:t>Domain 2</w:t>
            </w:r>
          </w:p>
        </w:tc>
        <w:tc>
          <w:tcPr>
            <w:tcW w:w="22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0A9957D">
            <w:r>
              <w:rPr>
                <w:rFonts w:ascii="Arial" w:hAnsi="Arial" w:eastAsia="Arial" w:cs="Arial"/>
                <w:b w:val="0"/>
                <w:bCs w:val="0"/>
                <w:color w:val="1C2833"/>
                <w:sz w:val="20"/>
                <w:szCs w:val="20"/>
              </w:rPr>
              <w:t>Training Design &amp; Facilitation</w:t>
            </w:r>
          </w:p>
        </w:tc>
        <w:tc>
          <w:tcPr>
            <w:tcW w:w="5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6967952">
            <w:r>
              <w:rPr>
                <w:rFonts w:ascii="Arial" w:hAnsi="Arial" w:eastAsia="Arial" w:cs="Arial"/>
                <w:b w:val="0"/>
                <w:bCs w:val="0"/>
                <w:color w:val="1C2833"/>
                <w:sz w:val="20"/>
                <w:szCs w:val="20"/>
              </w:rPr>
              <w:t>Conducts needs analysis; writes measurable objectives; designs scaffolded, differentiated sessions; delivers using varied methods; facilitates rather than lectures</w:t>
            </w:r>
          </w:p>
        </w:tc>
      </w:tr>
      <w:tr w14:paraId="49F7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ECAE225">
            <w:r>
              <w:rPr>
                <w:rFonts w:ascii="Arial" w:hAnsi="Arial" w:eastAsia="Arial" w:cs="Arial"/>
                <w:b w:val="0"/>
                <w:bCs w:val="0"/>
                <w:color w:val="1C2833"/>
                <w:sz w:val="20"/>
                <w:szCs w:val="20"/>
              </w:rPr>
              <w:t>Domain 3</w:t>
            </w:r>
          </w:p>
        </w:tc>
        <w:tc>
          <w:tcPr>
            <w:tcW w:w="22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E306299">
            <w:r>
              <w:rPr>
                <w:rFonts w:ascii="Arial" w:hAnsi="Arial" w:eastAsia="Arial" w:cs="Arial"/>
                <w:b w:val="0"/>
                <w:bCs w:val="0"/>
                <w:color w:val="1C2833"/>
                <w:sz w:val="20"/>
                <w:szCs w:val="20"/>
              </w:rPr>
              <w:t>Questioning, Feedback &amp; Communication</w:t>
            </w:r>
          </w:p>
        </w:tc>
        <w:tc>
          <w:tcPr>
            <w:tcW w:w="5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51AF397">
            <w:r>
              <w:rPr>
                <w:rFonts w:ascii="Arial" w:hAnsi="Arial" w:eastAsia="Arial" w:cs="Arial"/>
                <w:b w:val="0"/>
                <w:bCs w:val="0"/>
                <w:color w:val="1C2833"/>
                <w:sz w:val="20"/>
                <w:szCs w:val="20"/>
              </w:rPr>
              <w:t>Uses question types strategically; gives specific, evidence-based feedback; applies feedback models fluently; writes professional observation reports; communicates constructively in conferences</w:t>
            </w:r>
          </w:p>
        </w:tc>
      </w:tr>
      <w:tr w14:paraId="51F9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B6622EC">
            <w:r>
              <w:rPr>
                <w:rFonts w:ascii="Arial" w:hAnsi="Arial" w:eastAsia="Arial" w:cs="Arial"/>
                <w:b w:val="0"/>
                <w:bCs w:val="0"/>
                <w:color w:val="1C2833"/>
                <w:sz w:val="20"/>
                <w:szCs w:val="20"/>
              </w:rPr>
              <w:t>Domain 4</w:t>
            </w:r>
          </w:p>
        </w:tc>
        <w:tc>
          <w:tcPr>
            <w:tcW w:w="22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8F8B99C">
            <w:r>
              <w:rPr>
                <w:rFonts w:ascii="Arial" w:hAnsi="Arial" w:eastAsia="Arial" w:cs="Arial"/>
                <w:b w:val="0"/>
                <w:bCs w:val="0"/>
                <w:color w:val="1C2833"/>
                <w:sz w:val="20"/>
                <w:szCs w:val="20"/>
              </w:rPr>
              <w:t>Supervision, Observation &amp; Evaluation</w:t>
            </w:r>
          </w:p>
        </w:tc>
        <w:tc>
          <w:tcPr>
            <w:tcW w:w="5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587ABCC">
            <w:r>
              <w:rPr>
                <w:rFonts w:ascii="Arial" w:hAnsi="Arial" w:eastAsia="Arial" w:cs="Arial"/>
                <w:b w:val="0"/>
                <w:bCs w:val="0"/>
                <w:color w:val="1C2833"/>
                <w:sz w:val="20"/>
                <w:szCs w:val="20"/>
              </w:rPr>
              <w:t>Selects appropriate supervision models; designs and uses observation tools; facilitates pre- and post-observation conferences; conducts fair, competency-based evaluation; navigates difficult conversations professionally</w:t>
            </w:r>
          </w:p>
        </w:tc>
      </w:tr>
      <w:tr w14:paraId="1A043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1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02747DC">
            <w:r>
              <w:rPr>
                <w:rFonts w:ascii="Arial" w:hAnsi="Arial" w:eastAsia="Arial" w:cs="Arial"/>
                <w:b w:val="0"/>
                <w:bCs w:val="0"/>
                <w:color w:val="1C2833"/>
                <w:sz w:val="20"/>
                <w:szCs w:val="20"/>
              </w:rPr>
              <w:t>Domain 5</w:t>
            </w:r>
          </w:p>
        </w:tc>
        <w:tc>
          <w:tcPr>
            <w:tcW w:w="22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84F616F">
            <w:r>
              <w:rPr>
                <w:rFonts w:ascii="Arial" w:hAnsi="Arial" w:eastAsia="Arial" w:cs="Arial"/>
                <w:b w:val="0"/>
                <w:bCs w:val="0"/>
                <w:color w:val="1C2833"/>
                <w:sz w:val="20"/>
                <w:szCs w:val="20"/>
              </w:rPr>
              <w:t>Leadership, Coaching &amp; Development</w:t>
            </w:r>
          </w:p>
        </w:tc>
        <w:tc>
          <w:tcPr>
            <w:tcW w:w="5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8E35E1B">
            <w:r>
              <w:rPr>
                <w:rFonts w:ascii="Arial" w:hAnsi="Arial" w:eastAsia="Arial" w:cs="Arial"/>
                <w:b w:val="0"/>
                <w:bCs w:val="0"/>
                <w:color w:val="1C2833"/>
                <w:sz w:val="20"/>
                <w:szCs w:val="20"/>
              </w:rPr>
              <w:t>Distinguishes between coaching, mentoring, and supervising; applies GROW coaching framework; designs PLCs and developmental programs; leads change initiatives; sustains a culture of professional learning</w:t>
            </w:r>
          </w:p>
        </w:tc>
      </w:tr>
    </w:tbl>
    <w:p w14:paraId="47791ADA">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F4E8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5D6D7E" w:sz="4" w:space="0"/>
              <w:left w:val="single" w:color="5D6D7E" w:sz="18" w:space="0"/>
              <w:bottom w:val="single" w:color="5D6D7E" w:sz="4" w:space="0"/>
              <w:right w:val="single" w:color="5D6D7E" w:sz="4" w:space="0"/>
            </w:tcBorders>
            <w:shd w:val="clear" w:color="auto" w:fill="F2F3F4"/>
            <w:tcMar>
              <w:top w:w="120" w:type="dxa"/>
              <w:left w:w="220" w:type="dxa"/>
              <w:bottom w:w="120" w:type="dxa"/>
              <w:right w:w="200" w:type="dxa"/>
            </w:tcMar>
          </w:tcPr>
          <w:p w14:paraId="76ADEB4A">
            <w:pPr>
              <w:spacing w:before="80" w:after="100"/>
            </w:pPr>
            <w:r>
              <w:rPr>
                <w:rFonts w:ascii="Arial" w:hAnsi="Arial" w:eastAsia="Arial" w:cs="Arial"/>
                <w:b/>
                <w:bCs/>
                <w:color w:val="5D6D7E"/>
                <w:sz w:val="24"/>
                <w:szCs w:val="24"/>
              </w:rPr>
              <w:t>Entry Competencies (assumed at program start)</w:t>
            </w:r>
          </w:p>
          <w:p w14:paraId="197976C5">
            <w:pPr>
              <w:spacing w:before="60" w:after="60"/>
              <w:ind w:left="160"/>
            </w:pPr>
            <w:r>
              <w:rPr>
                <w:rFonts w:ascii="Arial" w:hAnsi="Arial" w:eastAsia="Arial" w:cs="Arial"/>
                <w:b/>
                <w:bCs/>
                <w:color w:val="5D6D7E"/>
                <w:sz w:val="22"/>
                <w:szCs w:val="22"/>
              </w:rPr>
              <w:t xml:space="preserve">— </w:t>
            </w:r>
            <w:r>
              <w:rPr>
                <w:rFonts w:ascii="Arial" w:hAnsi="Arial" w:eastAsia="Arial" w:cs="Arial"/>
                <w:color w:val="1C2833"/>
                <w:sz w:val="22"/>
                <w:szCs w:val="22"/>
              </w:rPr>
              <w:t>Minimum 3 years of EFL/ESL teaching experience at any level</w:t>
            </w:r>
          </w:p>
          <w:p w14:paraId="304BDD61">
            <w:pPr>
              <w:spacing w:before="60" w:after="60"/>
              <w:ind w:left="160"/>
            </w:pPr>
            <w:r>
              <w:rPr>
                <w:rFonts w:ascii="Arial" w:hAnsi="Arial" w:eastAsia="Arial" w:cs="Arial"/>
                <w:b/>
                <w:bCs/>
                <w:color w:val="5D6D7E"/>
                <w:sz w:val="22"/>
                <w:szCs w:val="22"/>
              </w:rPr>
              <w:t xml:space="preserve">— </w:t>
            </w:r>
            <w:r>
              <w:rPr>
                <w:rFonts w:ascii="Arial" w:hAnsi="Arial" w:eastAsia="Arial" w:cs="Arial"/>
                <w:color w:val="1C2833"/>
                <w:sz w:val="22"/>
                <w:szCs w:val="22"/>
              </w:rPr>
              <w:t>Working familiarity with lesson planning, EFL methodology, and classroom management</w:t>
            </w:r>
          </w:p>
          <w:p w14:paraId="1F468C3E">
            <w:pPr>
              <w:spacing w:before="60" w:after="60"/>
              <w:ind w:left="160"/>
            </w:pPr>
            <w:r>
              <w:rPr>
                <w:rFonts w:ascii="Arial" w:hAnsi="Arial" w:eastAsia="Arial" w:cs="Arial"/>
                <w:b/>
                <w:bCs/>
                <w:color w:val="5D6D7E"/>
                <w:sz w:val="22"/>
                <w:szCs w:val="22"/>
              </w:rPr>
              <w:t xml:space="preserve">— </w:t>
            </w:r>
            <w:r>
              <w:rPr>
                <w:rFonts w:ascii="Arial" w:hAnsi="Arial" w:eastAsia="Arial" w:cs="Arial"/>
                <w:color w:val="1C2833"/>
                <w:sz w:val="22"/>
                <w:szCs w:val="22"/>
              </w:rPr>
              <w:t>Awareness of the role of teacher development in institutional quality</w:t>
            </w:r>
          </w:p>
          <w:p w14:paraId="71D18DE5">
            <w:pPr>
              <w:spacing w:before="60" w:after="80"/>
              <w:ind w:left="160"/>
            </w:pPr>
            <w:r>
              <w:rPr>
                <w:rFonts w:ascii="Arial" w:hAnsi="Arial" w:eastAsia="Arial" w:cs="Arial"/>
                <w:b/>
                <w:bCs/>
                <w:color w:val="5D6D7E"/>
                <w:sz w:val="22"/>
                <w:szCs w:val="22"/>
              </w:rPr>
              <w:t xml:space="preserve">— </w:t>
            </w:r>
            <w:r>
              <w:rPr>
                <w:rFonts w:ascii="Arial" w:hAnsi="Arial" w:eastAsia="Arial" w:cs="Arial"/>
                <w:color w:val="1C2833"/>
                <w:sz w:val="22"/>
                <w:szCs w:val="22"/>
              </w:rPr>
              <w:t>Basic written and oral professional communication skills in English</w:t>
            </w:r>
          </w:p>
        </w:tc>
      </w:tr>
    </w:tbl>
    <w:p w14:paraId="6EADEBC0">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4DF5A"/>
        <w:tblLayout w:type="autofit"/>
        <w:tblCellMar>
          <w:top w:w="0" w:type="dxa"/>
          <w:left w:w="10" w:type="dxa"/>
          <w:bottom w:w="0" w:type="dxa"/>
          <w:right w:w="10" w:type="dxa"/>
        </w:tblCellMar>
      </w:tblPr>
      <w:tblGrid>
        <w:gridCol w:w="9026"/>
      </w:tblGrid>
      <w:tr w14:paraId="44BA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4DF5A"/>
          <w:tblCellMar>
            <w:top w:w="0" w:type="dxa"/>
            <w:left w:w="10" w:type="dxa"/>
            <w:bottom w:w="0" w:type="dxa"/>
            <w:right w:w="10" w:type="dxa"/>
          </w:tblCellMar>
        </w:tblPrEx>
        <w:trPr>
          <w:jc w:val="center"/>
        </w:trPr>
        <w:tc>
          <w:tcPr>
            <w:tcW w:w="9026" w:type="dxa"/>
            <w:tcBorders>
              <w:top w:val="single" w:color="0E6655" w:sz="4" w:space="0"/>
              <w:left w:val="single" w:color="0E6655" w:sz="18" w:space="0"/>
              <w:bottom w:val="single" w:color="0E6655" w:sz="4" w:space="0"/>
              <w:right w:val="single" w:color="0E6655" w:sz="4" w:space="0"/>
            </w:tcBorders>
            <w:shd w:val="clear" w:color="auto" w:fill="B4DF5A"/>
            <w:tcMar>
              <w:top w:w="120" w:type="dxa"/>
              <w:left w:w="220" w:type="dxa"/>
              <w:bottom w:w="120" w:type="dxa"/>
              <w:right w:w="200" w:type="dxa"/>
            </w:tcMar>
          </w:tcPr>
          <w:p w14:paraId="605E11FA">
            <w:pPr>
              <w:spacing w:before="80" w:after="100"/>
              <w:rPr>
                <w:color w:val="77933C" w:themeColor="accent3" w:themeShade="BF"/>
              </w:rPr>
            </w:pPr>
            <w:r>
              <w:rPr>
                <w:rFonts w:ascii="Arial" w:hAnsi="Arial" w:eastAsia="Arial" w:cs="Arial"/>
                <w:b/>
                <w:bCs/>
                <w:color w:val="77933C" w:themeColor="accent3" w:themeShade="BF"/>
                <w:sz w:val="24"/>
                <w:szCs w:val="24"/>
              </w:rPr>
              <w:t>Exit Competencies (demonstrated at program completion)</w:t>
            </w:r>
          </w:p>
          <w:p w14:paraId="329BF66E">
            <w:pPr>
              <w:spacing w:before="60" w:after="60"/>
              <w:ind w:left="160"/>
            </w:pPr>
            <w:r>
              <w:rPr>
                <w:rFonts w:ascii="Arial" w:hAnsi="Arial" w:eastAsia="Arial" w:cs="Arial"/>
                <w:b/>
                <w:bCs/>
                <w:color w:val="0E6655"/>
                <w:sz w:val="22"/>
                <w:szCs w:val="22"/>
              </w:rPr>
              <w:t xml:space="preserve">— </w:t>
            </w:r>
            <w:r>
              <w:rPr>
                <w:rFonts w:ascii="Arial" w:hAnsi="Arial" w:eastAsia="Arial" w:cs="Arial"/>
                <w:color w:val="1C2833"/>
                <w:sz w:val="22"/>
                <w:szCs w:val="22"/>
              </w:rPr>
              <w:t>Designs and delivers training programs grounded in adult learning theory and backward design</w:t>
            </w:r>
          </w:p>
          <w:p w14:paraId="76F059D0">
            <w:pPr>
              <w:spacing w:before="60" w:after="60"/>
              <w:ind w:left="160"/>
            </w:pPr>
            <w:r>
              <w:rPr>
                <w:rFonts w:ascii="Arial" w:hAnsi="Arial" w:eastAsia="Arial" w:cs="Arial"/>
                <w:b/>
                <w:bCs/>
                <w:color w:val="0E6655"/>
                <w:sz w:val="22"/>
                <w:szCs w:val="22"/>
              </w:rPr>
              <w:t xml:space="preserve">— </w:t>
            </w:r>
            <w:r>
              <w:rPr>
                <w:rFonts w:ascii="Arial" w:hAnsi="Arial" w:eastAsia="Arial" w:cs="Arial"/>
                <w:color w:val="1C2833"/>
                <w:sz w:val="22"/>
                <w:szCs w:val="22"/>
              </w:rPr>
              <w:t>Facilitates a full supervision cycle (observation, conference, evaluation, follow-up) independently and professionally</w:t>
            </w:r>
          </w:p>
          <w:p w14:paraId="69ADF47F">
            <w:pPr>
              <w:spacing w:before="60" w:after="60"/>
              <w:ind w:left="160"/>
            </w:pPr>
            <w:r>
              <w:rPr>
                <w:rFonts w:ascii="Arial" w:hAnsi="Arial" w:eastAsia="Arial" w:cs="Arial"/>
                <w:b/>
                <w:bCs/>
                <w:color w:val="0E6655"/>
                <w:sz w:val="22"/>
                <w:szCs w:val="22"/>
              </w:rPr>
              <w:t xml:space="preserve">— </w:t>
            </w:r>
            <w:r>
              <w:rPr>
                <w:rFonts w:ascii="Arial" w:hAnsi="Arial" w:eastAsia="Arial" w:cs="Arial"/>
                <w:color w:val="1C2833"/>
                <w:sz w:val="22"/>
                <w:szCs w:val="22"/>
              </w:rPr>
              <w:t>Gives structured, evidence-based feedback in verbal and written forms across multiple feedback models</w:t>
            </w:r>
          </w:p>
          <w:p w14:paraId="68AB45D7">
            <w:pPr>
              <w:spacing w:before="60" w:after="60"/>
              <w:ind w:left="160"/>
            </w:pPr>
            <w:r>
              <w:rPr>
                <w:rFonts w:ascii="Arial" w:hAnsi="Arial" w:eastAsia="Arial" w:cs="Arial"/>
                <w:b/>
                <w:bCs/>
                <w:color w:val="0E6655"/>
                <w:sz w:val="22"/>
                <w:szCs w:val="22"/>
              </w:rPr>
              <w:t xml:space="preserve">— </w:t>
            </w:r>
            <w:r>
              <w:rPr>
                <w:rFonts w:ascii="Arial" w:hAnsi="Arial" w:eastAsia="Arial" w:cs="Arial"/>
                <w:color w:val="1C2833"/>
                <w:sz w:val="22"/>
                <w:szCs w:val="22"/>
              </w:rPr>
              <w:t>Coaches teachers using the GROW framework and distinguishes coaching from mentoring and supervision</w:t>
            </w:r>
          </w:p>
          <w:p w14:paraId="2521CBB8">
            <w:pPr>
              <w:spacing w:before="60" w:after="60"/>
              <w:ind w:left="160"/>
            </w:pPr>
            <w:r>
              <w:rPr>
                <w:rFonts w:ascii="Arial" w:hAnsi="Arial" w:eastAsia="Arial" w:cs="Arial"/>
                <w:b/>
                <w:bCs/>
                <w:color w:val="0E6655"/>
                <w:sz w:val="22"/>
                <w:szCs w:val="22"/>
              </w:rPr>
              <w:t xml:space="preserve">— </w:t>
            </w:r>
            <w:r>
              <w:rPr>
                <w:rFonts w:ascii="Arial" w:hAnsi="Arial" w:eastAsia="Arial" w:cs="Arial"/>
                <w:color w:val="1C2833"/>
                <w:sz w:val="22"/>
                <w:szCs w:val="22"/>
              </w:rPr>
              <w:t>Builds professional learning communities and contributes to a culture of continuing development</w:t>
            </w:r>
          </w:p>
          <w:p w14:paraId="50086B32">
            <w:pPr>
              <w:spacing w:before="60" w:after="60"/>
              <w:ind w:left="160"/>
            </w:pPr>
            <w:r>
              <w:rPr>
                <w:rFonts w:ascii="Arial" w:hAnsi="Arial" w:eastAsia="Arial" w:cs="Arial"/>
                <w:b/>
                <w:bCs/>
                <w:color w:val="0E6655"/>
                <w:sz w:val="22"/>
                <w:szCs w:val="22"/>
              </w:rPr>
              <w:t xml:space="preserve">— </w:t>
            </w:r>
            <w:r>
              <w:rPr>
                <w:rFonts w:ascii="Arial" w:hAnsi="Arial" w:eastAsia="Arial" w:cs="Arial"/>
                <w:color w:val="1C2833"/>
                <w:sz w:val="22"/>
                <w:szCs w:val="22"/>
              </w:rPr>
              <w:t>Navigates resistance, cross-cultural dynamics, and difficult conversations with professional skill</w:t>
            </w:r>
          </w:p>
          <w:p w14:paraId="3692B532">
            <w:pPr>
              <w:spacing w:before="60" w:after="80"/>
              <w:ind w:left="160"/>
            </w:pPr>
            <w:r>
              <w:rPr>
                <w:rFonts w:ascii="Arial" w:hAnsi="Arial" w:eastAsia="Arial" w:cs="Arial"/>
                <w:b/>
                <w:bCs/>
                <w:color w:val="0E6655"/>
                <w:sz w:val="22"/>
                <w:szCs w:val="22"/>
              </w:rPr>
              <w:t xml:space="preserve">— </w:t>
            </w:r>
            <w:r>
              <w:rPr>
                <w:rFonts w:ascii="Arial" w:hAnsi="Arial" w:eastAsia="Arial" w:cs="Arial"/>
                <w:color w:val="1C2833"/>
                <w:sz w:val="22"/>
                <w:szCs w:val="22"/>
              </w:rPr>
              <w:t>Produces a professional portfolio demonstrating competency growth across all five domains</w:t>
            </w:r>
          </w:p>
        </w:tc>
      </w:tr>
    </w:tbl>
    <w:p w14:paraId="59C5E8D8">
      <w:r>
        <w:br w:type="page"/>
      </w:r>
    </w:p>
    <w:p w14:paraId="7AC088B9">
      <w:pPr>
        <w:pStyle w:val="2"/>
        <w:shd w:val="clear" w:fill="E36C09" w:themeFill="accent6" w:themeFillShade="BF"/>
        <w:spacing w:before="0" w:after="200"/>
        <w:ind w:right="240"/>
      </w:pPr>
      <w:r>
        <w:rPr>
          <w:rFonts w:ascii="Arial" w:hAnsi="Arial" w:eastAsia="Arial" w:cs="Arial"/>
          <w:b/>
          <w:bCs/>
          <w:color w:val="FFFFFF"/>
          <w:sz w:val="38"/>
          <w:szCs w:val="38"/>
        </w:rPr>
        <w:t>MONTH 1: FOUNDATIONS OF SUPERVISION &amp; TRAINING</w:t>
      </w:r>
    </w:p>
    <w:p w14:paraId="69B64A33">
      <w:pPr>
        <w:spacing w:after="120"/>
        <w:jc w:val="center"/>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7E8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nil"/>
              <w:left w:val="nil"/>
              <w:bottom w:val="nil"/>
              <w:right w:val="nil"/>
            </w:tcBorders>
            <w:shd w:val="clear" w:color="auto" w:fill="D6EAF8"/>
            <w:tcMar>
              <w:top w:w="160" w:type="dxa"/>
              <w:left w:w="300" w:type="dxa"/>
              <w:bottom w:w="160" w:type="dxa"/>
              <w:right w:w="200" w:type="dxa"/>
            </w:tcMar>
          </w:tcPr>
          <w:p w14:paraId="7422203D">
            <w:r>
              <w:rPr>
                <w:rFonts w:ascii="Arial" w:hAnsi="Arial" w:eastAsia="Arial" w:cs="Arial"/>
                <w:b/>
                <w:bCs/>
                <w:color w:val="1B4F72"/>
                <w:sz w:val="22"/>
                <w:szCs w:val="22"/>
              </w:rPr>
              <w:t>Domains Addressed: Domain 1 (Professional Identity) · Domain 2 (Training Design)</w:t>
            </w:r>
          </w:p>
        </w:tc>
      </w:tr>
    </w:tbl>
    <w:p w14:paraId="22879206">
      <w:pPr>
        <w:spacing w:after="120"/>
      </w:pPr>
    </w:p>
    <w:p w14:paraId="1E6641A1">
      <w:pPr>
        <w:spacing w:before="60" w:after="120"/>
      </w:pPr>
      <w:r>
        <w:rPr>
          <w:rFonts w:ascii="Arial" w:hAnsi="Arial" w:eastAsia="Arial" w:cs="Arial"/>
          <w:color w:val="1C2833"/>
          <w:sz w:val="22"/>
          <w:szCs w:val="22"/>
        </w:rPr>
        <w:t>Month 1 establishes the intellectual and professional foundation upon which everything else in the program will be built. Participants begin not by learning techniques but by examining who they are and who they are becoming as trainer-supervisors. They interrogate their assumptions about teaching, authority, expertise, and professional knowledge. From that reflective starting point, they build outward: first into the science of how adults learn, then into the diagnostic skill of identifying what others need, and finally into the craft of designing training that actually works. By the end of Month 1, participants will have a personal professional philosophy, a foundational understanding of adult learning theory, experience conducting a basic needs analysis, and a complete training session design they have created independently.</w:t>
      </w:r>
    </w:p>
    <w:p w14:paraId="02CC37E0">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98F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7F6B9E77">
            <w:pPr>
              <w:spacing w:before="80" w:after="100"/>
            </w:pPr>
            <w:r>
              <w:rPr>
                <w:rFonts w:ascii="Arial" w:hAnsi="Arial" w:eastAsia="Arial" w:cs="Arial"/>
                <w:b/>
                <w:bCs/>
                <w:color w:val="1B4F72"/>
                <w:sz w:val="24"/>
                <w:szCs w:val="24"/>
              </w:rPr>
              <w:t>Essential Questions for Month 1</w:t>
            </w:r>
          </w:p>
          <w:p w14:paraId="24C3D93E">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Who am I as a trainer-supervisor, and how is that different from who I was as a teacher?</w:t>
            </w:r>
          </w:p>
          <w:p w14:paraId="4F7EEE2B">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How do adults learn, and what does that mean for how I should design and deliver training?</w:t>
            </w:r>
          </w:p>
          <w:p w14:paraId="3806FE23">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How do I find out what teachers actually need before I start training them?</w:t>
            </w:r>
          </w:p>
          <w:p w14:paraId="5AB42277">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What makes a training session both coherent and effective?</w:t>
            </w:r>
          </w:p>
        </w:tc>
      </w:tr>
    </w:tbl>
    <w:p w14:paraId="2B7974A1">
      <w:pPr>
        <w:spacing w:after="120"/>
      </w:pPr>
    </w:p>
    <w:p w14:paraId="74456F39">
      <w:pPr>
        <w:spacing w:after="120"/>
      </w:pPr>
    </w:p>
    <w:p w14:paraId="2CDC6A7F">
      <w:pPr>
        <w:spacing w:after="120"/>
      </w:pPr>
    </w:p>
    <w:p w14:paraId="79118009">
      <w:pPr>
        <w:spacing w:after="120"/>
      </w:pPr>
    </w:p>
    <w:p w14:paraId="2FE00725">
      <w:pPr>
        <w:spacing w:after="120"/>
      </w:pPr>
    </w:p>
    <w:p w14:paraId="72782C5B">
      <w:pPr>
        <w:spacing w:after="120"/>
      </w:pPr>
    </w:p>
    <w:p w14:paraId="49751881">
      <w:pPr>
        <w:spacing w:after="120"/>
      </w:pPr>
    </w:p>
    <w:p w14:paraId="24F1224C">
      <w:pPr>
        <w:spacing w:after="120"/>
      </w:pPr>
    </w:p>
    <w:p w14:paraId="1807E176">
      <w:pPr>
        <w:spacing w:after="120"/>
      </w:pPr>
    </w:p>
    <w:p w14:paraId="01E8E851">
      <w:pPr>
        <w:spacing w:after="120"/>
      </w:pPr>
    </w:p>
    <w:p w14:paraId="183C3133">
      <w:pPr>
        <w:spacing w:after="120"/>
      </w:pPr>
    </w:p>
    <w:p w14:paraId="3E0EFAE6">
      <w:pPr>
        <w:spacing w:after="120"/>
      </w:pPr>
    </w:p>
    <w:p w14:paraId="3F82222A">
      <w:pPr>
        <w:spacing w:after="120"/>
      </w:pPr>
    </w:p>
    <w:p w14:paraId="0B162038">
      <w:pPr>
        <w:spacing w:after="120"/>
      </w:pPr>
    </w:p>
    <w:p w14:paraId="5CF8E71F">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7726"/>
      </w:tblGrid>
      <w:tr w14:paraId="0673D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nil"/>
              <w:left w:val="nil"/>
              <w:bottom w:val="nil"/>
              <w:right w:val="nil"/>
            </w:tcBorders>
            <w:shd w:val="clear" w:color="auto" w:fill="92D050"/>
            <w:tcMar>
              <w:top w:w="120" w:type="dxa"/>
              <w:left w:w="180" w:type="dxa"/>
              <w:bottom w:w="120" w:type="dxa"/>
              <w:right w:w="180" w:type="dxa"/>
            </w:tcMar>
            <w:vAlign w:val="center"/>
          </w:tcPr>
          <w:p w14:paraId="1A152DEA">
            <w:pPr>
              <w:jc w:val="center"/>
            </w:pPr>
            <w:r>
              <w:rPr>
                <w:rFonts w:ascii="Arial" w:hAnsi="Arial" w:eastAsia="Arial" w:cs="Arial"/>
                <w:b/>
                <w:bCs/>
                <w:color w:val="FFFFFF"/>
                <w:sz w:val="22"/>
                <w:szCs w:val="22"/>
              </w:rPr>
              <w:t>WEEK 1</w:t>
            </w:r>
          </w:p>
        </w:tc>
        <w:tc>
          <w:tcPr>
            <w:tcW w:w="7726" w:type="dxa"/>
            <w:tcBorders>
              <w:top w:val="nil"/>
              <w:left w:val="nil"/>
              <w:bottom w:val="nil"/>
              <w:right w:val="nil"/>
            </w:tcBorders>
            <w:shd w:val="clear" w:color="auto" w:fill="D6EAF8"/>
            <w:tcMar>
              <w:top w:w="120" w:type="dxa"/>
              <w:left w:w="220" w:type="dxa"/>
              <w:bottom w:w="120" w:type="dxa"/>
              <w:right w:w="180" w:type="dxa"/>
            </w:tcMar>
            <w:vAlign w:val="center"/>
          </w:tcPr>
          <w:p w14:paraId="30162716">
            <w:r>
              <w:rPr>
                <w:rFonts w:ascii="Arial" w:hAnsi="Arial" w:eastAsia="Arial" w:cs="Arial"/>
                <w:b/>
                <w:bCs/>
                <w:color w:val="1B4F72"/>
                <w:sz w:val="26"/>
                <w:szCs w:val="26"/>
              </w:rPr>
              <w:t>The Trainer-Supervisor Identity</w:t>
            </w:r>
          </w:p>
        </w:tc>
      </w:tr>
    </w:tbl>
    <w:p w14:paraId="161E13A4">
      <w:pPr>
        <w:spacing w:after="120"/>
      </w:pPr>
    </w:p>
    <w:p w14:paraId="2221BD08">
      <w:pPr>
        <w:spacing w:before="60" w:after="120"/>
      </w:pPr>
      <w:r>
        <w:rPr>
          <w:rFonts w:ascii="Arial" w:hAnsi="Arial" w:eastAsia="Arial" w:cs="Arial"/>
          <w:color w:val="1C2833"/>
          <w:sz w:val="22"/>
          <w:szCs w:val="22"/>
        </w:rPr>
        <w:t>The transition from experienced teacher to trainer or supervisor is not automatic. It requires a deliberate shift in identity, assumptions, and professional purpose. This week opens the program by inviting participants to examine that shift with curiosity and rigour. Before any framework or technique is introduced, participants are asked to think carefully about what they believe, what they assume, and who they want to become.</w:t>
      </w:r>
    </w:p>
    <w:p w14:paraId="048C7D6E">
      <w:pPr>
        <w:spacing w:after="120"/>
      </w:pPr>
    </w:p>
    <w:p w14:paraId="0BDC3737">
      <w:pPr>
        <w:pStyle w:val="5"/>
      </w:pPr>
      <w:r>
        <w:rPr>
          <w:rFonts w:ascii="Arial" w:hAnsi="Arial" w:eastAsia="Arial" w:cs="Arial"/>
          <w:b/>
          <w:bCs/>
          <w:color w:val="0E6655"/>
          <w:sz w:val="22"/>
          <w:szCs w:val="22"/>
        </w:rPr>
        <w:t>Topic 1: Roles, Responsibilities &amp; Institutional Expectations</w:t>
      </w:r>
    </w:p>
    <w:p w14:paraId="5DE0423D">
      <w:pPr>
        <w:spacing w:before="60" w:after="120"/>
      </w:pPr>
      <w:r>
        <w:rPr>
          <w:rFonts w:ascii="Arial" w:hAnsi="Arial" w:eastAsia="Arial" w:cs="Arial"/>
          <w:color w:val="1C2833"/>
          <w:sz w:val="22"/>
          <w:szCs w:val="22"/>
        </w:rPr>
        <w:t>We begin by mapping the professional landscape: What is a trainer? What is a supervisor? What is a coach, a mentor, a developer? These terms are often used interchangeably in practice, yet they refer to meaningfully different roles with different intentions, relationships, and methods. Participants explore the overlaps and distinctions, identify how these roles manifest in their own institutional context, and examine the ethical responsibilities that come with each. Special attention is paid to the power dynamics inherent in supervisory relationships and how ethical practitioners navigate those dynamics with integrity.</w:t>
      </w:r>
    </w:p>
    <w:p w14:paraId="27F8471E">
      <w:pPr>
        <w:pStyle w:val="5"/>
      </w:pPr>
      <w:r>
        <w:rPr>
          <w:rFonts w:ascii="Arial" w:hAnsi="Arial" w:eastAsia="Arial" w:cs="Arial"/>
          <w:b/>
          <w:bCs/>
          <w:color w:val="0E6655"/>
          <w:sz w:val="22"/>
          <w:szCs w:val="22"/>
        </w:rPr>
        <w:t>Topic 2: The Identity Shift — From Teacher to Trainer</w:t>
      </w:r>
    </w:p>
    <w:p w14:paraId="75764C77">
      <w:pPr>
        <w:spacing w:before="60" w:after="120"/>
      </w:pPr>
      <w:r>
        <w:rPr>
          <w:rFonts w:ascii="Arial" w:hAnsi="Arial" w:eastAsia="Arial" w:cs="Arial"/>
          <w:color w:val="1C2833"/>
          <w:sz w:val="22"/>
          <w:szCs w:val="22"/>
        </w:rPr>
        <w:t>Moving from the front of a classroom to the role of training or supervising other teachers involves a profound shift in perspective. The trainer-supervisor's job is no longer to teach learners: it is to develop professionals. This distinction changes everything — from how sessions are designed to how feedback is given to how authority is held. Participants explore their current assumptions about expertise, authority, and professional knowledge and begin articulating what kind of trainer-supervisor they want to be.</w:t>
      </w:r>
    </w:p>
    <w:p w14:paraId="5A2C7803">
      <w:pPr>
        <w:spacing w:after="120"/>
      </w:pPr>
    </w:p>
    <w:p w14:paraId="5A7CBB49">
      <w:pPr>
        <w:pStyle w:val="5"/>
      </w:pPr>
      <w:r>
        <w:rPr>
          <w:rFonts w:ascii="Arial" w:hAnsi="Arial" w:eastAsia="Arial" w:cs="Arial"/>
          <w:b/>
          <w:bCs/>
          <w:color w:val="0E6655"/>
          <w:sz w:val="22"/>
          <w:szCs w:val="22"/>
        </w:rPr>
        <w:t>Topic 3: The Reflective Practitioner as a Professional Model</w:t>
      </w:r>
    </w:p>
    <w:p w14:paraId="512E8232">
      <w:pPr>
        <w:spacing w:before="60" w:after="120"/>
      </w:pPr>
      <w:r>
        <w:rPr>
          <w:rFonts w:ascii="Arial" w:hAnsi="Arial" w:eastAsia="Arial" w:cs="Arial"/>
          <w:color w:val="1C2833"/>
          <w:sz w:val="22"/>
          <w:szCs w:val="22"/>
        </w:rPr>
        <w:t>Drawing on Donald Schön's model of professional reflection, this session introduces the idea that excellent trainer-supervisors are those who think systematically about their own practice. Reflection is not a pastoral add-on — it is a professional methodology. Participants are introduced to the concepts of reflection-in-action and reflection-on-action, and begin using a structured reflective journal format that will accompany them throughout the entire program.</w:t>
      </w:r>
    </w:p>
    <w:p w14:paraId="411AB741">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9A1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360BAFBC">
            <w:pPr>
              <w:spacing w:before="80" w:after="100"/>
            </w:pPr>
            <w:r>
              <w:rPr>
                <w:rFonts w:ascii="Arial" w:hAnsi="Arial" w:eastAsia="Arial" w:cs="Arial"/>
                <w:b/>
                <w:bCs/>
                <w:color w:val="1B4F72"/>
                <w:sz w:val="24"/>
                <w:szCs w:val="24"/>
              </w:rPr>
              <w:t>Learning Outcomes — Week 1</w:t>
            </w:r>
          </w:p>
          <w:p w14:paraId="78279D17">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Distinguish clearly between the roles of trainer, supervisor, coach, and mentor in educational and EFL contexts</w:t>
            </w:r>
          </w:p>
          <w:p w14:paraId="0A8126BF">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Articulate a preliminary personal professional philosophy grounded in ethical principles and the realities of their institutional context</w:t>
            </w:r>
          </w:p>
          <w:p w14:paraId="5B01B9A3">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Identify the key professional responsibilities and ethical obligations associated with their specific trainer-supervisor role</w:t>
            </w:r>
          </w:p>
          <w:p w14:paraId="5268D873">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Initiate a structured reflective journal practice that will continue throughout the program</w:t>
            </w:r>
          </w:p>
        </w:tc>
      </w:tr>
    </w:tbl>
    <w:p w14:paraId="5FAF009E">
      <w:pPr>
        <w:spacing w:after="120"/>
      </w:pPr>
    </w:p>
    <w:p w14:paraId="07A51715">
      <w:pPr>
        <w:pStyle w:val="5"/>
      </w:pPr>
      <w:r>
        <w:rPr>
          <w:rFonts w:ascii="Arial" w:hAnsi="Arial" w:eastAsia="Arial" w:cs="Arial"/>
          <w:b/>
          <w:bCs/>
          <w:color w:val="0E6655"/>
          <w:sz w:val="22"/>
          <w:szCs w:val="22"/>
        </w:rPr>
        <w:t>Week 1 Activities</w:t>
      </w:r>
    </w:p>
    <w:p w14:paraId="1E4C24F4">
      <w:pPr>
        <w:pStyle w:val="16"/>
        <w:numPr>
          <w:ilvl w:val="0"/>
          <w:numId w:val="2"/>
        </w:numPr>
      </w:pPr>
      <w:r>
        <w:rPr>
          <w:rFonts w:ascii="Arial" w:hAnsi="Arial" w:eastAsia="Arial" w:cs="Arial"/>
          <w:color w:val="1C2833"/>
          <w:sz w:val="22"/>
          <w:szCs w:val="22"/>
        </w:rPr>
        <w:t>Trainer Identity Profile: Participants complete a structured, 20-item self-assessment mapping their current competencies against the program's five-domain competency framework. Results are used as a personal baseline and revisited at the end of Month 4. Discussion in pairs: What surprised you? What felt accurate? What felt uncomfortable?</w:t>
      </w:r>
    </w:p>
    <w:p w14:paraId="1968831B">
      <w:pPr>
        <w:pStyle w:val="16"/>
        <w:numPr>
          <w:ilvl w:val="0"/>
          <w:numId w:val="2"/>
        </w:numPr>
      </w:pPr>
      <w:r>
        <w:rPr>
          <w:rFonts w:ascii="Arial" w:hAnsi="Arial" w:eastAsia="Arial" w:cs="Arial"/>
          <w:color w:val="1C2833"/>
          <w:sz w:val="22"/>
          <w:szCs w:val="22"/>
        </w:rPr>
        <w:t>Personal Philosophy Draft Workshop: Participants write an initial draft of their personal trainer-supervisor philosophy statement. This is not assessed — it is a diagnostic artifact that they will revise and refine at the end of the program. The prompt: What do you believe about how teachers grow, and what is your role in that process?</w:t>
      </w:r>
    </w:p>
    <w:p w14:paraId="55285D72">
      <w:pPr>
        <w:pStyle w:val="16"/>
        <w:numPr>
          <w:ilvl w:val="0"/>
          <w:numId w:val="2"/>
        </w:numPr>
      </w:pPr>
      <w:r>
        <w:rPr>
          <w:rFonts w:ascii="Arial" w:hAnsi="Arial" w:eastAsia="Arial" w:cs="Arial"/>
          <w:color w:val="1C2833"/>
          <w:sz w:val="22"/>
          <w:szCs w:val="22"/>
        </w:rPr>
        <w:t>Role Mapping Activity: Working in small groups, participants map the overlapping and distinct responsibilities of trainer, supervisor, and mentor in their specific professional contexts. Groups present and compare their maps, noting where institutional roles differ and where tensions between roles emerge.</w:t>
      </w:r>
    </w:p>
    <w:p w14:paraId="7AACFCB3">
      <w:pPr>
        <w:spacing w:after="120"/>
      </w:pPr>
    </w:p>
    <w:p w14:paraId="0EF57950">
      <w:pPr>
        <w:spacing w:after="120"/>
      </w:pPr>
    </w:p>
    <w:p w14:paraId="581F249C">
      <w:pPr>
        <w:spacing w:after="120"/>
      </w:pPr>
    </w:p>
    <w:p w14:paraId="6FC7E1BA">
      <w:pPr>
        <w:spacing w:after="120"/>
      </w:pPr>
    </w:p>
    <w:p w14:paraId="189EB915">
      <w:pPr>
        <w:spacing w:after="120"/>
      </w:pPr>
    </w:p>
    <w:p w14:paraId="0463B859">
      <w:pPr>
        <w:spacing w:after="120"/>
      </w:pPr>
    </w:p>
    <w:p w14:paraId="43CBEFDA">
      <w:pPr>
        <w:spacing w:after="120"/>
      </w:pPr>
    </w:p>
    <w:p w14:paraId="45ECE6D6">
      <w:pPr>
        <w:spacing w:after="120"/>
      </w:pPr>
    </w:p>
    <w:p w14:paraId="539E9797">
      <w:pPr>
        <w:spacing w:after="120"/>
      </w:pPr>
    </w:p>
    <w:p w14:paraId="12A4AD64">
      <w:pPr>
        <w:spacing w:after="120"/>
      </w:pPr>
    </w:p>
    <w:p w14:paraId="48445BCE">
      <w:pPr>
        <w:spacing w:after="120"/>
      </w:pPr>
    </w:p>
    <w:p w14:paraId="352C9A8F">
      <w:pPr>
        <w:spacing w:after="120"/>
      </w:pPr>
    </w:p>
    <w:p w14:paraId="755E1C82">
      <w:pPr>
        <w:spacing w:after="120"/>
      </w:pPr>
    </w:p>
    <w:p w14:paraId="47AE06E2">
      <w:pPr>
        <w:spacing w:after="120"/>
      </w:pPr>
    </w:p>
    <w:p w14:paraId="2DE26706">
      <w:pPr>
        <w:spacing w:after="120"/>
      </w:pPr>
    </w:p>
    <w:p w14:paraId="08B606D1">
      <w:pPr>
        <w:spacing w:after="120"/>
      </w:pPr>
    </w:p>
    <w:p w14:paraId="7C42AB6A">
      <w:pPr>
        <w:spacing w:after="120"/>
      </w:pPr>
    </w:p>
    <w:p w14:paraId="565A73E8">
      <w:pPr>
        <w:spacing w:after="120"/>
      </w:pPr>
    </w:p>
    <w:p w14:paraId="1EB4C267">
      <w:pPr>
        <w:spacing w:after="120"/>
      </w:pPr>
    </w:p>
    <w:p w14:paraId="78A49874">
      <w:pPr>
        <w:spacing w:after="120"/>
      </w:pPr>
    </w:p>
    <w:p w14:paraId="4974AFF0">
      <w:pPr>
        <w:spacing w:after="120"/>
      </w:pPr>
    </w:p>
    <w:p w14:paraId="1D55DB65">
      <w:pPr>
        <w:spacing w:after="120"/>
      </w:pPr>
    </w:p>
    <w:p w14:paraId="10F32BCC">
      <w:pPr>
        <w:spacing w:after="120"/>
      </w:pPr>
    </w:p>
    <w:p w14:paraId="33359E9E">
      <w:pPr>
        <w:spacing w:after="120"/>
      </w:pPr>
    </w:p>
    <w:p w14:paraId="260AEAB0">
      <w:pPr>
        <w:spacing w:after="120"/>
      </w:pPr>
    </w:p>
    <w:p w14:paraId="4C742586">
      <w:pPr>
        <w:spacing w:after="120"/>
      </w:pPr>
    </w:p>
    <w:p w14:paraId="7C9D1F39">
      <w:pPr>
        <w:spacing w:after="120"/>
      </w:pPr>
    </w:p>
    <w:p w14:paraId="6CE90CE9">
      <w:pPr>
        <w:spacing w:after="120"/>
      </w:pPr>
    </w:p>
    <w:p w14:paraId="320BED20">
      <w:pPr>
        <w:spacing w:after="120"/>
      </w:pPr>
    </w:p>
    <w:p w14:paraId="1993A298">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7726"/>
      </w:tblGrid>
      <w:tr w14:paraId="0792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nil"/>
              <w:left w:val="nil"/>
              <w:bottom w:val="nil"/>
              <w:right w:val="nil"/>
            </w:tcBorders>
            <w:shd w:val="clear" w:color="auto" w:fill="92D050"/>
            <w:tcMar>
              <w:top w:w="120" w:type="dxa"/>
              <w:left w:w="180" w:type="dxa"/>
              <w:bottom w:w="120" w:type="dxa"/>
              <w:right w:w="180" w:type="dxa"/>
            </w:tcMar>
            <w:vAlign w:val="center"/>
          </w:tcPr>
          <w:p w14:paraId="75B93B91">
            <w:pPr>
              <w:jc w:val="center"/>
            </w:pPr>
            <w:r>
              <w:rPr>
                <w:rFonts w:ascii="Arial" w:hAnsi="Arial" w:eastAsia="Arial" w:cs="Arial"/>
                <w:b/>
                <w:bCs/>
                <w:color w:val="FFFFFF"/>
                <w:sz w:val="22"/>
                <w:szCs w:val="22"/>
              </w:rPr>
              <w:t>WEEK 2</w:t>
            </w:r>
          </w:p>
        </w:tc>
        <w:tc>
          <w:tcPr>
            <w:tcW w:w="7726" w:type="dxa"/>
            <w:tcBorders>
              <w:top w:val="nil"/>
              <w:left w:val="nil"/>
              <w:bottom w:val="nil"/>
              <w:right w:val="nil"/>
            </w:tcBorders>
            <w:shd w:val="clear" w:color="auto" w:fill="D6EAF8"/>
            <w:tcMar>
              <w:top w:w="120" w:type="dxa"/>
              <w:left w:w="220" w:type="dxa"/>
              <w:bottom w:w="120" w:type="dxa"/>
              <w:right w:w="180" w:type="dxa"/>
            </w:tcMar>
            <w:vAlign w:val="center"/>
          </w:tcPr>
          <w:p w14:paraId="30E517AE">
            <w:r>
              <w:rPr>
                <w:rFonts w:ascii="Arial" w:hAnsi="Arial" w:eastAsia="Arial" w:cs="Arial"/>
                <w:b/>
                <w:bCs/>
                <w:color w:val="1B4F72"/>
                <w:sz w:val="26"/>
                <w:szCs w:val="26"/>
              </w:rPr>
              <w:t>Adult Learning Theory &amp; the Science of Learning</w:t>
            </w:r>
          </w:p>
        </w:tc>
      </w:tr>
    </w:tbl>
    <w:p w14:paraId="77E3233A">
      <w:pPr>
        <w:spacing w:after="120"/>
      </w:pPr>
    </w:p>
    <w:p w14:paraId="614C75DA">
      <w:pPr>
        <w:spacing w:before="60" w:after="120"/>
      </w:pPr>
      <w:r>
        <w:rPr>
          <w:rFonts w:ascii="Arial" w:hAnsi="Arial" w:eastAsia="Arial" w:cs="Arial"/>
          <w:color w:val="1C2833"/>
          <w:sz w:val="22"/>
          <w:szCs w:val="22"/>
        </w:rPr>
        <w:t>If Month 1 asks 'Who are you as a trainer?', then Week 2 asks: 'Who are your learners, and how do they learn?' Trainer-supervisors who do not understand adult learning theory are working blind. This week builds the theoretical foundation that underpins every design and delivery decision in the rest of the program.</w:t>
      </w:r>
    </w:p>
    <w:p w14:paraId="42059D16">
      <w:pPr>
        <w:spacing w:after="120"/>
      </w:pPr>
    </w:p>
    <w:p w14:paraId="63AE3FA0">
      <w:pPr>
        <w:pStyle w:val="5"/>
      </w:pPr>
      <w:r>
        <w:rPr>
          <w:rFonts w:ascii="Arial" w:hAnsi="Arial" w:eastAsia="Arial" w:cs="Arial"/>
          <w:b/>
          <w:bCs/>
          <w:color w:val="0E6655"/>
          <w:sz w:val="22"/>
          <w:szCs w:val="22"/>
        </w:rPr>
        <w:t>Topic 1: Andragogy vs. Pedagogy — Rethinking What Learning Looks Like</w:t>
      </w:r>
    </w:p>
    <w:p w14:paraId="44313DD3">
      <w:pPr>
        <w:spacing w:before="60" w:after="120"/>
      </w:pPr>
      <w:r>
        <w:rPr>
          <w:rFonts w:ascii="Arial" w:hAnsi="Arial" w:eastAsia="Arial" w:cs="Arial"/>
          <w:color w:val="1C2833"/>
          <w:sz w:val="22"/>
          <w:szCs w:val="22"/>
        </w:rPr>
        <w:t>Malcolm Knowles' distinction between pedagogy (teaching children) and andragogy (facilitating adult learning) is foundational. Adult learners are self-directed, experience-rich, problem-oriented, and motivated by immediate relevance. Designs that ignore these characteristics risk wasting the most valuable resource in the room: the professional experience participants bring with them. This session examines each of Knowles' principles in depth and traces their implications for training design and delivery.</w:t>
      </w:r>
    </w:p>
    <w:p w14:paraId="08605AF1">
      <w:pPr>
        <w:spacing w:after="120"/>
      </w:pPr>
    </w:p>
    <w:p w14:paraId="2E602B1A">
      <w:pPr>
        <w:pStyle w:val="5"/>
      </w:pPr>
      <w:r>
        <w:rPr>
          <w:rFonts w:ascii="Arial" w:hAnsi="Arial" w:eastAsia="Arial" w:cs="Arial"/>
          <w:b/>
          <w:bCs/>
          <w:color w:val="0E6655"/>
          <w:sz w:val="22"/>
          <w:szCs w:val="22"/>
        </w:rPr>
        <w:t>Topic 2: Core Learning Theories for Trainer-Supervisors</w:t>
      </w:r>
    </w:p>
    <w:p w14:paraId="7331A1A7">
      <w:pPr>
        <w:spacing w:before="60" w:after="120"/>
      </w:pPr>
      <w:r>
        <w:rPr>
          <w:rFonts w:ascii="Arial" w:hAnsi="Arial" w:eastAsia="Arial" w:cs="Arial"/>
          <w:color w:val="1C2833"/>
          <w:sz w:val="22"/>
          <w:szCs w:val="22"/>
        </w:rPr>
        <w:t>Three theoretical frameworks are explored in depth: Vygotsky's social constructivism and the Zone of Proximal Development (ZPD), which emphasises collaborative learning at the edge of current capability; Sweller's Cognitive Load Theory, which warns against overloading working memory with poorly sequenced or redundant content; and Kolb's Experiential Learning Cycle (experience → reflection → conceptualisation → application), which provides the rhythm for almost every effective training session. Each theory is examined both conceptually and in terms of direct design implications.</w:t>
      </w:r>
    </w:p>
    <w:p w14:paraId="4172F96E">
      <w:pPr>
        <w:spacing w:after="120"/>
      </w:pPr>
    </w:p>
    <w:p w14:paraId="17F17DDF">
      <w:pPr>
        <w:pStyle w:val="5"/>
      </w:pPr>
      <w:r>
        <w:rPr>
          <w:rFonts w:ascii="Arial" w:hAnsi="Arial" w:eastAsia="Arial" w:cs="Arial"/>
          <w:b/>
          <w:bCs/>
          <w:color w:val="0E6655"/>
          <w:sz w:val="22"/>
          <w:szCs w:val="22"/>
        </w:rPr>
        <w:t>Topic 3: Motivation in Professional Learning</w:t>
      </w:r>
    </w:p>
    <w:p w14:paraId="2B4D082C">
      <w:pPr>
        <w:spacing w:before="60" w:after="120"/>
      </w:pPr>
      <w:r>
        <w:rPr>
          <w:rFonts w:ascii="Arial" w:hAnsi="Arial" w:eastAsia="Arial" w:cs="Arial"/>
          <w:color w:val="1C2833"/>
          <w:sz w:val="22"/>
          <w:szCs w:val="22"/>
        </w:rPr>
        <w:t>Why do teachers resist professional development? Why do some thrive in training while others disengage? Self-Determination Theory (Deci &amp; Ryan) provides an elegant answer: human beings are naturally motivated to learn when three core needs are met — autonomy (I have choice), competence (I am growing), and relatedness (I am connected to others). Creating training environments that honour these three needs is not a luxury; it is a design requirement. This session explores practical strategies for building motivation into training design from the ground up.</w:t>
      </w:r>
    </w:p>
    <w:p w14:paraId="77AFB0B1">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DAE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1C9A00AB">
            <w:pPr>
              <w:spacing w:before="80" w:after="100"/>
            </w:pPr>
            <w:r>
              <w:rPr>
                <w:rFonts w:ascii="Arial" w:hAnsi="Arial" w:eastAsia="Arial" w:cs="Arial"/>
                <w:b/>
                <w:bCs/>
                <w:color w:val="1B4F72"/>
                <w:sz w:val="24"/>
                <w:szCs w:val="24"/>
              </w:rPr>
              <w:t>Learning Outcomes — Week 2</w:t>
            </w:r>
          </w:p>
          <w:p w14:paraId="1BAA22DC">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Apply Knowles' andragogical principles to design and deliver training that respects and activates the prior experience of adult professionals</w:t>
            </w:r>
          </w:p>
          <w:p w14:paraId="1BD94E43">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Explain the core tenets of Vygotsky's social constructivism, Cognitive Load Theory, and Kolb's Experiential Learning Cycle and trace their direct implications for training practice</w:t>
            </w:r>
          </w:p>
          <w:p w14:paraId="1FF2A9FC">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Design learning experiences that deliberately address the motivational needs of adult professionals using Self-Determination Theory</w:t>
            </w:r>
          </w:p>
          <w:p w14:paraId="43219AF5">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Critically evaluate a sample training session against the andragogical and constructivist principles covered this week</w:t>
            </w:r>
          </w:p>
        </w:tc>
      </w:tr>
    </w:tbl>
    <w:p w14:paraId="4A7738E5">
      <w:pPr>
        <w:spacing w:after="120"/>
      </w:pPr>
    </w:p>
    <w:p w14:paraId="6B9191A3">
      <w:pPr>
        <w:spacing w:after="120"/>
      </w:pPr>
    </w:p>
    <w:p w14:paraId="3688D1F6">
      <w:pPr>
        <w:pStyle w:val="5"/>
      </w:pPr>
      <w:r>
        <w:rPr>
          <w:rFonts w:ascii="Arial" w:hAnsi="Arial" w:eastAsia="Arial" w:cs="Arial"/>
          <w:b/>
          <w:bCs/>
          <w:color w:val="0E6655"/>
          <w:sz w:val="22"/>
          <w:szCs w:val="22"/>
        </w:rPr>
        <w:t>Week 2 Activities</w:t>
      </w:r>
    </w:p>
    <w:p w14:paraId="44B2248C">
      <w:pPr>
        <w:pStyle w:val="16"/>
        <w:numPr>
          <w:ilvl w:val="0"/>
          <w:numId w:val="2"/>
        </w:numPr>
      </w:pPr>
      <w:r>
        <w:rPr>
          <w:rFonts w:ascii="Arial" w:hAnsi="Arial" w:eastAsia="Arial" w:cs="Arial"/>
          <w:color w:val="1C2833"/>
          <w:sz w:val="22"/>
          <w:szCs w:val="22"/>
        </w:rPr>
        <w:t>Theory Application Cards: Five training scenarios are presented as written case studies. Working in groups, participants select which learning theory best explains what went wrong (or right) in each scenario and what a theoretically informed redesign would look like. Groups rotate and build on each other's analysis.</w:t>
      </w:r>
    </w:p>
    <w:p w14:paraId="564CC157">
      <w:pPr>
        <w:pStyle w:val="16"/>
        <w:numPr>
          <w:ilvl w:val="0"/>
          <w:numId w:val="2"/>
        </w:numPr>
      </w:pPr>
      <w:r>
        <w:rPr>
          <w:rFonts w:ascii="Arial" w:hAnsi="Arial" w:eastAsia="Arial" w:cs="Arial"/>
          <w:color w:val="1C2833"/>
          <w:sz w:val="22"/>
          <w:szCs w:val="22"/>
        </w:rPr>
        <w:t>Andragogy Audit: Participants receive a sample training session plan (designed by the facilitator to contain deliberate gaps). Using an andragogy checklist developed in the session, they identify which andragogical principles are honoured and which are violated, then propose evidence-based revisions.</w:t>
      </w:r>
    </w:p>
    <w:p w14:paraId="1D55293C">
      <w:pPr>
        <w:pStyle w:val="16"/>
        <w:numPr>
          <w:ilvl w:val="0"/>
          <w:numId w:val="2"/>
        </w:numPr>
      </w:pPr>
      <w:r>
        <w:rPr>
          <w:rFonts w:ascii="Arial" w:hAnsi="Arial" w:eastAsia="Arial" w:cs="Arial"/>
          <w:color w:val="1C2833"/>
          <w:sz w:val="22"/>
          <w:szCs w:val="22"/>
        </w:rPr>
        <w:t>Motivation Design Challenge: Working individually, participants identify one real training session they have delivered or observed and analyse it through the Self-Determination Theory lens. They write a one-page reflection identifying where autonomy, competence, and relatedness were supported or undermined, and propose three specific design changes.</w:t>
      </w:r>
    </w:p>
    <w:p w14:paraId="732207E1">
      <w:pPr>
        <w:pBdr>
          <w:bottom w:val="single" w:color="D5D8DC" w:sz="6" w:space="0"/>
        </w:pBdr>
        <w:spacing w:before="200" w:after="200"/>
      </w:pPr>
    </w:p>
    <w:p w14:paraId="7596103E">
      <w:pPr>
        <w:pBdr>
          <w:bottom w:val="single" w:color="D5D8DC" w:sz="6" w:space="0"/>
        </w:pBdr>
        <w:spacing w:before="200" w:after="200"/>
      </w:pPr>
    </w:p>
    <w:p w14:paraId="5549E3C0">
      <w:pPr>
        <w:pBdr>
          <w:bottom w:val="single" w:color="D5D8DC" w:sz="6" w:space="0"/>
        </w:pBdr>
        <w:spacing w:before="200" w:after="200"/>
      </w:pPr>
    </w:p>
    <w:p w14:paraId="6E8CA834">
      <w:pPr>
        <w:pBdr>
          <w:bottom w:val="single" w:color="D5D8DC" w:sz="6" w:space="0"/>
        </w:pBdr>
        <w:spacing w:before="200" w:after="200"/>
      </w:pPr>
    </w:p>
    <w:p w14:paraId="21C74A82">
      <w:pPr>
        <w:pBdr>
          <w:bottom w:val="single" w:color="D5D8DC" w:sz="6" w:space="0"/>
        </w:pBdr>
        <w:spacing w:before="200" w:after="200"/>
      </w:pPr>
    </w:p>
    <w:p w14:paraId="364D1072">
      <w:pPr>
        <w:pBdr>
          <w:bottom w:val="single" w:color="D5D8DC" w:sz="6" w:space="0"/>
        </w:pBdr>
        <w:spacing w:before="200" w:after="200"/>
      </w:pPr>
    </w:p>
    <w:p w14:paraId="6599BE1E">
      <w:pPr>
        <w:pBdr>
          <w:bottom w:val="single" w:color="D5D8DC" w:sz="6" w:space="0"/>
        </w:pBdr>
        <w:spacing w:before="200" w:after="200"/>
      </w:pPr>
    </w:p>
    <w:p w14:paraId="128FF9D5">
      <w:pPr>
        <w:pBdr>
          <w:bottom w:val="single" w:color="D5D8DC" w:sz="6" w:space="0"/>
        </w:pBdr>
        <w:spacing w:before="200" w:after="200"/>
      </w:pPr>
    </w:p>
    <w:p w14:paraId="67BDABA1">
      <w:pPr>
        <w:pBdr>
          <w:bottom w:val="single" w:color="D5D8DC" w:sz="6" w:space="0"/>
        </w:pBdr>
        <w:spacing w:before="200" w:after="200"/>
      </w:pPr>
    </w:p>
    <w:p w14:paraId="0E3BEE3B">
      <w:pPr>
        <w:pBdr>
          <w:bottom w:val="single" w:color="D5D8DC" w:sz="6" w:space="0"/>
        </w:pBdr>
        <w:spacing w:before="200" w:after="200"/>
      </w:pPr>
    </w:p>
    <w:p w14:paraId="1D35735F">
      <w:pPr>
        <w:pBdr>
          <w:bottom w:val="single" w:color="D5D8DC" w:sz="6" w:space="0"/>
        </w:pBdr>
        <w:spacing w:before="200" w:after="200"/>
      </w:pPr>
    </w:p>
    <w:p w14:paraId="25948351">
      <w:pPr>
        <w:pBdr>
          <w:bottom w:val="single" w:color="D5D8DC" w:sz="6" w:space="0"/>
        </w:pBdr>
        <w:spacing w:before="200" w:after="200"/>
      </w:pPr>
    </w:p>
    <w:p w14:paraId="1EE50935">
      <w:pPr>
        <w:pBdr>
          <w:bottom w:val="single" w:color="D5D8DC" w:sz="6" w:space="0"/>
        </w:pBdr>
        <w:spacing w:before="200" w:after="200"/>
      </w:pPr>
    </w:p>
    <w:p w14:paraId="18239047">
      <w:pPr>
        <w:pBdr>
          <w:bottom w:val="single" w:color="D5D8DC" w:sz="6" w:space="0"/>
        </w:pBdr>
        <w:spacing w:before="200" w:after="200"/>
      </w:pPr>
    </w:p>
    <w:p w14:paraId="01469E6F">
      <w:pPr>
        <w:pBdr>
          <w:bottom w:val="single" w:color="D5D8DC" w:sz="6" w:space="0"/>
        </w:pBdr>
        <w:spacing w:before="200" w:after="200"/>
      </w:pPr>
    </w:p>
    <w:p w14:paraId="749FB2C5">
      <w:pPr>
        <w:pBdr>
          <w:bottom w:val="single" w:color="D5D8DC" w:sz="6" w:space="0"/>
        </w:pBdr>
        <w:spacing w:before="200" w:after="200"/>
      </w:pPr>
    </w:p>
    <w:p w14:paraId="7792FA89">
      <w:pPr>
        <w:pBdr>
          <w:bottom w:val="single" w:color="D5D8DC" w:sz="6" w:space="0"/>
        </w:pBdr>
        <w:spacing w:before="200" w:after="200"/>
      </w:pPr>
    </w:p>
    <w:p w14:paraId="2E3A6770">
      <w:pPr>
        <w:pBdr>
          <w:bottom w:val="single" w:color="D5D8DC" w:sz="6" w:space="0"/>
        </w:pBdr>
        <w:spacing w:before="200" w:after="200"/>
      </w:pPr>
    </w:p>
    <w:p w14:paraId="2E3B7EF3">
      <w:pPr>
        <w:pBdr>
          <w:bottom w:val="single" w:color="D5D8DC" w:sz="6" w:space="0"/>
        </w:pBdr>
        <w:spacing w:before="200" w:after="200"/>
      </w:pPr>
    </w:p>
    <w:p w14:paraId="5D1F0E3C">
      <w:pPr>
        <w:pBdr>
          <w:bottom w:val="single" w:color="D5D8DC" w:sz="6" w:space="0"/>
        </w:pBdr>
        <w:spacing w:before="200" w:after="200"/>
      </w:pPr>
    </w:p>
    <w:p w14:paraId="23D08907">
      <w:pPr>
        <w:pBdr>
          <w:bottom w:val="single" w:color="D5D8DC" w:sz="6" w:space="0"/>
        </w:pBdr>
        <w:spacing w:before="200" w:after="200"/>
      </w:pPr>
    </w:p>
    <w:p w14:paraId="7301A0CA">
      <w:pPr>
        <w:pBdr>
          <w:bottom w:val="single" w:color="D5D8DC" w:sz="6" w:space="0"/>
        </w:pBdr>
        <w:spacing w:before="200" w:after="20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7726"/>
      </w:tblGrid>
      <w:tr w14:paraId="1F31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nil"/>
              <w:left w:val="nil"/>
              <w:bottom w:val="nil"/>
              <w:right w:val="nil"/>
            </w:tcBorders>
            <w:shd w:val="clear" w:color="auto" w:fill="92D050"/>
            <w:tcMar>
              <w:top w:w="120" w:type="dxa"/>
              <w:left w:w="180" w:type="dxa"/>
              <w:bottom w:w="120" w:type="dxa"/>
              <w:right w:w="180" w:type="dxa"/>
            </w:tcMar>
            <w:vAlign w:val="center"/>
          </w:tcPr>
          <w:p w14:paraId="4DC941F3">
            <w:pPr>
              <w:jc w:val="center"/>
            </w:pPr>
            <w:r>
              <w:rPr>
                <w:rFonts w:ascii="Arial" w:hAnsi="Arial" w:eastAsia="Arial" w:cs="Arial"/>
                <w:b/>
                <w:bCs/>
                <w:color w:val="FFFFFF"/>
                <w:sz w:val="22"/>
                <w:szCs w:val="22"/>
              </w:rPr>
              <w:t>WEEK 3</w:t>
            </w:r>
          </w:p>
        </w:tc>
        <w:tc>
          <w:tcPr>
            <w:tcW w:w="7726" w:type="dxa"/>
            <w:tcBorders>
              <w:top w:val="nil"/>
              <w:left w:val="nil"/>
              <w:bottom w:val="nil"/>
              <w:right w:val="nil"/>
            </w:tcBorders>
            <w:shd w:val="clear" w:color="auto" w:fill="D6EAF8"/>
            <w:tcMar>
              <w:top w:w="120" w:type="dxa"/>
              <w:left w:w="220" w:type="dxa"/>
              <w:bottom w:w="120" w:type="dxa"/>
              <w:right w:w="180" w:type="dxa"/>
            </w:tcMar>
            <w:vAlign w:val="center"/>
          </w:tcPr>
          <w:p w14:paraId="180BF715">
            <w:r>
              <w:rPr>
                <w:rFonts w:ascii="Arial" w:hAnsi="Arial" w:eastAsia="Arial" w:cs="Arial"/>
                <w:b/>
                <w:bCs/>
                <w:color w:val="1B4F72"/>
                <w:sz w:val="26"/>
                <w:szCs w:val="26"/>
              </w:rPr>
              <w:t>Needs Analysis &amp; Diagnostic Assessment</w:t>
            </w:r>
          </w:p>
        </w:tc>
      </w:tr>
    </w:tbl>
    <w:p w14:paraId="0F508E98">
      <w:pPr>
        <w:spacing w:after="120"/>
      </w:pPr>
    </w:p>
    <w:p w14:paraId="1DDE7114">
      <w:pPr>
        <w:spacing w:before="60" w:after="120"/>
      </w:pPr>
      <w:r>
        <w:rPr>
          <w:rFonts w:ascii="Arial" w:hAnsi="Arial" w:eastAsia="Arial" w:cs="Arial"/>
          <w:color w:val="1C2833"/>
          <w:sz w:val="22"/>
          <w:szCs w:val="22"/>
        </w:rPr>
        <w:t>Effective training starts with an honest diagnosis. Trainers who skip the needs analysis phase risk designing elegant solutions to the wrong problems. Week 3 builds the diagnostic skill set that every trainer-supervisor must possess: the ability to find out, rigorously and respectfully, what teachers actually need before designing a single session.</w:t>
      </w:r>
    </w:p>
    <w:p w14:paraId="5C86321B">
      <w:pPr>
        <w:spacing w:after="120"/>
      </w:pPr>
    </w:p>
    <w:p w14:paraId="75FB84A0">
      <w:pPr>
        <w:pStyle w:val="5"/>
      </w:pPr>
      <w:r>
        <w:rPr>
          <w:rFonts w:ascii="Arial" w:hAnsi="Arial" w:eastAsia="Arial" w:cs="Arial"/>
          <w:b/>
          <w:bCs/>
          <w:color w:val="0E6655"/>
          <w:sz w:val="22"/>
          <w:szCs w:val="22"/>
        </w:rPr>
        <w:t>Topic 1: Levels of Needs Analysis</w:t>
      </w:r>
    </w:p>
    <w:p w14:paraId="0EDCC3AD">
      <w:pPr>
        <w:spacing w:before="60" w:after="120"/>
      </w:pPr>
      <w:r>
        <w:rPr>
          <w:rFonts w:ascii="Arial" w:hAnsi="Arial" w:eastAsia="Arial" w:cs="Arial"/>
          <w:color w:val="1C2833"/>
          <w:sz w:val="22"/>
          <w:szCs w:val="22"/>
        </w:rPr>
        <w:t>Needs analysis operates at three interlocking levels, and ignoring any one of them leads to incomplete diagnoses. Organisational needs analysis asks: What does the institution require? What are the strategic priorities, compliance needs, and quality standards driving this training? Task analysis asks: What does the job actually demand? What specific skills, knowledge, and professional behaviours does an effective teacher in this context demonstrate? Individual needs analysis asks: What does this specific teacher, in their specific situation, actually need right now? Triangulating all three levels produces training that is relevant, targeted, and institutionally grounded.</w:t>
      </w:r>
    </w:p>
    <w:p w14:paraId="56A1ACD2">
      <w:pPr>
        <w:spacing w:after="120"/>
      </w:pPr>
    </w:p>
    <w:p w14:paraId="74692264">
      <w:pPr>
        <w:pStyle w:val="5"/>
      </w:pPr>
      <w:r>
        <w:rPr>
          <w:rFonts w:ascii="Arial" w:hAnsi="Arial" w:eastAsia="Arial" w:cs="Arial"/>
          <w:b/>
          <w:bCs/>
          <w:color w:val="0E6655"/>
          <w:sz w:val="22"/>
          <w:szCs w:val="22"/>
        </w:rPr>
        <w:t>Topic 2: Data Collection Instruments &amp; Methods</w:t>
      </w:r>
    </w:p>
    <w:p w14:paraId="1A47D36E">
      <w:pPr>
        <w:spacing w:before="60" w:after="120"/>
      </w:pPr>
      <w:r>
        <w:rPr>
          <w:rFonts w:ascii="Arial" w:hAnsi="Arial" w:eastAsia="Arial" w:cs="Arial"/>
          <w:color w:val="1C2833"/>
          <w:sz w:val="22"/>
          <w:szCs w:val="22"/>
        </w:rPr>
        <w:t>Different data collection tools are suited to different needs analysis contexts. Structured surveys and questionnaires generate quantitative data efficiently from large groups. Semi-structured interviews yield rich qualitative insight into individual needs and contextual factors. Focus groups surface collective concerns and shared patterns. Classroom observation provides first-hand evidence of classroom practice. Portfolio and lesson plan review reveals planning and design capability. Participants learn to select, design, and administer appropriate tools for each context and to triangulate across data sources for a more complete picture.</w:t>
      </w:r>
    </w:p>
    <w:p w14:paraId="7DEF1FF6">
      <w:pPr>
        <w:spacing w:after="120"/>
      </w:pPr>
    </w:p>
    <w:p w14:paraId="37C362B8">
      <w:pPr>
        <w:pStyle w:val="5"/>
      </w:pPr>
      <w:r>
        <w:rPr>
          <w:rFonts w:ascii="Arial" w:hAnsi="Arial" w:eastAsia="Arial" w:cs="Arial"/>
          <w:b/>
          <w:bCs/>
          <w:color w:val="0E6655"/>
          <w:sz w:val="22"/>
          <w:szCs w:val="22"/>
        </w:rPr>
        <w:t>Topic 3: Identifying &amp; Categorising Performance Gaps</w:t>
      </w:r>
    </w:p>
    <w:p w14:paraId="00775B0C">
      <w:pPr>
        <w:spacing w:before="60" w:after="120"/>
      </w:pPr>
      <w:r>
        <w:rPr>
          <w:rFonts w:ascii="Arial" w:hAnsi="Arial" w:eastAsia="Arial" w:cs="Arial"/>
          <w:color w:val="1C2833"/>
          <w:sz w:val="22"/>
          <w:szCs w:val="22"/>
        </w:rPr>
        <w:t>Not all gaps are training gaps. A critical skill for trainer-supervisors is distinguishing between knowledge gaps (the teacher doesn't know), skill gaps (the teacher knows but can't yet do), attitude or motivation gaps (the teacher is capable but unwilling), and systemic gaps (the environment is preventing good practice regardless of what the teacher knows or can do). Each gap type requires a different response, and only knowledge and skill gaps are reliably addressed by training. Participants learn to write clear, evidence-based problem statements that identify the type of gap and point toward an appropriate solution.</w:t>
      </w:r>
    </w:p>
    <w:p w14:paraId="5D556857">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7FA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0416AE84">
            <w:pPr>
              <w:spacing w:before="80" w:after="100"/>
            </w:pPr>
            <w:r>
              <w:rPr>
                <w:rFonts w:ascii="Arial" w:hAnsi="Arial" w:eastAsia="Arial" w:cs="Arial"/>
                <w:b/>
                <w:bCs/>
                <w:color w:val="1B4F72"/>
                <w:sz w:val="24"/>
                <w:szCs w:val="24"/>
              </w:rPr>
              <w:t>Learning Outcomes — Week 3</w:t>
            </w:r>
          </w:p>
          <w:p w14:paraId="7872D3A1">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Conduct a three-level needs analysis (organisational, task, and individual) in a professional educational context</w:t>
            </w:r>
          </w:p>
          <w:p w14:paraId="1417E099">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Design and administer appropriate data collection tools for a training needs analysis, selecting instruments based on context and purpose</w:t>
            </w:r>
          </w:p>
          <w:p w14:paraId="4F78BAB6">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Categorise performance gaps by type (knowledge, skill, attitude, systemic) and propose appropriate responses</w:t>
            </w:r>
          </w:p>
          <w:p w14:paraId="4B4FE4D7">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Write a clear, evidence-based needs analysis report that maps gaps to recommended training solutions</w:t>
            </w:r>
          </w:p>
        </w:tc>
      </w:tr>
    </w:tbl>
    <w:p w14:paraId="383FAF40">
      <w:pPr>
        <w:pStyle w:val="5"/>
      </w:pPr>
      <w:r>
        <w:rPr>
          <w:rFonts w:ascii="Arial" w:hAnsi="Arial" w:eastAsia="Arial" w:cs="Arial"/>
          <w:b/>
          <w:bCs/>
          <w:color w:val="0E6655"/>
          <w:sz w:val="22"/>
          <w:szCs w:val="22"/>
        </w:rPr>
        <w:t>Week 3 Activities</w:t>
      </w:r>
    </w:p>
    <w:p w14:paraId="51436F04">
      <w:pPr>
        <w:pStyle w:val="16"/>
        <w:numPr>
          <w:ilvl w:val="0"/>
          <w:numId w:val="2"/>
        </w:numPr>
      </w:pPr>
      <w:r>
        <w:rPr>
          <w:rFonts w:ascii="Arial" w:hAnsi="Arial" w:eastAsia="Arial" w:cs="Arial"/>
          <w:color w:val="1C2833"/>
          <w:sz w:val="22"/>
          <w:szCs w:val="22"/>
        </w:rPr>
        <w:t>Needs Analysis Simulation: Using a rich fictional school case study (including observation data, survey results, and interview excerpts), participants conduct a complete three-level needs analysis. In groups of three, they analyse the data, categorise the gaps they identify, and produce a brief written training needs report.</w:t>
      </w:r>
    </w:p>
    <w:p w14:paraId="66742CC0">
      <w:pPr>
        <w:pStyle w:val="16"/>
        <w:numPr>
          <w:ilvl w:val="0"/>
          <w:numId w:val="2"/>
        </w:numPr>
      </w:pPr>
      <w:r>
        <w:rPr>
          <w:rFonts w:ascii="Arial" w:hAnsi="Arial" w:eastAsia="Arial" w:cs="Arial"/>
          <w:color w:val="1C2833"/>
          <w:sz w:val="22"/>
          <w:szCs w:val="22"/>
        </w:rPr>
        <w:t>Interview Design Lab: In pairs, participants design a semi-structured interview protocol for identifying the professional development needs of newly hired EFL teachers in a multilingual, multinational context. They pilot the protocol with each other and revise based on the experience.</w:t>
      </w:r>
    </w:p>
    <w:p w14:paraId="5749645F">
      <w:pPr>
        <w:pStyle w:val="16"/>
        <w:numPr>
          <w:ilvl w:val="0"/>
          <w:numId w:val="2"/>
        </w:numPr>
      </w:pPr>
      <w:r>
        <w:rPr>
          <w:rFonts w:ascii="Arial" w:hAnsi="Arial" w:eastAsia="Arial" w:cs="Arial"/>
          <w:color w:val="1C2833"/>
          <w:sz w:val="22"/>
          <w:szCs w:val="22"/>
        </w:rPr>
        <w:t>Gap Type Sorting Activity: Participants receive 12 written teacher performance descriptions and must categorise each as a knowledge gap, skill gap, attitude gap, or systemic gap, providing justification for their categorisation. Debrief focuses on edge cases and contested categorisations.</w:t>
      </w:r>
    </w:p>
    <w:p w14:paraId="563913B2">
      <w:pPr>
        <w:pStyle w:val="16"/>
        <w:numPr>
          <w:ilvl w:val="0"/>
          <w:numId w:val="0"/>
        </w:numPr>
        <w:rPr>
          <w:rFonts w:ascii="Arial" w:hAnsi="Arial" w:eastAsia="Arial" w:cs="Arial"/>
          <w:color w:val="1C2833"/>
          <w:sz w:val="22"/>
          <w:szCs w:val="22"/>
        </w:rPr>
      </w:pPr>
    </w:p>
    <w:p w14:paraId="772A61E0">
      <w:pPr>
        <w:pStyle w:val="16"/>
        <w:numPr>
          <w:ilvl w:val="0"/>
          <w:numId w:val="0"/>
        </w:numPr>
        <w:rPr>
          <w:rFonts w:ascii="Arial" w:hAnsi="Arial" w:eastAsia="Arial" w:cs="Arial"/>
          <w:color w:val="1C2833"/>
          <w:sz w:val="22"/>
          <w:szCs w:val="22"/>
        </w:rPr>
      </w:pPr>
    </w:p>
    <w:p w14:paraId="7E844C04">
      <w:pPr>
        <w:pStyle w:val="16"/>
        <w:numPr>
          <w:ilvl w:val="0"/>
          <w:numId w:val="0"/>
        </w:numPr>
        <w:rPr>
          <w:rFonts w:ascii="Arial" w:hAnsi="Arial" w:eastAsia="Arial" w:cs="Arial"/>
          <w:color w:val="1C2833"/>
          <w:sz w:val="22"/>
          <w:szCs w:val="22"/>
        </w:rPr>
      </w:pPr>
    </w:p>
    <w:p w14:paraId="15E45F96">
      <w:pPr>
        <w:pStyle w:val="16"/>
        <w:numPr>
          <w:ilvl w:val="0"/>
          <w:numId w:val="0"/>
        </w:numPr>
        <w:rPr>
          <w:rFonts w:ascii="Arial" w:hAnsi="Arial" w:eastAsia="Arial" w:cs="Arial"/>
          <w:color w:val="1C2833"/>
          <w:sz w:val="22"/>
          <w:szCs w:val="22"/>
        </w:rPr>
      </w:pPr>
    </w:p>
    <w:p w14:paraId="72158161">
      <w:pPr>
        <w:pStyle w:val="16"/>
        <w:numPr>
          <w:ilvl w:val="0"/>
          <w:numId w:val="0"/>
        </w:numPr>
        <w:rPr>
          <w:rFonts w:ascii="Arial" w:hAnsi="Arial" w:eastAsia="Arial" w:cs="Arial"/>
          <w:color w:val="1C2833"/>
          <w:sz w:val="22"/>
          <w:szCs w:val="22"/>
        </w:rPr>
      </w:pPr>
    </w:p>
    <w:p w14:paraId="06EE7195">
      <w:pPr>
        <w:pStyle w:val="16"/>
        <w:numPr>
          <w:ilvl w:val="0"/>
          <w:numId w:val="0"/>
        </w:numPr>
        <w:rPr>
          <w:rFonts w:ascii="Arial" w:hAnsi="Arial" w:eastAsia="Arial" w:cs="Arial"/>
          <w:color w:val="1C2833"/>
          <w:sz w:val="22"/>
          <w:szCs w:val="22"/>
        </w:rPr>
      </w:pPr>
    </w:p>
    <w:p w14:paraId="72130B72">
      <w:pPr>
        <w:pStyle w:val="16"/>
        <w:numPr>
          <w:ilvl w:val="0"/>
          <w:numId w:val="0"/>
        </w:numPr>
        <w:rPr>
          <w:rFonts w:ascii="Arial" w:hAnsi="Arial" w:eastAsia="Arial" w:cs="Arial"/>
          <w:color w:val="1C2833"/>
          <w:sz w:val="22"/>
          <w:szCs w:val="22"/>
        </w:rPr>
      </w:pPr>
    </w:p>
    <w:p w14:paraId="5A5926DB">
      <w:pPr>
        <w:pStyle w:val="16"/>
        <w:numPr>
          <w:ilvl w:val="0"/>
          <w:numId w:val="0"/>
        </w:numPr>
        <w:rPr>
          <w:rFonts w:ascii="Arial" w:hAnsi="Arial" w:eastAsia="Arial" w:cs="Arial"/>
          <w:color w:val="1C2833"/>
          <w:sz w:val="22"/>
          <w:szCs w:val="22"/>
        </w:rPr>
      </w:pPr>
    </w:p>
    <w:p w14:paraId="51F73C8B">
      <w:pPr>
        <w:pStyle w:val="16"/>
        <w:numPr>
          <w:ilvl w:val="0"/>
          <w:numId w:val="0"/>
        </w:numPr>
        <w:rPr>
          <w:rFonts w:ascii="Arial" w:hAnsi="Arial" w:eastAsia="Arial" w:cs="Arial"/>
          <w:color w:val="1C2833"/>
          <w:sz w:val="22"/>
          <w:szCs w:val="22"/>
        </w:rPr>
      </w:pPr>
    </w:p>
    <w:p w14:paraId="4BF0264D">
      <w:pPr>
        <w:pStyle w:val="16"/>
        <w:numPr>
          <w:ilvl w:val="0"/>
          <w:numId w:val="0"/>
        </w:numPr>
        <w:rPr>
          <w:rFonts w:ascii="Arial" w:hAnsi="Arial" w:eastAsia="Arial" w:cs="Arial"/>
          <w:color w:val="1C2833"/>
          <w:sz w:val="22"/>
          <w:szCs w:val="22"/>
        </w:rPr>
      </w:pPr>
    </w:p>
    <w:p w14:paraId="6F677F9A">
      <w:pPr>
        <w:pStyle w:val="16"/>
        <w:numPr>
          <w:ilvl w:val="0"/>
          <w:numId w:val="0"/>
        </w:numPr>
        <w:rPr>
          <w:rFonts w:ascii="Arial" w:hAnsi="Arial" w:eastAsia="Arial" w:cs="Arial"/>
          <w:color w:val="1C2833"/>
          <w:sz w:val="22"/>
          <w:szCs w:val="22"/>
        </w:rPr>
      </w:pPr>
    </w:p>
    <w:p w14:paraId="166D2DE5">
      <w:pPr>
        <w:pStyle w:val="16"/>
        <w:numPr>
          <w:ilvl w:val="0"/>
          <w:numId w:val="0"/>
        </w:numPr>
        <w:rPr>
          <w:rFonts w:ascii="Arial" w:hAnsi="Arial" w:eastAsia="Arial" w:cs="Arial"/>
          <w:color w:val="1C2833"/>
          <w:sz w:val="22"/>
          <w:szCs w:val="22"/>
        </w:rPr>
      </w:pPr>
    </w:p>
    <w:p w14:paraId="47A2C0BD">
      <w:pPr>
        <w:pStyle w:val="16"/>
        <w:numPr>
          <w:ilvl w:val="0"/>
          <w:numId w:val="0"/>
        </w:numPr>
        <w:rPr>
          <w:rFonts w:ascii="Arial" w:hAnsi="Arial" w:eastAsia="Arial" w:cs="Arial"/>
          <w:color w:val="1C2833"/>
          <w:sz w:val="22"/>
          <w:szCs w:val="22"/>
        </w:rPr>
      </w:pPr>
    </w:p>
    <w:p w14:paraId="174AF650">
      <w:pPr>
        <w:pStyle w:val="16"/>
        <w:numPr>
          <w:ilvl w:val="0"/>
          <w:numId w:val="0"/>
        </w:numPr>
        <w:rPr>
          <w:rFonts w:ascii="Arial" w:hAnsi="Arial" w:eastAsia="Arial" w:cs="Arial"/>
          <w:color w:val="1C2833"/>
          <w:sz w:val="22"/>
          <w:szCs w:val="22"/>
        </w:rPr>
      </w:pPr>
    </w:p>
    <w:p w14:paraId="5E7DAE38">
      <w:pPr>
        <w:pStyle w:val="16"/>
        <w:numPr>
          <w:ilvl w:val="0"/>
          <w:numId w:val="0"/>
        </w:numPr>
        <w:rPr>
          <w:rFonts w:ascii="Arial" w:hAnsi="Arial" w:eastAsia="Arial" w:cs="Arial"/>
          <w:color w:val="1C2833"/>
          <w:sz w:val="22"/>
          <w:szCs w:val="22"/>
        </w:rPr>
      </w:pPr>
    </w:p>
    <w:p w14:paraId="078D19D9">
      <w:pPr>
        <w:pStyle w:val="16"/>
        <w:numPr>
          <w:ilvl w:val="0"/>
          <w:numId w:val="0"/>
        </w:numPr>
        <w:rPr>
          <w:rFonts w:ascii="Arial" w:hAnsi="Arial" w:eastAsia="Arial" w:cs="Arial"/>
          <w:color w:val="1C2833"/>
          <w:sz w:val="22"/>
          <w:szCs w:val="22"/>
        </w:rPr>
      </w:pPr>
    </w:p>
    <w:p w14:paraId="38EEDB10">
      <w:pPr>
        <w:pStyle w:val="16"/>
        <w:numPr>
          <w:ilvl w:val="0"/>
          <w:numId w:val="0"/>
        </w:numPr>
        <w:rPr>
          <w:rFonts w:ascii="Arial" w:hAnsi="Arial" w:eastAsia="Arial" w:cs="Arial"/>
          <w:color w:val="1C2833"/>
          <w:sz w:val="22"/>
          <w:szCs w:val="22"/>
        </w:rPr>
      </w:pPr>
    </w:p>
    <w:p w14:paraId="25AA57BB">
      <w:pPr>
        <w:pStyle w:val="16"/>
        <w:numPr>
          <w:ilvl w:val="0"/>
          <w:numId w:val="0"/>
        </w:numPr>
        <w:rPr>
          <w:rFonts w:ascii="Arial" w:hAnsi="Arial" w:eastAsia="Arial" w:cs="Arial"/>
          <w:color w:val="1C2833"/>
          <w:sz w:val="22"/>
          <w:szCs w:val="22"/>
        </w:rPr>
      </w:pPr>
    </w:p>
    <w:p w14:paraId="4FC3F585">
      <w:pPr>
        <w:pStyle w:val="16"/>
        <w:numPr>
          <w:ilvl w:val="0"/>
          <w:numId w:val="0"/>
        </w:numPr>
        <w:rPr>
          <w:rFonts w:ascii="Arial" w:hAnsi="Arial" w:eastAsia="Arial" w:cs="Arial"/>
          <w:color w:val="1C2833"/>
          <w:sz w:val="22"/>
          <w:szCs w:val="22"/>
        </w:rPr>
      </w:pPr>
    </w:p>
    <w:p w14:paraId="6C0C78A3">
      <w:pPr>
        <w:pStyle w:val="16"/>
        <w:numPr>
          <w:ilvl w:val="0"/>
          <w:numId w:val="0"/>
        </w:numPr>
        <w:rPr>
          <w:rFonts w:ascii="Arial" w:hAnsi="Arial" w:eastAsia="Arial" w:cs="Arial"/>
          <w:color w:val="1C2833"/>
          <w:sz w:val="22"/>
          <w:szCs w:val="22"/>
        </w:rPr>
      </w:pPr>
    </w:p>
    <w:p w14:paraId="59EFA826">
      <w:pPr>
        <w:pStyle w:val="16"/>
        <w:numPr>
          <w:ilvl w:val="0"/>
          <w:numId w:val="0"/>
        </w:numPr>
        <w:rPr>
          <w:rFonts w:ascii="Arial" w:hAnsi="Arial" w:eastAsia="Arial" w:cs="Arial"/>
          <w:color w:val="1C2833"/>
          <w:sz w:val="22"/>
          <w:szCs w:val="22"/>
        </w:rPr>
      </w:pPr>
    </w:p>
    <w:p w14:paraId="46191EBD">
      <w:pPr>
        <w:pStyle w:val="16"/>
        <w:numPr>
          <w:ilvl w:val="0"/>
          <w:numId w:val="0"/>
        </w:numPr>
        <w:rPr>
          <w:rFonts w:ascii="Arial" w:hAnsi="Arial" w:eastAsia="Arial" w:cs="Arial"/>
          <w:color w:val="1C2833"/>
          <w:sz w:val="22"/>
          <w:szCs w:val="22"/>
        </w:rPr>
      </w:pPr>
    </w:p>
    <w:p w14:paraId="052ED1BD">
      <w:pPr>
        <w:pStyle w:val="16"/>
        <w:numPr>
          <w:ilvl w:val="0"/>
          <w:numId w:val="0"/>
        </w:numPr>
        <w:rPr>
          <w:rFonts w:ascii="Arial" w:hAnsi="Arial" w:eastAsia="Arial" w:cs="Arial"/>
          <w:color w:val="1C2833"/>
          <w:sz w:val="22"/>
          <w:szCs w:val="22"/>
        </w:rPr>
      </w:pPr>
    </w:p>
    <w:p w14:paraId="76261F8E">
      <w:pPr>
        <w:pStyle w:val="16"/>
        <w:numPr>
          <w:ilvl w:val="0"/>
          <w:numId w:val="0"/>
        </w:numPr>
        <w:rPr>
          <w:rFonts w:ascii="Arial" w:hAnsi="Arial" w:eastAsia="Arial" w:cs="Arial"/>
          <w:color w:val="1C2833"/>
          <w:sz w:val="22"/>
          <w:szCs w:val="22"/>
        </w:rPr>
      </w:pPr>
    </w:p>
    <w:p w14:paraId="6E57D850">
      <w:pPr>
        <w:pStyle w:val="16"/>
        <w:numPr>
          <w:ilvl w:val="0"/>
          <w:numId w:val="0"/>
        </w:numPr>
        <w:rPr>
          <w:rFonts w:ascii="Arial" w:hAnsi="Arial" w:eastAsia="Arial" w:cs="Arial"/>
          <w:color w:val="1C2833"/>
          <w:sz w:val="22"/>
          <w:szCs w:val="22"/>
        </w:rPr>
      </w:pPr>
    </w:p>
    <w:p w14:paraId="3FA7DF2E">
      <w:pPr>
        <w:pStyle w:val="16"/>
        <w:numPr>
          <w:ilvl w:val="0"/>
          <w:numId w:val="0"/>
        </w:numPr>
        <w:rPr>
          <w:rFonts w:ascii="Arial" w:hAnsi="Arial" w:eastAsia="Arial" w:cs="Arial"/>
          <w:color w:val="1C2833"/>
          <w:sz w:val="22"/>
          <w:szCs w:val="22"/>
        </w:rPr>
      </w:pPr>
    </w:p>
    <w:p w14:paraId="5DF32935">
      <w:pPr>
        <w:pStyle w:val="16"/>
        <w:numPr>
          <w:ilvl w:val="0"/>
          <w:numId w:val="0"/>
        </w:numPr>
        <w:rPr>
          <w:rFonts w:ascii="Arial" w:hAnsi="Arial" w:eastAsia="Arial" w:cs="Arial"/>
          <w:color w:val="1C2833"/>
          <w:sz w:val="22"/>
          <w:szCs w:val="22"/>
        </w:rPr>
      </w:pPr>
    </w:p>
    <w:p w14:paraId="050A5A4E">
      <w:pPr>
        <w:pStyle w:val="16"/>
        <w:numPr>
          <w:ilvl w:val="0"/>
          <w:numId w:val="0"/>
        </w:numPr>
        <w:rPr>
          <w:rFonts w:ascii="Arial" w:hAnsi="Arial" w:eastAsia="Arial" w:cs="Arial"/>
          <w:color w:val="1C2833"/>
          <w:sz w:val="22"/>
          <w:szCs w:val="22"/>
        </w:rPr>
      </w:pPr>
    </w:p>
    <w:p w14:paraId="10FB9B96">
      <w:pPr>
        <w:pStyle w:val="16"/>
        <w:numPr>
          <w:ilvl w:val="0"/>
          <w:numId w:val="0"/>
        </w:numPr>
        <w:rPr>
          <w:rFonts w:ascii="Arial" w:hAnsi="Arial" w:eastAsia="Arial" w:cs="Arial"/>
          <w:color w:val="1C2833"/>
          <w:sz w:val="22"/>
          <w:szCs w:val="22"/>
        </w:rPr>
      </w:pPr>
    </w:p>
    <w:p w14:paraId="03C02701">
      <w:pPr>
        <w:pStyle w:val="16"/>
        <w:numPr>
          <w:ilvl w:val="0"/>
          <w:numId w:val="0"/>
        </w:numPr>
        <w:rPr>
          <w:rFonts w:ascii="Arial" w:hAnsi="Arial" w:eastAsia="Arial" w:cs="Arial"/>
          <w:color w:val="1C2833"/>
          <w:sz w:val="22"/>
          <w:szCs w:val="22"/>
        </w:rPr>
      </w:pPr>
    </w:p>
    <w:p w14:paraId="4B3512E4">
      <w:pPr>
        <w:pStyle w:val="16"/>
        <w:numPr>
          <w:ilvl w:val="0"/>
          <w:numId w:val="0"/>
        </w:numPr>
        <w:rPr>
          <w:rFonts w:ascii="Arial" w:hAnsi="Arial" w:eastAsia="Arial" w:cs="Arial"/>
          <w:color w:val="1C2833"/>
          <w:sz w:val="22"/>
          <w:szCs w:val="22"/>
        </w:rPr>
      </w:pPr>
    </w:p>
    <w:p w14:paraId="44822029">
      <w:pPr>
        <w:pStyle w:val="16"/>
        <w:numPr>
          <w:ilvl w:val="0"/>
          <w:numId w:val="0"/>
        </w:numPr>
        <w:rPr>
          <w:rFonts w:ascii="Arial" w:hAnsi="Arial" w:eastAsia="Arial" w:cs="Arial"/>
          <w:color w:val="1C2833"/>
          <w:sz w:val="22"/>
          <w:szCs w:val="22"/>
        </w:rPr>
      </w:pPr>
    </w:p>
    <w:p w14:paraId="3262768F">
      <w:pPr>
        <w:pStyle w:val="16"/>
        <w:numPr>
          <w:ilvl w:val="0"/>
          <w:numId w:val="0"/>
        </w:numPr>
        <w:rPr>
          <w:rFonts w:ascii="Arial" w:hAnsi="Arial" w:eastAsia="Arial" w:cs="Arial"/>
          <w:color w:val="1C2833"/>
          <w:sz w:val="22"/>
          <w:szCs w:val="22"/>
        </w:rPr>
      </w:pPr>
    </w:p>
    <w:p w14:paraId="4109147B">
      <w:pPr>
        <w:pStyle w:val="16"/>
        <w:numPr>
          <w:ilvl w:val="0"/>
          <w:numId w:val="0"/>
        </w:numPr>
        <w:rPr>
          <w:rFonts w:ascii="Arial" w:hAnsi="Arial" w:eastAsia="Arial" w:cs="Arial"/>
          <w:color w:val="1C2833"/>
          <w:sz w:val="22"/>
          <w:szCs w:val="22"/>
        </w:rPr>
      </w:pPr>
    </w:p>
    <w:p w14:paraId="453FC770">
      <w:pPr>
        <w:pStyle w:val="16"/>
        <w:numPr>
          <w:ilvl w:val="0"/>
          <w:numId w:val="0"/>
        </w:numPr>
        <w:rPr>
          <w:rFonts w:ascii="Arial" w:hAnsi="Arial" w:eastAsia="Arial" w:cs="Arial"/>
          <w:color w:val="1C2833"/>
          <w:sz w:val="22"/>
          <w:szCs w:val="22"/>
        </w:rPr>
      </w:pPr>
    </w:p>
    <w:p w14:paraId="1AB60F1E">
      <w:pPr>
        <w:pStyle w:val="16"/>
        <w:numPr>
          <w:ilvl w:val="0"/>
          <w:numId w:val="0"/>
        </w:numPr>
        <w:rPr>
          <w:rFonts w:ascii="Arial" w:hAnsi="Arial" w:eastAsia="Arial" w:cs="Arial"/>
          <w:color w:val="1C2833"/>
          <w:sz w:val="22"/>
          <w:szCs w:val="22"/>
        </w:rPr>
      </w:pPr>
    </w:p>
    <w:p w14:paraId="05DAD9DF">
      <w:pPr>
        <w:pStyle w:val="16"/>
        <w:numPr>
          <w:ilvl w:val="0"/>
          <w:numId w:val="0"/>
        </w:numPr>
        <w:rPr>
          <w:rFonts w:ascii="Arial" w:hAnsi="Arial" w:eastAsia="Arial" w:cs="Arial"/>
          <w:color w:val="1C2833"/>
          <w:sz w:val="22"/>
          <w:szCs w:val="22"/>
        </w:rPr>
      </w:pPr>
    </w:p>
    <w:p w14:paraId="37C403E1">
      <w:pPr>
        <w:pStyle w:val="16"/>
        <w:numPr>
          <w:ilvl w:val="0"/>
          <w:numId w:val="0"/>
        </w:numPr>
        <w:rPr>
          <w:rFonts w:ascii="Arial" w:hAnsi="Arial" w:eastAsia="Arial" w:cs="Arial"/>
          <w:color w:val="1C2833"/>
          <w:sz w:val="22"/>
          <w:szCs w:val="22"/>
        </w:rPr>
      </w:pPr>
    </w:p>
    <w:p w14:paraId="48DA786E">
      <w:pPr>
        <w:pStyle w:val="16"/>
        <w:numPr>
          <w:ilvl w:val="0"/>
          <w:numId w:val="0"/>
        </w:numPr>
        <w:rPr>
          <w:rFonts w:ascii="Arial" w:hAnsi="Arial" w:eastAsia="Arial" w:cs="Arial"/>
          <w:color w:val="1C2833"/>
          <w:sz w:val="22"/>
          <w:szCs w:val="22"/>
        </w:rPr>
      </w:pPr>
    </w:p>
    <w:p w14:paraId="30A332BD">
      <w:pPr>
        <w:pStyle w:val="16"/>
        <w:numPr>
          <w:ilvl w:val="0"/>
          <w:numId w:val="0"/>
        </w:numPr>
        <w:rPr>
          <w:rFonts w:ascii="Arial" w:hAnsi="Arial" w:eastAsia="Arial" w:cs="Arial"/>
          <w:color w:val="1C2833"/>
          <w:sz w:val="22"/>
          <w:szCs w:val="22"/>
        </w:rPr>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7726"/>
      </w:tblGrid>
      <w:tr w14:paraId="1424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nil"/>
              <w:left w:val="nil"/>
              <w:bottom w:val="nil"/>
              <w:right w:val="nil"/>
            </w:tcBorders>
            <w:shd w:val="clear" w:color="auto" w:fill="92D050"/>
            <w:tcMar>
              <w:top w:w="120" w:type="dxa"/>
              <w:left w:w="180" w:type="dxa"/>
              <w:bottom w:w="120" w:type="dxa"/>
              <w:right w:w="180" w:type="dxa"/>
            </w:tcMar>
            <w:vAlign w:val="center"/>
          </w:tcPr>
          <w:p w14:paraId="2F337A42">
            <w:pPr>
              <w:jc w:val="center"/>
            </w:pPr>
            <w:r>
              <w:rPr>
                <w:rFonts w:ascii="Arial" w:hAnsi="Arial" w:eastAsia="Arial" w:cs="Arial"/>
                <w:b/>
                <w:bCs/>
                <w:color w:val="FFFFFF"/>
                <w:sz w:val="22"/>
                <w:szCs w:val="22"/>
              </w:rPr>
              <w:t>WEEK 4</w:t>
            </w:r>
          </w:p>
        </w:tc>
        <w:tc>
          <w:tcPr>
            <w:tcW w:w="7726" w:type="dxa"/>
            <w:tcBorders>
              <w:top w:val="nil"/>
              <w:left w:val="nil"/>
              <w:bottom w:val="nil"/>
              <w:right w:val="nil"/>
            </w:tcBorders>
            <w:shd w:val="clear" w:color="auto" w:fill="D6EAF8"/>
            <w:tcMar>
              <w:top w:w="120" w:type="dxa"/>
              <w:left w:w="220" w:type="dxa"/>
              <w:bottom w:w="120" w:type="dxa"/>
              <w:right w:w="180" w:type="dxa"/>
            </w:tcMar>
            <w:vAlign w:val="center"/>
          </w:tcPr>
          <w:p w14:paraId="4EA04D84">
            <w:r>
              <w:rPr>
                <w:rFonts w:ascii="Arial" w:hAnsi="Arial" w:eastAsia="Arial" w:cs="Arial"/>
                <w:b/>
                <w:bCs/>
                <w:color w:val="1B4F72"/>
                <w:sz w:val="26"/>
                <w:szCs w:val="26"/>
              </w:rPr>
              <w:t>Instructional Planning for Trainers</w:t>
            </w:r>
          </w:p>
        </w:tc>
      </w:tr>
    </w:tbl>
    <w:p w14:paraId="292C7835">
      <w:pPr>
        <w:spacing w:after="120"/>
      </w:pPr>
    </w:p>
    <w:p w14:paraId="745A4063">
      <w:pPr>
        <w:spacing w:before="60" w:after="120"/>
      </w:pPr>
      <w:r>
        <w:rPr>
          <w:rFonts w:ascii="Arial" w:hAnsi="Arial" w:eastAsia="Arial" w:cs="Arial"/>
          <w:color w:val="1C2833"/>
          <w:sz w:val="22"/>
          <w:szCs w:val="22"/>
        </w:rPr>
        <w:t>With a clear understanding of who adult learners are and what they need, participants are ready to design training. Week 4 is where needs analysis translates into design. Participants learn to write learning objectives that are precise and measurable, to sequence content in ways that scaffold understanding, and to design the arc of a training session from opening to close. The week culminates in each participant producing a complete training session plan.</w:t>
      </w:r>
    </w:p>
    <w:p w14:paraId="57AC5569">
      <w:pPr>
        <w:spacing w:after="120"/>
      </w:pPr>
    </w:p>
    <w:p w14:paraId="35906BAF">
      <w:pPr>
        <w:pStyle w:val="5"/>
      </w:pPr>
      <w:r>
        <w:rPr>
          <w:rFonts w:ascii="Arial" w:hAnsi="Arial" w:eastAsia="Arial" w:cs="Arial"/>
          <w:b/>
          <w:bCs/>
          <w:color w:val="0E6655"/>
          <w:sz w:val="22"/>
          <w:szCs w:val="22"/>
        </w:rPr>
        <w:t>Topic 1: From Needs to Objectives — Writing What Matters</w:t>
      </w:r>
    </w:p>
    <w:p w14:paraId="2F48D252">
      <w:pPr>
        <w:spacing w:before="60" w:after="120"/>
      </w:pPr>
      <w:r>
        <w:rPr>
          <w:rFonts w:ascii="Arial" w:hAnsi="Arial" w:eastAsia="Arial" w:cs="Arial"/>
          <w:color w:val="1C2833"/>
          <w:sz w:val="22"/>
          <w:szCs w:val="22"/>
        </w:rPr>
        <w:t>A learning objective is a promise to the learner: at the end of this session, you will be able to do this specific thing. Objectives written without reference to observable, measurable performance are not objectives — they are aspirations. Using SMART criteria (Specific, Measurable, Achievable, Relevant, Time-bound) in combination with Bloom's Revised Taxonomy, participants learn to write objectives at different cognitive levels: from remembering and understanding at the knowledge level, through applying and analysing at the comprehension level, to evaluating and creating at the higher-order level. The critical distinction between training content (what the trainer will cover) and learning outcome (what the participant will be able to do) is explored in depth.</w:t>
      </w:r>
    </w:p>
    <w:p w14:paraId="41246096">
      <w:pPr>
        <w:spacing w:after="120"/>
      </w:pPr>
    </w:p>
    <w:p w14:paraId="04CE33E5">
      <w:pPr>
        <w:pStyle w:val="5"/>
      </w:pPr>
      <w:r>
        <w:rPr>
          <w:rFonts w:ascii="Arial" w:hAnsi="Arial" w:eastAsia="Arial" w:cs="Arial"/>
          <w:b/>
          <w:bCs/>
          <w:color w:val="0E6655"/>
          <w:sz w:val="22"/>
          <w:szCs w:val="22"/>
        </w:rPr>
        <w:t>Topic 2: Sequencing, Scaffolding &amp; Instructional Architecture</w:t>
      </w:r>
    </w:p>
    <w:p w14:paraId="3FE47AB4">
      <w:pPr>
        <w:spacing w:before="60" w:after="120"/>
      </w:pPr>
      <w:r>
        <w:rPr>
          <w:rFonts w:ascii="Arial" w:hAnsi="Arial" w:eastAsia="Arial" w:cs="Arial"/>
          <w:color w:val="1C2833"/>
          <w:sz w:val="22"/>
          <w:szCs w:val="22"/>
        </w:rPr>
        <w:t>Effective training sessions do not happen by accident. They are designed with intention: the opening activates prior knowledge and creates an authentic need for the content; the build phase introduces new information in well-sequenced, manageable chunks; the practice phase gives participants guided opportunities to apply what they have learned; the closing phase consolidates learning and supports transfer to professional contexts. Scaffolding strategies — modelling, worked examples, partially completed frameworks, think-alouds, and collaborative tasks — are explored as tools for supporting participants who are encountering new content for the first time.</w:t>
      </w:r>
    </w:p>
    <w:p w14:paraId="6E596CAB">
      <w:pPr>
        <w:spacing w:after="120"/>
      </w:pPr>
    </w:p>
    <w:p w14:paraId="246B82F4">
      <w:pPr>
        <w:pStyle w:val="5"/>
      </w:pPr>
      <w:r>
        <w:rPr>
          <w:rFonts w:ascii="Arial" w:hAnsi="Arial" w:eastAsia="Arial" w:cs="Arial"/>
          <w:b/>
          <w:bCs/>
          <w:color w:val="0E6655"/>
          <w:sz w:val="22"/>
          <w:szCs w:val="22"/>
        </w:rPr>
        <w:t>Topic 3: Workshop Design Frameworks &amp; Time Management</w:t>
      </w:r>
    </w:p>
    <w:p w14:paraId="1B085EF1">
      <w:pPr>
        <w:spacing w:before="60" w:after="120"/>
      </w:pPr>
      <w:r>
        <w:rPr>
          <w:rFonts w:ascii="Arial" w:hAnsi="Arial" w:eastAsia="Arial" w:cs="Arial"/>
          <w:color w:val="1C2833"/>
          <w:sz w:val="22"/>
          <w:szCs w:val="22"/>
        </w:rPr>
        <w:t>Designing a workshop is a different skill from designing a lesson. Workshops typically have more complex objectives, more diverse participant needs, and longer time spans. This session introduces several workshop design frameworks, including the Experience-Reflect-Conceptualise-Apply (ERCA) model and the Input-Practice-Output (IPO) structure, and explores how they can be adapted for different training contexts. Time management in workshops is addressed specifically: how to plan realistically, how to protect essential activities when time is short, and how to create a sense of momentum and forward motion throughout a session.</w:t>
      </w:r>
    </w:p>
    <w:p w14:paraId="7C8E4F64">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5A7A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071CC052">
            <w:pPr>
              <w:spacing w:before="80" w:after="100"/>
            </w:pPr>
            <w:r>
              <w:rPr>
                <w:rFonts w:ascii="Arial" w:hAnsi="Arial" w:eastAsia="Arial" w:cs="Arial"/>
                <w:b/>
                <w:bCs/>
                <w:color w:val="1B4F72"/>
                <w:sz w:val="24"/>
                <w:szCs w:val="24"/>
              </w:rPr>
              <w:t>Learning Outcomes — Week 4</w:t>
            </w:r>
          </w:p>
          <w:p w14:paraId="46B6EC55">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Write SMART learning objectives across Bloom's Taxonomy levels for training sessions, distinguishing clearly between content coverage and measurable learning outcomes</w:t>
            </w:r>
          </w:p>
          <w:p w14:paraId="7FBFB365">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Apply sequencing and scaffolding principles to design coherent, logically ordered training sessions that build knowledge and skill progressively</w:t>
            </w:r>
          </w:p>
          <w:p w14:paraId="056DC914">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Design a complete 90-minute training session using a structured framework, including objectives, warm-up, input, guided practice, and closing reflection</w:t>
            </w:r>
          </w:p>
          <w:p w14:paraId="593FAC53">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Justify design decisions in relation to the andragogical and constructivist principles covered in Week 2</w:t>
            </w:r>
          </w:p>
        </w:tc>
      </w:tr>
    </w:tbl>
    <w:p w14:paraId="2629B3E7">
      <w:pPr>
        <w:spacing w:after="120"/>
      </w:pPr>
    </w:p>
    <w:p w14:paraId="33F8FC0E">
      <w:pPr>
        <w:pStyle w:val="5"/>
      </w:pPr>
      <w:r>
        <w:rPr>
          <w:rFonts w:ascii="Arial" w:hAnsi="Arial" w:eastAsia="Arial" w:cs="Arial"/>
          <w:b/>
          <w:bCs/>
          <w:color w:val="0E6655"/>
          <w:sz w:val="22"/>
          <w:szCs w:val="22"/>
        </w:rPr>
        <w:t>Week 4 Activities</w:t>
      </w:r>
    </w:p>
    <w:p w14:paraId="12CED5B5">
      <w:pPr>
        <w:pStyle w:val="16"/>
        <w:numPr>
          <w:ilvl w:val="0"/>
          <w:numId w:val="2"/>
        </w:numPr>
      </w:pPr>
      <w:r>
        <w:rPr>
          <w:rFonts w:ascii="Arial" w:hAnsi="Arial" w:eastAsia="Arial" w:cs="Arial"/>
          <w:color w:val="1C2833"/>
          <w:sz w:val="22"/>
          <w:szCs w:val="22"/>
        </w:rPr>
        <w:t>Objectives Rewrite Lab: Participants receive 12 poorly written training objectives and rewrite each using the SMART + Bloom's framework. A structured peer-review protocol is used to compare and discuss rewrites, with the facilitator providing final exemplars for comparison.</w:t>
      </w:r>
    </w:p>
    <w:p w14:paraId="29E13ECA">
      <w:pPr>
        <w:pStyle w:val="16"/>
        <w:numPr>
          <w:ilvl w:val="0"/>
          <w:numId w:val="2"/>
        </w:numPr>
      </w:pPr>
      <w:r>
        <w:rPr>
          <w:rFonts w:ascii="Arial" w:hAnsi="Arial" w:eastAsia="Arial" w:cs="Arial"/>
          <w:color w:val="1C2833"/>
          <w:sz w:val="22"/>
          <w:szCs w:val="22"/>
        </w:rPr>
        <w:t>Session Plan Blueprint: Working independently, each participant designs a complete 90-minute training session on a self-selected topic relevant to their professional context. The session plan uses the provided framework template and must include: stated objectives at two Bloom's levels, a warm-up/activation activity, a content input phase, a guided practice activity, and a closing reflection. Plans are shared with a partner for peer review using a structured feedback protocol.</w:t>
      </w:r>
    </w:p>
    <w:p w14:paraId="680F6924">
      <w:pPr>
        <w:pStyle w:val="16"/>
        <w:numPr>
          <w:ilvl w:val="0"/>
          <w:numId w:val="2"/>
        </w:numPr>
      </w:pPr>
      <w:r>
        <w:rPr>
          <w:rFonts w:ascii="Arial" w:hAnsi="Arial" w:eastAsia="Arial" w:cs="Arial"/>
          <w:color w:val="1C2833"/>
          <w:sz w:val="22"/>
          <w:szCs w:val="22"/>
        </w:rPr>
        <w:t>Design Critique Gallery: Three sample training session plans are posted around the room. Participants rotate and use sticky notes to annotate strengths and gaps against a shared criteria checklist. The gallery closes with a full-cohort discussion of what the examples reveal about common design challenges.</w:t>
      </w:r>
    </w:p>
    <w:p w14:paraId="50AD1B7E">
      <w:pPr>
        <w:spacing w:after="120"/>
      </w:pPr>
    </w:p>
    <w:p w14:paraId="2ADC80E3">
      <w:pPr>
        <w:spacing w:after="120"/>
      </w:pPr>
    </w:p>
    <w:p w14:paraId="174DC75B">
      <w:pPr>
        <w:spacing w:after="120"/>
      </w:pPr>
    </w:p>
    <w:p w14:paraId="0FBB343D">
      <w:pPr>
        <w:spacing w:after="120"/>
      </w:pPr>
    </w:p>
    <w:p w14:paraId="69968221">
      <w:pPr>
        <w:spacing w:after="120"/>
      </w:pPr>
    </w:p>
    <w:p w14:paraId="56BE359F">
      <w:pPr>
        <w:spacing w:after="120"/>
      </w:pPr>
    </w:p>
    <w:p w14:paraId="1F4126BE">
      <w:pPr>
        <w:spacing w:after="120"/>
      </w:pPr>
    </w:p>
    <w:p w14:paraId="2F9CFA13">
      <w:pPr>
        <w:spacing w:after="120"/>
      </w:pPr>
    </w:p>
    <w:p w14:paraId="39E920E8">
      <w:pPr>
        <w:spacing w:after="120"/>
      </w:pPr>
    </w:p>
    <w:p w14:paraId="78C06840">
      <w:pPr>
        <w:spacing w:after="120"/>
      </w:pPr>
    </w:p>
    <w:p w14:paraId="0CA3D449">
      <w:pPr>
        <w:spacing w:after="120"/>
      </w:pPr>
    </w:p>
    <w:p w14:paraId="6D22A384">
      <w:pPr>
        <w:spacing w:after="120"/>
      </w:pPr>
    </w:p>
    <w:p w14:paraId="2484BB74">
      <w:pPr>
        <w:spacing w:after="120"/>
      </w:pPr>
    </w:p>
    <w:p w14:paraId="44AA00D3">
      <w:pPr>
        <w:spacing w:after="120"/>
      </w:pPr>
    </w:p>
    <w:p w14:paraId="3719ECA6">
      <w:pPr>
        <w:spacing w:after="120"/>
      </w:pPr>
    </w:p>
    <w:p w14:paraId="382A7F74">
      <w:pPr>
        <w:spacing w:after="120"/>
      </w:pPr>
    </w:p>
    <w:p w14:paraId="4D213C14">
      <w:pPr>
        <w:spacing w:after="120"/>
      </w:pPr>
    </w:p>
    <w:p w14:paraId="3587A60C">
      <w:pPr>
        <w:spacing w:after="120"/>
      </w:pPr>
    </w:p>
    <w:p w14:paraId="74EE6FA7">
      <w:pPr>
        <w:spacing w:after="120"/>
      </w:pPr>
    </w:p>
    <w:p w14:paraId="255A2416">
      <w:pPr>
        <w:spacing w:after="120"/>
      </w:pPr>
    </w:p>
    <w:p w14:paraId="0BE7A0A5">
      <w:pPr>
        <w:spacing w:after="120"/>
      </w:pPr>
    </w:p>
    <w:p w14:paraId="332AF221">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9026"/>
      </w:tblGrid>
      <w:tr w14:paraId="451A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jc w:val="center"/>
        </w:trPr>
        <w:tc>
          <w:tcPr>
            <w:tcW w:w="9026" w:type="dxa"/>
            <w:tcBorders>
              <w:top w:val="single" w:color="0E6655" w:sz="4" w:space="0"/>
              <w:left w:val="single" w:color="0E6655" w:sz="18" w:space="0"/>
              <w:bottom w:val="single" w:color="0E6655" w:sz="4" w:space="0"/>
              <w:right w:val="single" w:color="0E6655" w:sz="4" w:space="0"/>
            </w:tcBorders>
            <w:shd w:val="clear" w:color="auto" w:fill="FFFFFF" w:themeFill="background1"/>
            <w:tcMar>
              <w:top w:w="120" w:type="dxa"/>
              <w:left w:w="220" w:type="dxa"/>
              <w:bottom w:w="120" w:type="dxa"/>
              <w:right w:w="200" w:type="dxa"/>
            </w:tcMar>
          </w:tcPr>
          <w:p w14:paraId="4F821C11">
            <w:pPr>
              <w:shd w:val="clear" w:fill="92D050"/>
              <w:spacing w:before="80" w:after="100"/>
            </w:pPr>
            <w:r>
              <w:rPr>
                <w:rFonts w:ascii="Arial" w:hAnsi="Arial" w:eastAsia="Arial" w:cs="Arial"/>
                <w:b/>
                <w:bCs/>
                <w:color w:val="0E6655"/>
                <w:sz w:val="24"/>
                <w:szCs w:val="24"/>
              </w:rPr>
              <w:t>Month 1 — Hands-on Practice Tasks</w:t>
            </w:r>
          </w:p>
          <w:p w14:paraId="21A48D20">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Trainer Identity Portfolio (Ongoing): </w:t>
            </w:r>
            <w:r>
              <w:rPr>
                <w:rFonts w:ascii="Arial" w:hAnsi="Arial" w:eastAsia="Arial" w:cs="Arial"/>
                <w:color w:val="1C2833"/>
                <w:sz w:val="22"/>
                <w:szCs w:val="22"/>
              </w:rPr>
              <w:t>Participants maintain a structured reflective journal throughout Month 1. Weekly prompts guide them to examine their assumptions, document their emerging professional philosophy, and connect theory to their own professional experience. The journal is a portfolio artefact and is submitted at the end of Month 1 for facilitator feedback.</w:t>
            </w:r>
          </w:p>
          <w:p w14:paraId="39DE60BC">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Mini Needs Analysis Field Project: </w:t>
            </w:r>
            <w:r>
              <w:rPr>
                <w:rFonts w:ascii="Arial" w:hAnsi="Arial" w:eastAsia="Arial" w:cs="Arial"/>
                <w:color w:val="1C2833"/>
                <w:sz w:val="22"/>
                <w:szCs w:val="22"/>
              </w:rPr>
              <w:t>Participants who are currently in a professional role conduct a real-world mini needs analysis with three to five colleagues using one tool of their choice (interview, survey, or observation). They collect, analyse, and present their findings in a brief written report, identifying gap types and training implications.</w:t>
            </w:r>
          </w:p>
          <w:p w14:paraId="674A3F60">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Session Design Showcase: </w:t>
            </w:r>
            <w:r>
              <w:rPr>
                <w:rFonts w:ascii="Arial" w:hAnsi="Arial" w:eastAsia="Arial" w:cs="Arial"/>
                <w:color w:val="1C2833"/>
                <w:sz w:val="22"/>
                <w:szCs w:val="22"/>
              </w:rPr>
              <w:t>Building on the Week 4 Session Plan Blueprint, participants refine their design and deliver a 15-minute demonstration of one segment of their session to the cohort. Peers observe using a structured observation tool focused on objectives, scaffolding, and engagement. Written feedback is given by the facilitator.</w:t>
            </w:r>
          </w:p>
          <w:p w14:paraId="1E699F4C">
            <w:pPr>
              <w:spacing w:before="60" w:after="8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Learning Theory Mapping: </w:t>
            </w:r>
            <w:r>
              <w:rPr>
                <w:rFonts w:ascii="Arial" w:hAnsi="Arial" w:eastAsia="Arial" w:cs="Arial"/>
                <w:color w:val="1C2833"/>
                <w:sz w:val="22"/>
                <w:szCs w:val="22"/>
              </w:rPr>
              <w:t>At the end of Month 1, participants map each of the four theoretical frameworks covered (andragogy, social constructivism, cognitive load, experiential learning) to specific decisions they made in their session plan. This mapping task is included in the portfolio as evidence of design rationale.</w:t>
            </w:r>
          </w:p>
        </w:tc>
      </w:tr>
    </w:tbl>
    <w:p w14:paraId="659A3680">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9026"/>
      </w:tblGrid>
      <w:tr w14:paraId="60C8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CA6F1E" w:sz="4" w:space="0"/>
              <w:left w:val="single" w:color="CA6F1E" w:sz="18" w:space="0"/>
              <w:bottom w:val="single" w:color="CA6F1E" w:sz="4" w:space="0"/>
              <w:right w:val="single" w:color="CA6F1E" w:sz="4" w:space="0"/>
            </w:tcBorders>
            <w:shd w:val="clear" w:color="auto" w:fill="FFFFFF" w:themeFill="background1"/>
            <w:tcMar>
              <w:top w:w="120" w:type="dxa"/>
              <w:left w:w="220" w:type="dxa"/>
              <w:bottom w:w="120" w:type="dxa"/>
              <w:right w:w="200" w:type="dxa"/>
            </w:tcMar>
          </w:tcPr>
          <w:p w14:paraId="53D6C884">
            <w:pPr>
              <w:shd w:val="clear" w:fill="FBD4B4" w:themeFill="accent6" w:themeFillTint="66"/>
              <w:spacing w:before="80" w:after="100"/>
            </w:pPr>
            <w:r>
              <w:rPr>
                <w:rFonts w:ascii="Arial" w:hAnsi="Arial" w:eastAsia="Arial" w:cs="Arial"/>
                <w:b/>
                <w:bCs/>
                <w:color w:val="CA6F1E"/>
                <w:sz w:val="24"/>
                <w:szCs w:val="24"/>
              </w:rPr>
              <w:t>Month 1 — Common Challenges</w:t>
            </w:r>
          </w:p>
          <w:p w14:paraId="0BA09194">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Imposter Syndrome: </w:t>
            </w:r>
            <w:r>
              <w:rPr>
                <w:rFonts w:ascii="Arial" w:hAnsi="Arial" w:eastAsia="Arial" w:cs="Arial"/>
                <w:color w:val="1C2833"/>
                <w:sz w:val="22"/>
                <w:szCs w:val="22"/>
              </w:rPr>
              <w:t>Many participants struggle to see themselves as qualified to train other teachers, particularly if they are newly transitioning from the classroom. Address this explicitly in Week 1. Normalise it. The identity shift is real, gradual, and non-linear.</w:t>
            </w:r>
          </w:p>
          <w:p w14:paraId="02D87439">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Over-reliance on Content Delivery: </w:t>
            </w:r>
            <w:r>
              <w:rPr>
                <w:rFonts w:ascii="Arial" w:hAnsi="Arial" w:eastAsia="Arial" w:cs="Arial"/>
                <w:color w:val="1C2833"/>
                <w:sz w:val="22"/>
                <w:szCs w:val="22"/>
              </w:rPr>
              <w:t>Early-stage trainers default to telling teachers what to do rather than creating conditions for discovery. This becomes most visible in Week 4's session design task. Redirect by returning to andragogy: What would it look like if participants discovered this themselves?</w:t>
            </w:r>
          </w:p>
          <w:p w14:paraId="4F4849CE">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Writing Measurable Objectives: </w:t>
            </w:r>
            <w:r>
              <w:rPr>
                <w:rFonts w:ascii="Arial" w:hAnsi="Arial" w:eastAsia="Arial" w:cs="Arial"/>
                <w:color w:val="1C2833"/>
                <w:sz w:val="22"/>
                <w:szCs w:val="22"/>
              </w:rPr>
              <w:t>Participants consistently write vague objectives (e.g., 'understand feedback'). The objectives rewrite lab in Week 4 addresses this directly, but expect participants to need multiple rounds of practice before the skill solidifies.</w:t>
            </w:r>
          </w:p>
          <w:p w14:paraId="3567635C">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Needs Analysis as Surveillance: </w:t>
            </w:r>
            <w:r>
              <w:rPr>
                <w:rFonts w:ascii="Arial" w:hAnsi="Arial" w:eastAsia="Arial" w:cs="Arial"/>
                <w:color w:val="1C2833"/>
                <w:sz w:val="22"/>
                <w:szCs w:val="22"/>
              </w:rPr>
              <w:t>Some participants worry that conducting a needs analysis feels evaluative or intrusive. Spend time in Week 3 explicitly discussing framing: a needs analysis is an act of professional care, not a performance judgment.</w:t>
            </w:r>
          </w:p>
          <w:p w14:paraId="15D77120">
            <w:pPr>
              <w:spacing w:before="60" w:after="8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Theory-Practice Connection: </w:t>
            </w:r>
            <w:r>
              <w:rPr>
                <w:rFonts w:ascii="Arial" w:hAnsi="Arial" w:eastAsia="Arial" w:cs="Arial"/>
                <w:color w:val="1C2833"/>
                <w:sz w:val="22"/>
                <w:szCs w:val="22"/>
              </w:rPr>
              <w:t>Some participants find it difficult to see how theoretical frameworks connect to their day-to-day work. Use concrete examples and case studies from real EFL/educational contexts throughout Month 1 to keep the theory grounded.</w:t>
            </w:r>
          </w:p>
        </w:tc>
      </w:tr>
    </w:tbl>
    <w:p w14:paraId="65B5E2FA">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026"/>
      </w:tblGrid>
      <w:tr w14:paraId="4662F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jc w:val="center"/>
        </w:trPr>
        <w:tc>
          <w:tcPr>
            <w:tcW w:w="9026" w:type="dxa"/>
            <w:tcBorders>
              <w:top w:val="single" w:color="B7950B" w:sz="4" w:space="0"/>
              <w:left w:val="single" w:color="B7950B" w:sz="18" w:space="0"/>
              <w:bottom w:val="single" w:color="B7950B" w:sz="4" w:space="0"/>
              <w:right w:val="single" w:color="B7950B" w:sz="4" w:space="0"/>
            </w:tcBorders>
            <w:shd w:val="clear" w:color="auto" w:fill="auto"/>
            <w:tcMar>
              <w:top w:w="120" w:type="dxa"/>
              <w:left w:w="220" w:type="dxa"/>
              <w:bottom w:w="120" w:type="dxa"/>
              <w:right w:w="200" w:type="dxa"/>
            </w:tcMar>
          </w:tcPr>
          <w:p w14:paraId="1B65F9C5">
            <w:pPr>
              <w:shd w:val="clear" w:fill="C09D29"/>
              <w:spacing w:before="80" w:after="100"/>
              <w:rPr>
                <w:color w:val="DDD9C3" w:themeColor="background2" w:themeShade="E6"/>
              </w:rPr>
            </w:pPr>
            <w:r>
              <w:rPr>
                <w:rFonts w:ascii="Arial" w:hAnsi="Arial" w:eastAsia="Arial" w:cs="Arial"/>
                <w:b/>
                <w:bCs/>
                <w:color w:val="DDD9C3" w:themeColor="background2" w:themeShade="E6"/>
                <w:sz w:val="24"/>
                <w:szCs w:val="24"/>
              </w:rPr>
              <w:t>Month 1 — Trainer Tips</w:t>
            </w:r>
          </w:p>
          <w:p w14:paraId="7DBFB616">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Start Week 1 with the Trainer Identity Profile before introducing any theory. Grounding participants in self-knowledge before introducing frameworks sets a reflective tone that benefits the entire program.</w:t>
            </w:r>
          </w:p>
          <w:p w14:paraId="01A487AE">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Use video modelling generously in Month 1. Showing real or role-played training sessions helps participants visualise what good practice looks like before they are asked to produce it.</w:t>
            </w:r>
          </w:p>
          <w:p w14:paraId="48DBAB5C">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Build psychological safety from Day 1. The training cohort itself must function as a safe, trusting learning community. Invest real time in norms-setting and community-building in the first session.</w:t>
            </w:r>
          </w:p>
          <w:p w14:paraId="1F356FCD">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Scaffold the philosophy statement carefully. Week 1's philosophy draft is a diagnostic, not a polished product. Reassure participants that it will be revised multiple times before the final portfolio.</w:t>
            </w:r>
          </w:p>
          <w:p w14:paraId="4197AFC1">
            <w:pPr>
              <w:spacing w:before="60" w:after="80"/>
              <w:ind w:left="160"/>
            </w:pPr>
            <w:r>
              <w:rPr>
                <w:rFonts w:ascii="Arial" w:hAnsi="Arial" w:eastAsia="Arial" w:cs="Arial"/>
                <w:b/>
                <w:bCs/>
                <w:color w:val="B7950B"/>
                <w:sz w:val="22"/>
                <w:szCs w:val="22"/>
              </w:rPr>
              <w:t xml:space="preserve">— </w:t>
            </w:r>
            <w:r>
              <w:rPr>
                <w:rFonts w:ascii="Arial" w:hAnsi="Arial" w:eastAsia="Arial" w:cs="Arial"/>
                <w:color w:val="1C2833"/>
                <w:sz w:val="22"/>
                <w:szCs w:val="22"/>
              </w:rPr>
              <w:t>Create low-stakes practice opportunities early. Even brief micro-teaching moments in Week 4 help participants begin building a trainer identity through doing rather than just reading and discussing.</w:t>
            </w:r>
          </w:p>
        </w:tc>
      </w:tr>
    </w:tbl>
    <w:p w14:paraId="722643EC">
      <w:r>
        <w:br w:type="page"/>
      </w:r>
    </w:p>
    <w:p w14:paraId="34677EE6">
      <w:pPr>
        <w:pStyle w:val="2"/>
        <w:shd w:val="clear" w:fill="E36C09" w:themeFill="accent6" w:themeFillShade="BF"/>
        <w:spacing w:before="0" w:after="200"/>
        <w:ind w:right="240"/>
      </w:pPr>
      <w:r>
        <w:rPr>
          <w:rFonts w:ascii="Arial" w:hAnsi="Arial" w:eastAsia="Arial" w:cs="Arial"/>
          <w:b/>
          <w:bCs/>
          <w:color w:val="FFFFFF"/>
          <w:sz w:val="38"/>
          <w:szCs w:val="38"/>
        </w:rPr>
        <w:t>MONTH 2: TRAINING METHODS, STRATEGIES &amp; TECHNIQUES</w:t>
      </w:r>
    </w:p>
    <w:p w14:paraId="64908E34">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65A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nil"/>
              <w:left w:val="nil"/>
              <w:bottom w:val="nil"/>
              <w:right w:val="nil"/>
            </w:tcBorders>
            <w:shd w:val="clear" w:color="auto" w:fill="D6EAF8"/>
            <w:tcMar>
              <w:top w:w="160" w:type="dxa"/>
              <w:left w:w="300" w:type="dxa"/>
              <w:bottom w:w="160" w:type="dxa"/>
              <w:right w:w="200" w:type="dxa"/>
            </w:tcMar>
          </w:tcPr>
          <w:p w14:paraId="58A09614">
            <w:r>
              <w:rPr>
                <w:rFonts w:ascii="Arial" w:hAnsi="Arial" w:eastAsia="Arial" w:cs="Arial"/>
                <w:b/>
                <w:bCs/>
                <w:color w:val="1B4F72"/>
                <w:sz w:val="22"/>
                <w:szCs w:val="22"/>
              </w:rPr>
              <w:t>Domains Addressed: Domain 2 (Training Design &amp; Facilitation) · Domain 3 (Questioning, Feedback &amp; Communication)</w:t>
            </w:r>
          </w:p>
        </w:tc>
      </w:tr>
    </w:tbl>
    <w:p w14:paraId="3259357E">
      <w:pPr>
        <w:spacing w:after="120"/>
      </w:pPr>
    </w:p>
    <w:p w14:paraId="393DA013">
      <w:pPr>
        <w:spacing w:before="60" w:after="120"/>
      </w:pPr>
      <w:r>
        <w:rPr>
          <w:rFonts w:ascii="Arial" w:hAnsi="Arial" w:eastAsia="Arial" w:cs="Arial"/>
          <w:color w:val="1C2833"/>
          <w:sz w:val="22"/>
          <w:szCs w:val="22"/>
        </w:rPr>
        <w:t>Month 2 is where trainers build their professional toolkit. Equipped with the theoretical foundations from Month 1, participants now focus intensively on the craft of delivery: how to facilitate rather than lecture, how to use questions strategically, how to give feedback that genuinely develops, and how to design for the diverse range of professional experiences and readiness levels present in any training room. Every week in Month 2 is built around substantial hands-on practice because these are skills that can only be learned by doing — and by reflecting, receiving feedback, and doing again.</w:t>
      </w:r>
    </w:p>
    <w:p w14:paraId="1E2682B2">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0A3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2B29BAA6">
            <w:pPr>
              <w:spacing w:before="80" w:after="100"/>
            </w:pPr>
            <w:r>
              <w:rPr>
                <w:rFonts w:ascii="Arial" w:hAnsi="Arial" w:eastAsia="Arial" w:cs="Arial"/>
                <w:b/>
                <w:bCs/>
                <w:color w:val="1B4F72"/>
                <w:sz w:val="24"/>
                <w:szCs w:val="24"/>
              </w:rPr>
              <w:t>Essential Questions for Month 2</w:t>
            </w:r>
          </w:p>
          <w:p w14:paraId="4FDC481B">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What is the difference between instructing and facilitating, and when should I be doing each?</w:t>
            </w:r>
          </w:p>
          <w:p w14:paraId="6FB1A732">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How can a well-placed question do more than a five-minute explanation?</w:t>
            </w:r>
          </w:p>
          <w:p w14:paraId="6B9D9B63">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What makes feedback genuinely developmental rather than merely critical?</w:t>
            </w:r>
          </w:p>
          <w:p w14:paraId="316CE1E7">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How do I design training that works for the novice and the veteran in the same room?</w:t>
            </w:r>
          </w:p>
        </w:tc>
      </w:tr>
    </w:tbl>
    <w:p w14:paraId="565F4793">
      <w:pPr>
        <w:spacing w:after="120"/>
      </w:pPr>
    </w:p>
    <w:p w14:paraId="6FFEE369">
      <w:pPr>
        <w:spacing w:after="120"/>
      </w:pPr>
    </w:p>
    <w:p w14:paraId="2C84F2CD">
      <w:pPr>
        <w:spacing w:after="120"/>
      </w:pPr>
    </w:p>
    <w:p w14:paraId="18F2AD72">
      <w:pPr>
        <w:spacing w:after="120"/>
      </w:pPr>
    </w:p>
    <w:p w14:paraId="53F1EFCC">
      <w:pPr>
        <w:spacing w:after="120"/>
      </w:pPr>
    </w:p>
    <w:p w14:paraId="2D4A255C">
      <w:pPr>
        <w:spacing w:after="120"/>
      </w:pPr>
    </w:p>
    <w:p w14:paraId="1E8486A5">
      <w:pPr>
        <w:spacing w:after="120"/>
      </w:pPr>
    </w:p>
    <w:p w14:paraId="776104F6">
      <w:pPr>
        <w:spacing w:after="120"/>
      </w:pPr>
    </w:p>
    <w:p w14:paraId="13BB6934">
      <w:pPr>
        <w:spacing w:after="120"/>
      </w:pPr>
    </w:p>
    <w:p w14:paraId="59749ECD">
      <w:pPr>
        <w:spacing w:after="120"/>
      </w:pPr>
    </w:p>
    <w:p w14:paraId="55A4E3BD">
      <w:pPr>
        <w:spacing w:after="120"/>
      </w:pPr>
    </w:p>
    <w:p w14:paraId="4AC517C1">
      <w:pPr>
        <w:spacing w:after="120"/>
      </w:pPr>
    </w:p>
    <w:p w14:paraId="7CF7D9EB">
      <w:pPr>
        <w:spacing w:after="120"/>
      </w:pPr>
    </w:p>
    <w:p w14:paraId="57A01313">
      <w:pPr>
        <w:spacing w:after="120"/>
      </w:pPr>
    </w:p>
    <w:p w14:paraId="5CA2DB54">
      <w:pPr>
        <w:spacing w:after="120"/>
      </w:pPr>
    </w:p>
    <w:p w14:paraId="4004309E">
      <w:pPr>
        <w:spacing w:after="120"/>
      </w:pPr>
    </w:p>
    <w:p w14:paraId="751BEEDF">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7726"/>
      </w:tblGrid>
      <w:tr w14:paraId="1A74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nil"/>
              <w:left w:val="nil"/>
              <w:bottom w:val="nil"/>
              <w:right w:val="nil"/>
            </w:tcBorders>
            <w:shd w:val="clear" w:color="auto" w:fill="92D050"/>
            <w:tcMar>
              <w:top w:w="120" w:type="dxa"/>
              <w:left w:w="180" w:type="dxa"/>
              <w:bottom w:w="120" w:type="dxa"/>
              <w:right w:w="180" w:type="dxa"/>
            </w:tcMar>
            <w:vAlign w:val="center"/>
          </w:tcPr>
          <w:p w14:paraId="255D30FB">
            <w:pPr>
              <w:jc w:val="center"/>
            </w:pPr>
            <w:r>
              <w:rPr>
                <w:rFonts w:ascii="Arial" w:hAnsi="Arial" w:eastAsia="Arial" w:cs="Arial"/>
                <w:b/>
                <w:bCs/>
                <w:color w:val="FFFFFF"/>
                <w:sz w:val="22"/>
                <w:szCs w:val="22"/>
              </w:rPr>
              <w:t>WEEK 5</w:t>
            </w:r>
          </w:p>
        </w:tc>
        <w:tc>
          <w:tcPr>
            <w:tcW w:w="7726" w:type="dxa"/>
            <w:tcBorders>
              <w:top w:val="nil"/>
              <w:left w:val="nil"/>
              <w:bottom w:val="nil"/>
              <w:right w:val="nil"/>
            </w:tcBorders>
            <w:shd w:val="clear" w:color="auto" w:fill="D6EAF8"/>
            <w:tcMar>
              <w:top w:w="120" w:type="dxa"/>
              <w:left w:w="220" w:type="dxa"/>
              <w:bottom w:w="120" w:type="dxa"/>
              <w:right w:w="180" w:type="dxa"/>
            </w:tcMar>
            <w:vAlign w:val="center"/>
          </w:tcPr>
          <w:p w14:paraId="025E5892">
            <w:r>
              <w:rPr>
                <w:rFonts w:ascii="Arial" w:hAnsi="Arial" w:eastAsia="Arial" w:cs="Arial"/>
                <w:b/>
                <w:bCs/>
                <w:color w:val="1B4F72"/>
                <w:sz w:val="26"/>
                <w:szCs w:val="26"/>
              </w:rPr>
              <w:t>Training Delivery Methods &amp; Facilitation</w:t>
            </w:r>
          </w:p>
        </w:tc>
      </w:tr>
    </w:tbl>
    <w:p w14:paraId="4F6D30B6">
      <w:pPr>
        <w:spacing w:after="120"/>
      </w:pPr>
    </w:p>
    <w:p w14:paraId="6F63BDE3">
      <w:pPr>
        <w:spacing w:before="60" w:after="120"/>
      </w:pPr>
      <w:r>
        <w:rPr>
          <w:rFonts w:ascii="Arial" w:hAnsi="Arial" w:eastAsia="Arial" w:cs="Arial"/>
          <w:color w:val="1C2833"/>
          <w:sz w:val="22"/>
          <w:szCs w:val="22"/>
        </w:rPr>
        <w:t>A trainer with only one delivery method is like a chef with only one technique. Week 5 expands participants' repertoire deliberately and systematically. Through experiencing a wide range of delivery formats — from structured workshops to open facilitation to microlearning segments — participants develop the discernment to select the right method for the right content and the right learner.</w:t>
      </w:r>
    </w:p>
    <w:p w14:paraId="67BD5D79">
      <w:pPr>
        <w:spacing w:after="120"/>
      </w:pPr>
    </w:p>
    <w:p w14:paraId="4035965A">
      <w:pPr>
        <w:pStyle w:val="5"/>
      </w:pPr>
      <w:r>
        <w:rPr>
          <w:rFonts w:ascii="Arial" w:hAnsi="Arial" w:eastAsia="Arial" w:cs="Arial"/>
          <w:b/>
          <w:bCs/>
          <w:color w:val="0E6655"/>
          <w:sz w:val="22"/>
          <w:szCs w:val="22"/>
        </w:rPr>
        <w:t>Topic 1: A Repertoire of Training Delivery Methods</w:t>
      </w:r>
    </w:p>
    <w:p w14:paraId="225D36A6">
      <w:pPr>
        <w:spacing w:before="60" w:after="120"/>
      </w:pPr>
      <w:r>
        <w:rPr>
          <w:rFonts w:ascii="Arial" w:hAnsi="Arial" w:eastAsia="Arial" w:cs="Arial"/>
          <w:color w:val="1C2833"/>
          <w:sz w:val="22"/>
          <w:szCs w:val="22"/>
        </w:rPr>
        <w:t>Participants explore the full range of available delivery methods: direct instruction and structured workshops (appropriate for new, foundational content); demonstration and think-alouds (appropriate when modelling is essential); inquiry-based and discovery sessions (appropriate for building problem-solving and analytical capacity); role-play, simulation, and scenario-based training (appropriate for skill practice in safe contexts); and microlearning, peer-teaching, and self-paced modules (appropriate for targeted reinforcement and independent application). For each method, the question is not 'is this a good method?' but 'when and why is this the right method?'</w:t>
      </w:r>
    </w:p>
    <w:p w14:paraId="77805C80">
      <w:pPr>
        <w:spacing w:after="120"/>
      </w:pPr>
    </w:p>
    <w:p w14:paraId="7A7C809B">
      <w:pPr>
        <w:pStyle w:val="5"/>
      </w:pPr>
      <w:r>
        <w:rPr>
          <w:rFonts w:ascii="Arial" w:hAnsi="Arial" w:eastAsia="Arial" w:cs="Arial"/>
          <w:b/>
          <w:bCs/>
          <w:color w:val="0E6655"/>
          <w:sz w:val="22"/>
          <w:szCs w:val="22"/>
        </w:rPr>
        <w:t>Topic 2: Facilitation vs. Instruction — Knowing When to Switch</w:t>
      </w:r>
    </w:p>
    <w:p w14:paraId="41C7D07B">
      <w:pPr>
        <w:spacing w:before="60" w:after="120"/>
      </w:pPr>
      <w:r>
        <w:rPr>
          <w:rFonts w:ascii="Arial" w:hAnsi="Arial" w:eastAsia="Arial" w:cs="Arial"/>
          <w:color w:val="1C2833"/>
          <w:sz w:val="22"/>
          <w:szCs w:val="22"/>
        </w:rPr>
        <w:t>The distinction between instruction (where the trainer is the primary source of information) and facilitation (where the trainer creates conditions for participants to generate understanding) is one of the most practically important distinctions in training design. Both are necessary — but the common failure mode for trainers is to default to instruction when facilitation would serve better. This session explores the conditions under which each approach is appropriate and the specific facilitation moves (open questions, wait time, structured tasks, provocative data) that draw out participant thinking.</w:t>
      </w:r>
    </w:p>
    <w:p w14:paraId="49794568">
      <w:pPr>
        <w:spacing w:after="120"/>
      </w:pPr>
    </w:p>
    <w:p w14:paraId="26E7E864">
      <w:pPr>
        <w:pStyle w:val="5"/>
      </w:pPr>
      <w:r>
        <w:rPr>
          <w:rFonts w:ascii="Arial" w:hAnsi="Arial" w:eastAsia="Arial" w:cs="Arial"/>
          <w:b/>
          <w:bCs/>
          <w:color w:val="0E6655"/>
          <w:sz w:val="22"/>
          <w:szCs w:val="22"/>
        </w:rPr>
        <w:t>Topic 3: Multi-Modal Delivery &amp; Managing the Training Environment</w:t>
      </w:r>
    </w:p>
    <w:p w14:paraId="64D4290F">
      <w:pPr>
        <w:spacing w:before="60" w:after="120"/>
      </w:pPr>
      <w:r>
        <w:rPr>
          <w:rFonts w:ascii="Arial" w:hAnsi="Arial" w:eastAsia="Arial" w:cs="Arial"/>
          <w:color w:val="1C2833"/>
          <w:sz w:val="22"/>
          <w:szCs w:val="22"/>
        </w:rPr>
        <w:t>Engagement in training is not just a matter of enthusiasm — it is a product of design. Participants explore how to design for multiple modalities (visual, auditory, kinesthetic, read-write), how to use physical space intentionally (U-shape, clusters, gallery walls, floor work), and how to manage technology in training environments without letting it become a distraction. Special attention is given to adapting design for online and hybrid delivery contexts — an increasingly significant skill in contemporary educational contexts.</w:t>
      </w:r>
    </w:p>
    <w:p w14:paraId="444B2AC5">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E1C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458FED51">
            <w:pPr>
              <w:spacing w:before="80" w:after="100"/>
            </w:pPr>
            <w:r>
              <w:rPr>
                <w:rFonts w:ascii="Arial" w:hAnsi="Arial" w:eastAsia="Arial" w:cs="Arial"/>
                <w:b/>
                <w:bCs/>
                <w:color w:val="1B4F72"/>
                <w:sz w:val="24"/>
                <w:szCs w:val="24"/>
              </w:rPr>
              <w:t>Learning Outcomes — Week 5</w:t>
            </w:r>
          </w:p>
          <w:p w14:paraId="00AF88A8">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Select and justify appropriate delivery methods based on content type, learning objective, and participant readiness</w:t>
            </w:r>
          </w:p>
          <w:p w14:paraId="3D049554">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Facilitate a short training segment using discovery or inquiry-based methods rather than direct instruction</w:t>
            </w:r>
          </w:p>
          <w:p w14:paraId="0D2DFC72">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Design a multi-modal training activity that engages participants across at least two learning modalities</w:t>
            </w:r>
          </w:p>
          <w:p w14:paraId="1994F5CF">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Evaluate a sample training design for method appropriateness and propose alternatives where methods are poorly matched to objectives</w:t>
            </w:r>
          </w:p>
        </w:tc>
      </w:tr>
    </w:tbl>
    <w:p w14:paraId="559AA26A">
      <w:pPr>
        <w:spacing w:after="120"/>
      </w:pPr>
    </w:p>
    <w:p w14:paraId="4E6804D2">
      <w:pPr>
        <w:pStyle w:val="5"/>
      </w:pPr>
      <w:r>
        <w:rPr>
          <w:rFonts w:ascii="Arial" w:hAnsi="Arial" w:eastAsia="Arial" w:cs="Arial"/>
          <w:b/>
          <w:bCs/>
          <w:color w:val="0E6655"/>
          <w:sz w:val="22"/>
          <w:szCs w:val="22"/>
        </w:rPr>
        <w:t>Week 5 Activities</w:t>
      </w:r>
    </w:p>
    <w:p w14:paraId="5863D071">
      <w:pPr>
        <w:pStyle w:val="16"/>
        <w:numPr>
          <w:ilvl w:val="0"/>
          <w:numId w:val="2"/>
        </w:numPr>
      </w:pPr>
      <w:r>
        <w:rPr>
          <w:rFonts w:ascii="Arial" w:hAnsi="Arial" w:eastAsia="Arial" w:cs="Arial"/>
          <w:color w:val="1C2833"/>
          <w:sz w:val="22"/>
          <w:szCs w:val="22"/>
        </w:rPr>
        <w:t>Method Carousel: The facilitator delivers the same content (a short conceptual input on feedback models) using three different delivery methods in sequence — direct instruction, guided discovery, and peer-teach. After each method, participants pause to reflect on their experience as learners. Debrief focuses on when each method worked and when it didn't, and why.</w:t>
      </w:r>
    </w:p>
    <w:p w14:paraId="463E1100">
      <w:pPr>
        <w:pStyle w:val="16"/>
        <w:numPr>
          <w:ilvl w:val="0"/>
          <w:numId w:val="2"/>
        </w:numPr>
      </w:pPr>
      <w:r>
        <w:rPr>
          <w:rFonts w:ascii="Arial" w:hAnsi="Arial" w:eastAsia="Arial" w:cs="Arial"/>
          <w:color w:val="1C2833"/>
          <w:sz w:val="22"/>
          <w:szCs w:val="22"/>
        </w:rPr>
        <w:t>Facilitation Fishbowl: Two participants volunteer to facilitate a 20-minute discussion on a provided topic while the rest of the cohort observes using a structured observation tool. The cohort then debriefs using evidence from the observation tool, and the facilitators reflect on their own experience. Roles rotate across the week.</w:t>
      </w:r>
    </w:p>
    <w:p w14:paraId="1A09F977">
      <w:pPr>
        <w:pStyle w:val="16"/>
        <w:numPr>
          <w:ilvl w:val="0"/>
          <w:numId w:val="2"/>
        </w:numPr>
      </w:pPr>
      <w:r>
        <w:rPr>
          <w:rFonts w:ascii="Arial" w:hAnsi="Arial" w:eastAsia="Arial" w:cs="Arial"/>
          <w:color w:val="1C2833"/>
          <w:sz w:val="22"/>
          <w:szCs w:val="22"/>
        </w:rPr>
        <w:t>Delivery Method Matrix: Working in groups, participants build a reference matrix mapping content types to appropriate delivery methods for EFL teacher training contexts. The matrix becomes a shared professional resource added to each participant's portfolio.</w:t>
      </w:r>
    </w:p>
    <w:p w14:paraId="6C5229EF">
      <w:pPr>
        <w:pStyle w:val="16"/>
        <w:numPr>
          <w:numId w:val="0"/>
        </w:numPr>
        <w:rPr>
          <w:rFonts w:ascii="Arial" w:hAnsi="Arial" w:eastAsia="Arial" w:cs="Arial"/>
          <w:color w:val="1C2833"/>
          <w:sz w:val="22"/>
          <w:szCs w:val="22"/>
        </w:rPr>
      </w:pPr>
    </w:p>
    <w:p w14:paraId="128A2AFE">
      <w:pPr>
        <w:pStyle w:val="16"/>
        <w:numPr>
          <w:numId w:val="0"/>
        </w:numPr>
        <w:rPr>
          <w:rFonts w:ascii="Arial" w:hAnsi="Arial" w:eastAsia="Arial" w:cs="Arial"/>
          <w:color w:val="1C2833"/>
          <w:sz w:val="22"/>
          <w:szCs w:val="22"/>
        </w:rPr>
      </w:pPr>
    </w:p>
    <w:p w14:paraId="519FEB43">
      <w:pPr>
        <w:pStyle w:val="16"/>
        <w:numPr>
          <w:numId w:val="0"/>
        </w:numPr>
        <w:rPr>
          <w:rFonts w:ascii="Arial" w:hAnsi="Arial" w:eastAsia="Arial" w:cs="Arial"/>
          <w:color w:val="1C2833"/>
          <w:sz w:val="22"/>
          <w:szCs w:val="22"/>
        </w:rPr>
      </w:pPr>
    </w:p>
    <w:p w14:paraId="65029321">
      <w:pPr>
        <w:pStyle w:val="16"/>
        <w:numPr>
          <w:numId w:val="0"/>
        </w:numPr>
        <w:rPr>
          <w:rFonts w:ascii="Arial" w:hAnsi="Arial" w:eastAsia="Arial" w:cs="Arial"/>
          <w:color w:val="1C2833"/>
          <w:sz w:val="22"/>
          <w:szCs w:val="22"/>
        </w:rPr>
      </w:pPr>
    </w:p>
    <w:p w14:paraId="7C8DBF96">
      <w:pPr>
        <w:pStyle w:val="16"/>
        <w:numPr>
          <w:numId w:val="0"/>
        </w:numPr>
        <w:rPr>
          <w:rFonts w:ascii="Arial" w:hAnsi="Arial" w:eastAsia="Arial" w:cs="Arial"/>
          <w:color w:val="1C2833"/>
          <w:sz w:val="22"/>
          <w:szCs w:val="22"/>
        </w:rPr>
      </w:pPr>
    </w:p>
    <w:p w14:paraId="04EFB4BD">
      <w:pPr>
        <w:pStyle w:val="16"/>
        <w:numPr>
          <w:numId w:val="0"/>
        </w:numPr>
        <w:rPr>
          <w:rFonts w:ascii="Arial" w:hAnsi="Arial" w:eastAsia="Arial" w:cs="Arial"/>
          <w:color w:val="1C2833"/>
          <w:sz w:val="22"/>
          <w:szCs w:val="22"/>
        </w:rPr>
      </w:pPr>
    </w:p>
    <w:p w14:paraId="152177D5">
      <w:pPr>
        <w:pStyle w:val="16"/>
        <w:numPr>
          <w:numId w:val="0"/>
        </w:numPr>
        <w:rPr>
          <w:rFonts w:ascii="Arial" w:hAnsi="Arial" w:eastAsia="Arial" w:cs="Arial"/>
          <w:color w:val="1C2833"/>
          <w:sz w:val="22"/>
          <w:szCs w:val="22"/>
        </w:rPr>
      </w:pPr>
    </w:p>
    <w:p w14:paraId="6B8B8EAA">
      <w:pPr>
        <w:pStyle w:val="16"/>
        <w:numPr>
          <w:numId w:val="0"/>
        </w:numPr>
        <w:rPr>
          <w:rFonts w:ascii="Arial" w:hAnsi="Arial" w:eastAsia="Arial" w:cs="Arial"/>
          <w:color w:val="1C2833"/>
          <w:sz w:val="22"/>
          <w:szCs w:val="22"/>
        </w:rPr>
      </w:pPr>
    </w:p>
    <w:p w14:paraId="6AE85C8E">
      <w:pPr>
        <w:pStyle w:val="16"/>
        <w:numPr>
          <w:numId w:val="0"/>
        </w:numPr>
        <w:rPr>
          <w:rFonts w:ascii="Arial" w:hAnsi="Arial" w:eastAsia="Arial" w:cs="Arial"/>
          <w:color w:val="1C2833"/>
          <w:sz w:val="22"/>
          <w:szCs w:val="22"/>
        </w:rPr>
      </w:pPr>
    </w:p>
    <w:p w14:paraId="52B5A66F">
      <w:pPr>
        <w:pStyle w:val="16"/>
        <w:numPr>
          <w:numId w:val="0"/>
        </w:numPr>
        <w:rPr>
          <w:rFonts w:ascii="Arial" w:hAnsi="Arial" w:eastAsia="Arial" w:cs="Arial"/>
          <w:color w:val="1C2833"/>
          <w:sz w:val="22"/>
          <w:szCs w:val="22"/>
        </w:rPr>
      </w:pPr>
    </w:p>
    <w:p w14:paraId="2445BE13">
      <w:pPr>
        <w:pStyle w:val="16"/>
        <w:numPr>
          <w:numId w:val="0"/>
        </w:numPr>
        <w:rPr>
          <w:rFonts w:ascii="Arial" w:hAnsi="Arial" w:eastAsia="Arial" w:cs="Arial"/>
          <w:color w:val="1C2833"/>
          <w:sz w:val="22"/>
          <w:szCs w:val="22"/>
        </w:rPr>
      </w:pPr>
    </w:p>
    <w:p w14:paraId="00E587DC">
      <w:pPr>
        <w:pStyle w:val="16"/>
        <w:numPr>
          <w:numId w:val="0"/>
        </w:numPr>
        <w:rPr>
          <w:rFonts w:ascii="Arial" w:hAnsi="Arial" w:eastAsia="Arial" w:cs="Arial"/>
          <w:color w:val="1C2833"/>
          <w:sz w:val="22"/>
          <w:szCs w:val="22"/>
        </w:rPr>
      </w:pPr>
    </w:p>
    <w:p w14:paraId="32C3B247">
      <w:pPr>
        <w:pStyle w:val="16"/>
        <w:numPr>
          <w:numId w:val="0"/>
        </w:numPr>
        <w:rPr>
          <w:rFonts w:ascii="Arial" w:hAnsi="Arial" w:eastAsia="Arial" w:cs="Arial"/>
          <w:color w:val="1C2833"/>
          <w:sz w:val="22"/>
          <w:szCs w:val="22"/>
        </w:rPr>
      </w:pPr>
    </w:p>
    <w:p w14:paraId="6AAFE60D">
      <w:pPr>
        <w:pStyle w:val="16"/>
        <w:numPr>
          <w:numId w:val="0"/>
        </w:numPr>
        <w:rPr>
          <w:rFonts w:ascii="Arial" w:hAnsi="Arial" w:eastAsia="Arial" w:cs="Arial"/>
          <w:color w:val="1C2833"/>
          <w:sz w:val="22"/>
          <w:szCs w:val="22"/>
        </w:rPr>
      </w:pPr>
    </w:p>
    <w:p w14:paraId="1392BC54">
      <w:pPr>
        <w:pStyle w:val="16"/>
        <w:numPr>
          <w:numId w:val="0"/>
        </w:numPr>
        <w:rPr>
          <w:rFonts w:ascii="Arial" w:hAnsi="Arial" w:eastAsia="Arial" w:cs="Arial"/>
          <w:color w:val="1C2833"/>
          <w:sz w:val="22"/>
          <w:szCs w:val="22"/>
        </w:rPr>
      </w:pPr>
    </w:p>
    <w:p w14:paraId="315CE163">
      <w:pPr>
        <w:pStyle w:val="16"/>
        <w:numPr>
          <w:numId w:val="0"/>
        </w:numPr>
        <w:rPr>
          <w:rFonts w:ascii="Arial" w:hAnsi="Arial" w:eastAsia="Arial" w:cs="Arial"/>
          <w:color w:val="1C2833"/>
          <w:sz w:val="22"/>
          <w:szCs w:val="22"/>
        </w:rPr>
      </w:pPr>
    </w:p>
    <w:p w14:paraId="597089CD">
      <w:pPr>
        <w:pStyle w:val="16"/>
        <w:numPr>
          <w:numId w:val="0"/>
        </w:numPr>
        <w:rPr>
          <w:rFonts w:ascii="Arial" w:hAnsi="Arial" w:eastAsia="Arial" w:cs="Arial"/>
          <w:color w:val="1C2833"/>
          <w:sz w:val="22"/>
          <w:szCs w:val="22"/>
        </w:rPr>
      </w:pPr>
    </w:p>
    <w:p w14:paraId="6FBB7BAB">
      <w:pPr>
        <w:pStyle w:val="16"/>
        <w:numPr>
          <w:numId w:val="0"/>
        </w:numPr>
        <w:rPr>
          <w:rFonts w:ascii="Arial" w:hAnsi="Arial" w:eastAsia="Arial" w:cs="Arial"/>
          <w:color w:val="1C2833"/>
          <w:sz w:val="22"/>
          <w:szCs w:val="22"/>
        </w:rPr>
      </w:pPr>
    </w:p>
    <w:p w14:paraId="1E4B9E49">
      <w:pPr>
        <w:pStyle w:val="16"/>
        <w:numPr>
          <w:numId w:val="0"/>
        </w:numPr>
        <w:rPr>
          <w:rFonts w:ascii="Arial" w:hAnsi="Arial" w:eastAsia="Arial" w:cs="Arial"/>
          <w:color w:val="1C2833"/>
          <w:sz w:val="22"/>
          <w:szCs w:val="22"/>
        </w:rPr>
      </w:pPr>
    </w:p>
    <w:p w14:paraId="6410FB73">
      <w:pPr>
        <w:pStyle w:val="16"/>
        <w:numPr>
          <w:numId w:val="0"/>
        </w:numPr>
        <w:rPr>
          <w:rFonts w:ascii="Arial" w:hAnsi="Arial" w:eastAsia="Arial" w:cs="Arial"/>
          <w:color w:val="1C2833"/>
          <w:sz w:val="22"/>
          <w:szCs w:val="22"/>
        </w:rPr>
      </w:pPr>
    </w:p>
    <w:p w14:paraId="0E26D309">
      <w:pPr>
        <w:pStyle w:val="16"/>
        <w:numPr>
          <w:numId w:val="0"/>
        </w:numPr>
        <w:rPr>
          <w:rFonts w:ascii="Arial" w:hAnsi="Arial" w:eastAsia="Arial" w:cs="Arial"/>
          <w:color w:val="1C2833"/>
          <w:sz w:val="22"/>
          <w:szCs w:val="22"/>
        </w:rPr>
      </w:pPr>
    </w:p>
    <w:p w14:paraId="6F58B993">
      <w:pPr>
        <w:pStyle w:val="16"/>
        <w:numPr>
          <w:numId w:val="0"/>
        </w:numPr>
        <w:rPr>
          <w:rFonts w:ascii="Arial" w:hAnsi="Arial" w:eastAsia="Arial" w:cs="Arial"/>
          <w:color w:val="1C2833"/>
          <w:sz w:val="22"/>
          <w:szCs w:val="22"/>
        </w:rPr>
      </w:pPr>
    </w:p>
    <w:p w14:paraId="24364045">
      <w:pPr>
        <w:pStyle w:val="16"/>
        <w:numPr>
          <w:numId w:val="0"/>
        </w:numPr>
        <w:rPr>
          <w:rFonts w:ascii="Arial" w:hAnsi="Arial" w:eastAsia="Arial" w:cs="Arial"/>
          <w:color w:val="1C2833"/>
          <w:sz w:val="22"/>
          <w:szCs w:val="22"/>
        </w:rPr>
      </w:pPr>
    </w:p>
    <w:p w14:paraId="0D819E6A">
      <w:pPr>
        <w:pStyle w:val="16"/>
        <w:numPr>
          <w:numId w:val="0"/>
        </w:numPr>
        <w:rPr>
          <w:rFonts w:ascii="Arial" w:hAnsi="Arial" w:eastAsia="Arial" w:cs="Arial"/>
          <w:color w:val="1C2833"/>
          <w:sz w:val="22"/>
          <w:szCs w:val="22"/>
        </w:rPr>
      </w:pPr>
    </w:p>
    <w:p w14:paraId="6BE04738">
      <w:pPr>
        <w:pStyle w:val="16"/>
        <w:numPr>
          <w:numId w:val="0"/>
        </w:numPr>
        <w:rPr>
          <w:rFonts w:ascii="Arial" w:hAnsi="Arial" w:eastAsia="Arial" w:cs="Arial"/>
          <w:color w:val="1C2833"/>
          <w:sz w:val="22"/>
          <w:szCs w:val="22"/>
        </w:rPr>
      </w:pPr>
    </w:p>
    <w:p w14:paraId="05EDD97C">
      <w:pPr>
        <w:pStyle w:val="16"/>
        <w:numPr>
          <w:numId w:val="0"/>
        </w:numPr>
        <w:rPr>
          <w:rFonts w:ascii="Arial" w:hAnsi="Arial" w:eastAsia="Arial" w:cs="Arial"/>
          <w:color w:val="1C2833"/>
          <w:sz w:val="22"/>
          <w:szCs w:val="22"/>
        </w:rPr>
      </w:pPr>
    </w:p>
    <w:p w14:paraId="295D1AD6">
      <w:pPr>
        <w:pStyle w:val="16"/>
        <w:numPr>
          <w:numId w:val="0"/>
        </w:numPr>
        <w:rPr>
          <w:rFonts w:ascii="Arial" w:hAnsi="Arial" w:eastAsia="Arial" w:cs="Arial"/>
          <w:color w:val="1C2833"/>
          <w:sz w:val="22"/>
          <w:szCs w:val="22"/>
        </w:rPr>
      </w:pPr>
    </w:p>
    <w:p w14:paraId="5E1D5C44">
      <w:pPr>
        <w:pStyle w:val="16"/>
        <w:numPr>
          <w:numId w:val="0"/>
        </w:numPr>
        <w:rPr>
          <w:rFonts w:ascii="Arial" w:hAnsi="Arial" w:eastAsia="Arial" w:cs="Arial"/>
          <w:color w:val="1C2833"/>
          <w:sz w:val="22"/>
          <w:szCs w:val="22"/>
        </w:rPr>
      </w:pPr>
    </w:p>
    <w:p w14:paraId="1D000DC6">
      <w:pPr>
        <w:pStyle w:val="16"/>
        <w:numPr>
          <w:numId w:val="0"/>
        </w:numPr>
        <w:rPr>
          <w:rFonts w:ascii="Arial" w:hAnsi="Arial" w:eastAsia="Arial" w:cs="Arial"/>
          <w:color w:val="1C2833"/>
          <w:sz w:val="22"/>
          <w:szCs w:val="22"/>
        </w:rPr>
      </w:pPr>
    </w:p>
    <w:p w14:paraId="45FDBBE1">
      <w:pPr>
        <w:pStyle w:val="16"/>
        <w:numPr>
          <w:numId w:val="0"/>
        </w:numPr>
        <w:rPr>
          <w:rFonts w:ascii="Arial" w:hAnsi="Arial" w:eastAsia="Arial" w:cs="Arial"/>
          <w:color w:val="1C2833"/>
          <w:sz w:val="22"/>
          <w:szCs w:val="22"/>
        </w:rPr>
      </w:pPr>
    </w:p>
    <w:p w14:paraId="6BFDBE6C">
      <w:pPr>
        <w:pStyle w:val="16"/>
        <w:numPr>
          <w:numId w:val="0"/>
        </w:numPr>
        <w:rPr>
          <w:rFonts w:ascii="Arial" w:hAnsi="Arial" w:eastAsia="Arial" w:cs="Arial"/>
          <w:color w:val="1C2833"/>
          <w:sz w:val="22"/>
          <w:szCs w:val="22"/>
        </w:rPr>
      </w:pPr>
    </w:p>
    <w:p w14:paraId="5F89C22E">
      <w:pPr>
        <w:pStyle w:val="16"/>
        <w:numPr>
          <w:numId w:val="0"/>
        </w:numPr>
        <w:rPr>
          <w:rFonts w:ascii="Arial" w:hAnsi="Arial" w:eastAsia="Arial" w:cs="Arial"/>
          <w:color w:val="1C2833"/>
          <w:sz w:val="22"/>
          <w:szCs w:val="22"/>
        </w:rPr>
      </w:pPr>
    </w:p>
    <w:p w14:paraId="14936EC0">
      <w:pPr>
        <w:pStyle w:val="16"/>
        <w:numPr>
          <w:numId w:val="0"/>
        </w:numPr>
        <w:rPr>
          <w:rFonts w:ascii="Arial" w:hAnsi="Arial" w:eastAsia="Arial" w:cs="Arial"/>
          <w:color w:val="1C2833"/>
          <w:sz w:val="22"/>
          <w:szCs w:val="22"/>
        </w:rPr>
      </w:pPr>
    </w:p>
    <w:p w14:paraId="3FD91E17">
      <w:pPr>
        <w:pStyle w:val="16"/>
        <w:numPr>
          <w:numId w:val="0"/>
        </w:numPr>
        <w:rPr>
          <w:rFonts w:ascii="Arial" w:hAnsi="Arial" w:eastAsia="Arial" w:cs="Arial"/>
          <w:color w:val="1C2833"/>
          <w:sz w:val="22"/>
          <w:szCs w:val="22"/>
        </w:rPr>
      </w:pPr>
    </w:p>
    <w:p w14:paraId="57BFE6F6">
      <w:pPr>
        <w:pStyle w:val="16"/>
        <w:numPr>
          <w:numId w:val="0"/>
        </w:numPr>
        <w:rPr>
          <w:rFonts w:ascii="Arial" w:hAnsi="Arial" w:eastAsia="Arial" w:cs="Arial"/>
          <w:color w:val="1C2833"/>
          <w:sz w:val="22"/>
          <w:szCs w:val="22"/>
        </w:rPr>
      </w:pPr>
    </w:p>
    <w:p w14:paraId="27362478">
      <w:pPr>
        <w:pStyle w:val="16"/>
        <w:numPr>
          <w:numId w:val="0"/>
        </w:numPr>
        <w:rPr>
          <w:rFonts w:ascii="Arial" w:hAnsi="Arial" w:eastAsia="Arial" w:cs="Arial"/>
          <w:color w:val="1C2833"/>
          <w:sz w:val="22"/>
          <w:szCs w:val="22"/>
        </w:rPr>
      </w:pPr>
    </w:p>
    <w:p w14:paraId="6A8BD819">
      <w:pPr>
        <w:pStyle w:val="16"/>
        <w:numPr>
          <w:numId w:val="0"/>
        </w:numPr>
        <w:rPr>
          <w:rFonts w:ascii="Arial" w:hAnsi="Arial" w:eastAsia="Arial" w:cs="Arial"/>
          <w:color w:val="1C2833"/>
          <w:sz w:val="22"/>
          <w:szCs w:val="22"/>
        </w:rPr>
      </w:pPr>
    </w:p>
    <w:p w14:paraId="14BBABF3">
      <w:pPr>
        <w:pStyle w:val="16"/>
        <w:numPr>
          <w:numId w:val="0"/>
        </w:numPr>
        <w:rPr>
          <w:rFonts w:ascii="Arial" w:hAnsi="Arial" w:eastAsia="Arial" w:cs="Arial"/>
          <w:color w:val="1C2833"/>
          <w:sz w:val="22"/>
          <w:szCs w:val="22"/>
        </w:rPr>
      </w:pPr>
    </w:p>
    <w:p w14:paraId="1ED0864A">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7726"/>
      </w:tblGrid>
      <w:tr w14:paraId="4465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nil"/>
              <w:left w:val="nil"/>
              <w:bottom w:val="nil"/>
              <w:right w:val="nil"/>
            </w:tcBorders>
            <w:shd w:val="clear" w:color="auto" w:fill="92D050"/>
            <w:tcMar>
              <w:top w:w="120" w:type="dxa"/>
              <w:left w:w="180" w:type="dxa"/>
              <w:bottom w:w="120" w:type="dxa"/>
              <w:right w:w="180" w:type="dxa"/>
            </w:tcMar>
            <w:vAlign w:val="center"/>
          </w:tcPr>
          <w:p w14:paraId="201EBEF6">
            <w:pPr>
              <w:jc w:val="center"/>
            </w:pPr>
            <w:r>
              <w:rPr>
                <w:rFonts w:ascii="Arial" w:hAnsi="Arial" w:eastAsia="Arial" w:cs="Arial"/>
                <w:b/>
                <w:bCs/>
                <w:color w:val="FFFFFF"/>
                <w:sz w:val="22"/>
                <w:szCs w:val="22"/>
              </w:rPr>
              <w:t>WEEK 6</w:t>
            </w:r>
          </w:p>
        </w:tc>
        <w:tc>
          <w:tcPr>
            <w:tcW w:w="7726" w:type="dxa"/>
            <w:tcBorders>
              <w:top w:val="nil"/>
              <w:left w:val="nil"/>
              <w:bottom w:val="nil"/>
              <w:right w:val="nil"/>
            </w:tcBorders>
            <w:shd w:val="clear" w:color="auto" w:fill="D6EAF8"/>
            <w:tcMar>
              <w:top w:w="120" w:type="dxa"/>
              <w:left w:w="220" w:type="dxa"/>
              <w:bottom w:w="120" w:type="dxa"/>
              <w:right w:w="180" w:type="dxa"/>
            </w:tcMar>
            <w:vAlign w:val="center"/>
          </w:tcPr>
          <w:p w14:paraId="463595D2">
            <w:r>
              <w:rPr>
                <w:rFonts w:ascii="Arial" w:hAnsi="Arial" w:eastAsia="Arial" w:cs="Arial"/>
                <w:b/>
                <w:bCs/>
                <w:color w:val="1B4F72"/>
                <w:sz w:val="26"/>
                <w:szCs w:val="26"/>
              </w:rPr>
              <w:t>Questioning Techniques &amp; Dialogue-Based Training</w:t>
            </w:r>
          </w:p>
        </w:tc>
      </w:tr>
    </w:tbl>
    <w:p w14:paraId="47408237">
      <w:pPr>
        <w:spacing w:after="120"/>
      </w:pPr>
    </w:p>
    <w:p w14:paraId="5C8CB5A3">
      <w:pPr>
        <w:spacing w:before="60" w:after="120"/>
      </w:pPr>
      <w:r>
        <w:rPr>
          <w:rFonts w:ascii="Arial" w:hAnsi="Arial" w:eastAsia="Arial" w:cs="Arial"/>
          <w:color w:val="1C2833"/>
          <w:sz w:val="22"/>
          <w:szCs w:val="22"/>
        </w:rPr>
        <w:t>The quality of a training session is often determined not by what the trainer says but by what the trainer asks. A skilled trainer-supervisor can move a teacher from surface description ('the lesson went fine') to genuine professional reflection ('I notice I always avoid open-ended tasks with this group — why might that be?') using nothing more than a sequence of well-constructed questions. Week 6 is devoted to this art.</w:t>
      </w:r>
    </w:p>
    <w:p w14:paraId="11845A56">
      <w:pPr>
        <w:spacing w:after="120"/>
      </w:pPr>
    </w:p>
    <w:p w14:paraId="00037AF5">
      <w:pPr>
        <w:pStyle w:val="5"/>
      </w:pPr>
      <w:r>
        <w:rPr>
          <w:rFonts w:ascii="Arial" w:hAnsi="Arial" w:eastAsia="Arial" w:cs="Arial"/>
          <w:b/>
          <w:bCs/>
          <w:color w:val="0E6655"/>
          <w:sz w:val="22"/>
          <w:szCs w:val="22"/>
        </w:rPr>
        <w:t>Topic 1: The Taxonomy of Questions in Training</w:t>
      </w:r>
    </w:p>
    <w:p w14:paraId="19D86C5E">
      <w:pPr>
        <w:spacing w:before="60" w:after="120"/>
      </w:pPr>
      <w:r>
        <w:rPr>
          <w:rFonts w:ascii="Arial" w:hAnsi="Arial" w:eastAsia="Arial" w:cs="Arial"/>
          <w:color w:val="1C2833"/>
          <w:sz w:val="22"/>
          <w:szCs w:val="22"/>
        </w:rPr>
        <w:t>Different question types serve different purposes. Display questions (with a predetermined right answer) are useful for checking retention. Referential questions (genuinely open) activate higher-order thinking and build professional dialogue. Probing questions follow up on a participant's response to push for greater depth or specificity. Clarifying questions ensure mutual understanding before building on a response. Hypothetical questions disrupt comfortable assumptions. Reflective questions turn attention inward. Participants map each question type to its appropriate use in training and supervision contexts and build a working question bank across the week.</w:t>
      </w:r>
    </w:p>
    <w:p w14:paraId="638727BA">
      <w:pPr>
        <w:spacing w:after="120"/>
      </w:pPr>
    </w:p>
    <w:p w14:paraId="155D461E">
      <w:pPr>
        <w:pStyle w:val="5"/>
      </w:pPr>
      <w:r>
        <w:rPr>
          <w:rFonts w:ascii="Arial" w:hAnsi="Arial" w:eastAsia="Arial" w:cs="Arial"/>
          <w:b/>
          <w:bCs/>
          <w:color w:val="0E6655"/>
          <w:sz w:val="22"/>
          <w:szCs w:val="22"/>
        </w:rPr>
        <w:t>Topic 2: Socratic Questioning in Supervision &amp; Coaching</w:t>
      </w:r>
    </w:p>
    <w:p w14:paraId="03FCAB3A">
      <w:pPr>
        <w:spacing w:before="60" w:after="120"/>
      </w:pPr>
      <w:r>
        <w:rPr>
          <w:rFonts w:ascii="Arial" w:hAnsi="Arial" w:eastAsia="Arial" w:cs="Arial"/>
          <w:color w:val="1C2833"/>
          <w:sz w:val="22"/>
          <w:szCs w:val="22"/>
        </w:rPr>
        <w:t>The Socratic method — using questions to guide a learner toward understanding rather than providing direct answers — is a cornerstone of effective supervision and coaching. A supervisor who responds to every teacher's problem with a solution creates dependence; one who responds with a carefully sequenced question creates capacity. Participants practice the discipline of not answering — of sitting with silence, trusting the question, and allowing teachers to arrive at their own insights. The concept of the 'ladder of inference' (Argyris) is introduced as a tool for helping supervisees examine the assumptions underlying their professional decisions.</w:t>
      </w:r>
    </w:p>
    <w:p w14:paraId="179C32EA">
      <w:pPr>
        <w:spacing w:after="120"/>
      </w:pPr>
    </w:p>
    <w:p w14:paraId="101DE5CE">
      <w:pPr>
        <w:pStyle w:val="5"/>
      </w:pPr>
      <w:r>
        <w:rPr>
          <w:rFonts w:ascii="Arial" w:hAnsi="Arial" w:eastAsia="Arial" w:cs="Arial"/>
          <w:b/>
          <w:bCs/>
          <w:color w:val="0E6655"/>
          <w:sz w:val="22"/>
          <w:szCs w:val="22"/>
        </w:rPr>
        <w:t>Topic 3: CCQs &amp; ICQs in Training Contexts</w:t>
      </w:r>
    </w:p>
    <w:p w14:paraId="7B2E28F0">
      <w:pPr>
        <w:spacing w:before="60" w:after="120"/>
      </w:pPr>
      <w:r>
        <w:rPr>
          <w:rFonts w:ascii="Arial" w:hAnsi="Arial" w:eastAsia="Arial" w:cs="Arial"/>
          <w:color w:val="1C2833"/>
          <w:sz w:val="22"/>
          <w:szCs w:val="22"/>
        </w:rPr>
        <w:t>Concept Check Questions (CCQs) and Instruction Check Questions (ICQs) are tools that EFL teachers know well from the classroom. In this session, participants discover that these tools are just as powerful in training contexts. CCQs help trainers verify that participants have genuinely understood a new concept before building on it. ICQs ensure that participants have understood a task well enough to carry it out without confusion. Effective use of CCQs and ICQs prevents the expensive mistake of proceeding with a task or building on a concept that participants have not yet grasped.</w:t>
      </w:r>
    </w:p>
    <w:p w14:paraId="152A0431">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962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0BD650A4">
            <w:pPr>
              <w:spacing w:before="80" w:after="100"/>
            </w:pPr>
            <w:r>
              <w:rPr>
                <w:rFonts w:ascii="Arial" w:hAnsi="Arial" w:eastAsia="Arial" w:cs="Arial"/>
                <w:b/>
                <w:bCs/>
                <w:color w:val="1B4F72"/>
                <w:sz w:val="24"/>
                <w:szCs w:val="24"/>
              </w:rPr>
              <w:t>Learning Outcomes — Week 6</w:t>
            </w:r>
          </w:p>
          <w:p w14:paraId="6DE3928E">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Formulate and deploy high-order, reflective, and probing questions to promote genuine professional thinking in training sessions</w:t>
            </w:r>
          </w:p>
          <w:p w14:paraId="534DD487">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Apply Socratic questioning techniques in post-observation conferences and coaching dialogues, resisting the urge to provide direct answers</w:t>
            </w:r>
          </w:p>
          <w:p w14:paraId="261356BD">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Write effective CCQs and ICQs for training session design and use them fluently in live facilitation</w:t>
            </w:r>
          </w:p>
          <w:p w14:paraId="6CE6FCA6">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Develop a personal question bank of 50 purposeful questions organised by type and function for use in training and supervision contexts</w:t>
            </w:r>
          </w:p>
        </w:tc>
      </w:tr>
    </w:tbl>
    <w:p w14:paraId="071FFB3A">
      <w:pPr>
        <w:spacing w:after="120"/>
      </w:pPr>
    </w:p>
    <w:p w14:paraId="14EAB031">
      <w:pPr>
        <w:pStyle w:val="5"/>
      </w:pPr>
      <w:r>
        <w:rPr>
          <w:rFonts w:ascii="Arial" w:hAnsi="Arial" w:eastAsia="Arial" w:cs="Arial"/>
          <w:b/>
          <w:bCs/>
          <w:color w:val="0E6655"/>
          <w:sz w:val="22"/>
          <w:szCs w:val="22"/>
        </w:rPr>
        <w:t>Week 6 Activities</w:t>
      </w:r>
    </w:p>
    <w:p w14:paraId="504776A9">
      <w:pPr>
        <w:pStyle w:val="16"/>
        <w:numPr>
          <w:ilvl w:val="0"/>
          <w:numId w:val="2"/>
        </w:numPr>
      </w:pPr>
      <w:r>
        <w:rPr>
          <w:rFonts w:ascii="Arial" w:hAnsi="Arial" w:eastAsia="Arial" w:cs="Arial"/>
          <w:color w:val="1C2833"/>
          <w:sz w:val="22"/>
          <w:szCs w:val="22"/>
        </w:rPr>
        <w:t>Question Taxonomy Sort: Participants receive 30 written questions and classify each by type and level. Borderline cases are discussed in groups, surfacing the contextual factors that determine a question's function. The activity develops both analytical awareness and practical vocabulary.</w:t>
      </w:r>
    </w:p>
    <w:p w14:paraId="35142B6E">
      <w:pPr>
        <w:pStyle w:val="16"/>
        <w:numPr>
          <w:ilvl w:val="0"/>
          <w:numId w:val="2"/>
        </w:numPr>
      </w:pPr>
      <w:r>
        <w:rPr>
          <w:rFonts w:ascii="Arial" w:hAnsi="Arial" w:eastAsia="Arial" w:cs="Arial"/>
          <w:color w:val="1C2833"/>
          <w:sz w:val="22"/>
          <w:szCs w:val="22"/>
        </w:rPr>
        <w:t>Socratic Coaching Triads: In groups of three, participants practice a 10-minute coaching conversation in which the coach uses only questions — no directives, no advice, no evaluations. One participant plays the teacher with a genuine professional challenge; one plays the coach; one observes using a structured tool. Roles rotate, and the debrief focuses on the experience of sitting with silence and resisting the impulse to provide answers.</w:t>
      </w:r>
    </w:p>
    <w:p w14:paraId="70AB720E">
      <w:pPr>
        <w:pStyle w:val="16"/>
        <w:numPr>
          <w:ilvl w:val="0"/>
          <w:numId w:val="2"/>
        </w:numPr>
      </w:pPr>
      <w:r>
        <w:rPr>
          <w:rFonts w:ascii="Arial" w:hAnsi="Arial" w:eastAsia="Arial" w:cs="Arial"/>
          <w:color w:val="1C2833"/>
          <w:sz w:val="22"/>
          <w:szCs w:val="22"/>
        </w:rPr>
        <w:t>CCQ/ICQ Writing Workshop: Participants design CCQs and ICQs for three different training tasks (explaining a concept, launching a group activity, introducing a feedback model). They test their questions on peers, collect feedback, and revise.</w:t>
      </w:r>
    </w:p>
    <w:p w14:paraId="205A93E8">
      <w:pPr>
        <w:spacing w:after="120"/>
      </w:pPr>
    </w:p>
    <w:p w14:paraId="3656C3B5">
      <w:pPr>
        <w:spacing w:after="120"/>
      </w:pPr>
    </w:p>
    <w:p w14:paraId="1526B4C2">
      <w:pPr>
        <w:spacing w:after="120"/>
      </w:pPr>
    </w:p>
    <w:p w14:paraId="20E9F190">
      <w:pPr>
        <w:spacing w:after="120"/>
      </w:pPr>
    </w:p>
    <w:p w14:paraId="14E1DC67">
      <w:pPr>
        <w:spacing w:after="120"/>
      </w:pPr>
    </w:p>
    <w:p w14:paraId="50307C81">
      <w:pPr>
        <w:spacing w:after="120"/>
      </w:pPr>
    </w:p>
    <w:p w14:paraId="2F7DD373">
      <w:pPr>
        <w:spacing w:after="120"/>
      </w:pPr>
    </w:p>
    <w:p w14:paraId="6F22B3ED">
      <w:pPr>
        <w:spacing w:after="120"/>
      </w:pPr>
    </w:p>
    <w:p w14:paraId="11243DAA">
      <w:pPr>
        <w:spacing w:after="120"/>
      </w:pPr>
    </w:p>
    <w:p w14:paraId="2A9E6387">
      <w:pPr>
        <w:spacing w:after="120"/>
      </w:pPr>
    </w:p>
    <w:p w14:paraId="4F9222FD">
      <w:pPr>
        <w:spacing w:after="120"/>
      </w:pPr>
    </w:p>
    <w:p w14:paraId="2F93D1CD">
      <w:pPr>
        <w:spacing w:after="120"/>
      </w:pPr>
    </w:p>
    <w:p w14:paraId="64DB6F87">
      <w:pPr>
        <w:spacing w:after="120"/>
      </w:pPr>
    </w:p>
    <w:p w14:paraId="5D2BE993">
      <w:pPr>
        <w:spacing w:after="120"/>
      </w:pPr>
    </w:p>
    <w:p w14:paraId="1683D4B4">
      <w:pPr>
        <w:spacing w:after="120"/>
      </w:pPr>
    </w:p>
    <w:p w14:paraId="551E9722">
      <w:pPr>
        <w:spacing w:after="120"/>
      </w:pPr>
    </w:p>
    <w:p w14:paraId="642A9518">
      <w:pPr>
        <w:spacing w:after="120"/>
      </w:pPr>
    </w:p>
    <w:p w14:paraId="2CBDBC6D">
      <w:pPr>
        <w:spacing w:after="120"/>
      </w:pPr>
    </w:p>
    <w:p w14:paraId="20C7C5F6">
      <w:pPr>
        <w:spacing w:after="120"/>
      </w:pPr>
    </w:p>
    <w:p w14:paraId="2BB697FC">
      <w:pPr>
        <w:spacing w:after="120"/>
      </w:pPr>
    </w:p>
    <w:p w14:paraId="2D0860BF">
      <w:pPr>
        <w:spacing w:after="120"/>
      </w:pPr>
    </w:p>
    <w:p w14:paraId="7E9909DA">
      <w:pPr>
        <w:spacing w:after="120"/>
      </w:pPr>
    </w:p>
    <w:p w14:paraId="0E67BADC">
      <w:pPr>
        <w:spacing w:after="120"/>
      </w:pPr>
    </w:p>
    <w:p w14:paraId="09862D40">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7726"/>
      </w:tblGrid>
      <w:tr w14:paraId="03F8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nil"/>
              <w:left w:val="nil"/>
              <w:bottom w:val="nil"/>
              <w:right w:val="nil"/>
            </w:tcBorders>
            <w:shd w:val="clear" w:color="auto" w:fill="92D050"/>
            <w:tcMar>
              <w:top w:w="120" w:type="dxa"/>
              <w:left w:w="180" w:type="dxa"/>
              <w:bottom w:w="120" w:type="dxa"/>
              <w:right w:w="180" w:type="dxa"/>
            </w:tcMar>
            <w:vAlign w:val="center"/>
          </w:tcPr>
          <w:p w14:paraId="23A67284">
            <w:pPr>
              <w:jc w:val="center"/>
            </w:pPr>
            <w:r>
              <w:rPr>
                <w:rFonts w:ascii="Arial" w:hAnsi="Arial" w:eastAsia="Arial" w:cs="Arial"/>
                <w:b/>
                <w:bCs/>
                <w:color w:val="FFFFFF"/>
                <w:sz w:val="22"/>
                <w:szCs w:val="22"/>
              </w:rPr>
              <w:t>WEEK 7</w:t>
            </w:r>
          </w:p>
        </w:tc>
        <w:tc>
          <w:tcPr>
            <w:tcW w:w="7726" w:type="dxa"/>
            <w:tcBorders>
              <w:top w:val="nil"/>
              <w:left w:val="nil"/>
              <w:bottom w:val="nil"/>
              <w:right w:val="nil"/>
            </w:tcBorders>
            <w:shd w:val="clear" w:color="auto" w:fill="D6EAF8"/>
            <w:tcMar>
              <w:top w:w="120" w:type="dxa"/>
              <w:left w:w="220" w:type="dxa"/>
              <w:bottom w:w="120" w:type="dxa"/>
              <w:right w:w="180" w:type="dxa"/>
            </w:tcMar>
            <w:vAlign w:val="center"/>
          </w:tcPr>
          <w:p w14:paraId="14ADF6F5">
            <w:r>
              <w:rPr>
                <w:rFonts w:ascii="Arial" w:hAnsi="Arial" w:eastAsia="Arial" w:cs="Arial"/>
                <w:b/>
                <w:bCs/>
                <w:color w:val="1B4F72"/>
                <w:sz w:val="26"/>
                <w:szCs w:val="26"/>
              </w:rPr>
              <w:t>Feedback Frameworks &amp; Constructive Communication</w:t>
            </w:r>
          </w:p>
        </w:tc>
      </w:tr>
    </w:tbl>
    <w:p w14:paraId="53BD04EC">
      <w:pPr>
        <w:spacing w:after="120"/>
      </w:pPr>
    </w:p>
    <w:p w14:paraId="60692A92">
      <w:pPr>
        <w:spacing w:before="60" w:after="120"/>
      </w:pPr>
      <w:r>
        <w:rPr>
          <w:rFonts w:ascii="Arial" w:hAnsi="Arial" w:eastAsia="Arial" w:cs="Arial"/>
          <w:color w:val="1C2833"/>
          <w:sz w:val="22"/>
          <w:szCs w:val="22"/>
        </w:rPr>
        <w:t>Feedback is the engine of professional development. Without it, practice does not improve — it simply repeats itself. But feedback that is poorly timed, vaguely worded, or insufficiently specific does not develop; it demoralises or merely confuses. Week 7 builds participants' feedback competency systematically, moving from the principles of effective feedback through a range of established frameworks and into live, supported practice.</w:t>
      </w:r>
    </w:p>
    <w:p w14:paraId="3C1CC72E">
      <w:pPr>
        <w:spacing w:after="120"/>
      </w:pPr>
    </w:p>
    <w:p w14:paraId="4342014D">
      <w:pPr>
        <w:pStyle w:val="5"/>
      </w:pPr>
      <w:r>
        <w:rPr>
          <w:rFonts w:ascii="Arial" w:hAnsi="Arial" w:eastAsia="Arial" w:cs="Arial"/>
          <w:b/>
          <w:bCs/>
          <w:color w:val="0E6655"/>
          <w:sz w:val="22"/>
          <w:szCs w:val="22"/>
        </w:rPr>
        <w:t>Topic 1: The Architecture of Effective Feedback</w:t>
      </w:r>
    </w:p>
    <w:p w14:paraId="523E0983">
      <w:pPr>
        <w:spacing w:before="60" w:after="120"/>
      </w:pPr>
      <w:r>
        <w:rPr>
          <w:rFonts w:ascii="Arial" w:hAnsi="Arial" w:eastAsia="Arial" w:cs="Arial"/>
          <w:color w:val="1C2833"/>
          <w:sz w:val="22"/>
          <w:szCs w:val="22"/>
        </w:rPr>
        <w:t>Effective feedback shares four essential characteristics. It is specific: it refers to concrete, observable behaviour or action, not to general impressions. It is timely: it arrives close enough in time to the observed performance to be actionable. It is actionable: it tells (or leads the recipient toward discovering) what to do differently, not just what went wrong. And it is evidence-based: it is grounded in what was observed or produced, not in the trainer's subjective interpretation. This session examines each characteristic in depth and introduces the critical distinction between evaluative language ('that was unclear') and descriptive language ('I noticed three students did not follow the task instruction').</w:t>
      </w:r>
    </w:p>
    <w:p w14:paraId="1FF0F390">
      <w:pPr>
        <w:spacing w:after="120"/>
      </w:pPr>
    </w:p>
    <w:p w14:paraId="00483111">
      <w:pPr>
        <w:pStyle w:val="5"/>
      </w:pPr>
      <w:r>
        <w:rPr>
          <w:rFonts w:ascii="Arial" w:hAnsi="Arial" w:eastAsia="Arial" w:cs="Arial"/>
          <w:b/>
          <w:bCs/>
          <w:color w:val="0E6655"/>
          <w:sz w:val="22"/>
          <w:szCs w:val="22"/>
        </w:rPr>
        <w:t>Topic 2: Feedback Models for Training &amp; Supervision</w:t>
      </w:r>
    </w:p>
    <w:p w14:paraId="6AA137FE">
      <w:pPr>
        <w:spacing w:before="60" w:after="120"/>
      </w:pPr>
      <w:r>
        <w:rPr>
          <w:rFonts w:ascii="Arial" w:hAnsi="Arial" w:eastAsia="Arial" w:cs="Arial"/>
          <w:color w:val="1C2833"/>
          <w:sz w:val="22"/>
          <w:szCs w:val="22"/>
        </w:rPr>
        <w:t>Four feedback frameworks are explored in depth: The Feedback Sandwich (acknowledge – develop – acknowledge) and its well-documented limitations — recipients learn to discount the genuine feedback because they expect the closing positive to follow; the BET Model (Behaviour – Evidence – Target), which grounds feedback in observable behaviour and points toward a specific, actionable improvement target; the DESC Framework (Describe – Express – Specify – Consequences), particularly useful for addressing interpersonal or professional conduct; and the GROW Model (Goal – Reality – Options – Will), which reframes feedback as a coaching conversation. Participants learn to select models based on context, purpose, and the professional relationship.</w:t>
      </w:r>
    </w:p>
    <w:p w14:paraId="597D4943">
      <w:pPr>
        <w:spacing w:after="120"/>
      </w:pPr>
    </w:p>
    <w:p w14:paraId="0EC74EDA">
      <w:pPr>
        <w:pStyle w:val="5"/>
      </w:pPr>
      <w:r>
        <w:rPr>
          <w:rFonts w:ascii="Arial" w:hAnsi="Arial" w:eastAsia="Arial" w:cs="Arial"/>
          <w:b/>
          <w:bCs/>
          <w:color w:val="0E6655"/>
          <w:sz w:val="22"/>
          <w:szCs w:val="22"/>
        </w:rPr>
        <w:t>Topic 3: Written Feedback in Supervision — Observation Reports</w:t>
      </w:r>
    </w:p>
    <w:p w14:paraId="208547BC">
      <w:pPr>
        <w:spacing w:before="60" w:after="120"/>
      </w:pPr>
      <w:r>
        <w:rPr>
          <w:rFonts w:ascii="Arial" w:hAnsi="Arial" w:eastAsia="Arial" w:cs="Arial"/>
          <w:color w:val="1C2833"/>
          <w:sz w:val="22"/>
          <w:szCs w:val="22"/>
        </w:rPr>
        <w:t>Written feedback is permanent. A post-observation report exists in a teacher's professional file, potentially for years. The responsibility this carries is significant. Participants learn to write professional observation reports that balance accurate, evidence-based description with genuinely developmental guidance, that commend specific strengths with the same precision applied to areas for development, and that use professional tone and language throughout. The practice of writing feedback that promotes reflection rather than defensive reaction is central to this session.</w:t>
      </w:r>
    </w:p>
    <w:p w14:paraId="0E83B864">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3C9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409CC6E3">
            <w:pPr>
              <w:spacing w:before="80" w:after="100"/>
            </w:pPr>
            <w:r>
              <w:rPr>
                <w:rFonts w:ascii="Arial" w:hAnsi="Arial" w:eastAsia="Arial" w:cs="Arial"/>
                <w:b/>
                <w:bCs/>
                <w:color w:val="1B4F72"/>
                <w:sz w:val="24"/>
                <w:szCs w:val="24"/>
              </w:rPr>
              <w:t>Learning Outcomes — Week 7</w:t>
            </w:r>
          </w:p>
          <w:p w14:paraId="4557A15A">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Apply at least two evidence-based feedback models (BET, GROW, DESC) appropriately across a range of training and supervision contexts</w:t>
            </w:r>
          </w:p>
          <w:p w14:paraId="34F9BD63">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Deliver verbal feedback that is specific, timely, evidence-based, and actionable, distinguishing throughout between descriptive and evaluative language</w:t>
            </w:r>
          </w:p>
          <w:p w14:paraId="0EF21BA5">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Write a professional post-observation report that balances commendation and developmental guidance with accuracy and professional tone</w:t>
            </w:r>
          </w:p>
          <w:p w14:paraId="41647EF9">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Recognise and avoid common feedback failure modes, including the Feedback Sandwich's limitations, vague positivity, and unsolicited advice</w:t>
            </w:r>
          </w:p>
        </w:tc>
      </w:tr>
    </w:tbl>
    <w:p w14:paraId="24D42D71">
      <w:pPr>
        <w:spacing w:after="120"/>
      </w:pPr>
    </w:p>
    <w:p w14:paraId="22E1F83A">
      <w:pPr>
        <w:pStyle w:val="5"/>
      </w:pPr>
      <w:r>
        <w:rPr>
          <w:rFonts w:ascii="Arial" w:hAnsi="Arial" w:eastAsia="Arial" w:cs="Arial"/>
          <w:b/>
          <w:bCs/>
          <w:color w:val="0E6655"/>
          <w:sz w:val="22"/>
          <w:szCs w:val="22"/>
        </w:rPr>
        <w:t>Week 7 Activities</w:t>
      </w:r>
    </w:p>
    <w:p w14:paraId="5CF3BD76">
      <w:pPr>
        <w:pStyle w:val="16"/>
        <w:numPr>
          <w:ilvl w:val="0"/>
          <w:numId w:val="2"/>
        </w:numPr>
      </w:pPr>
      <w:r>
        <w:rPr>
          <w:rFonts w:ascii="Arial" w:hAnsi="Arial" w:eastAsia="Arial" w:cs="Arial"/>
          <w:color w:val="1C2833"/>
          <w:sz w:val="22"/>
          <w:szCs w:val="22"/>
        </w:rPr>
        <w:t>Feedback Makeover Lab: Participants receive five written feedback examples ranging from poor to good. Using the BET framework, they analyse each for specificity, evidence-basis, and actionability, then rewrite the weaker examples. Rewrites are compared and discussed with a peer using a structured response protocol.</w:t>
      </w:r>
    </w:p>
    <w:p w14:paraId="05F76D50">
      <w:pPr>
        <w:pStyle w:val="16"/>
        <w:numPr>
          <w:ilvl w:val="0"/>
          <w:numId w:val="2"/>
        </w:numPr>
      </w:pPr>
      <w:r>
        <w:rPr>
          <w:rFonts w:ascii="Arial" w:hAnsi="Arial" w:eastAsia="Arial" w:cs="Arial"/>
          <w:color w:val="1C2833"/>
          <w:sz w:val="22"/>
          <w:szCs w:val="22"/>
        </w:rPr>
        <w:t>Live Feedback Triads: Using a 10-minute video clip of a teaching sample, participants work in triads. One participant delivers verbal feedback to a peer (who acts as the observed teacher), while the third peer-coaches the feedback-giver using the BET observation tool. Roles rotate across three rounds. Debrief surfaces patterns across the group.</w:t>
      </w:r>
    </w:p>
    <w:p w14:paraId="0E29E3A0">
      <w:pPr>
        <w:pStyle w:val="16"/>
        <w:numPr>
          <w:ilvl w:val="0"/>
          <w:numId w:val="2"/>
        </w:numPr>
      </w:pPr>
      <w:r>
        <w:rPr>
          <w:rFonts w:ascii="Arial" w:hAnsi="Arial" w:eastAsia="Arial" w:cs="Arial"/>
          <w:color w:val="1C2833"/>
          <w:sz w:val="22"/>
          <w:szCs w:val="22"/>
        </w:rPr>
        <w:t>Observation Report Draft: Participants receive a written classroom observation script (a detailed transcript of a 30-minute lesson) and write a complete post-observation report using the provided report template. Reports are peer-reviewed using a shared rubric, then submitted to the facilitator for written feedback.</w:t>
      </w:r>
    </w:p>
    <w:p w14:paraId="4E4754A8">
      <w:pPr>
        <w:spacing w:after="120"/>
      </w:pPr>
    </w:p>
    <w:p w14:paraId="4403EF08">
      <w:pPr>
        <w:spacing w:after="120"/>
      </w:pPr>
    </w:p>
    <w:p w14:paraId="771C2570">
      <w:pPr>
        <w:spacing w:after="120"/>
      </w:pPr>
    </w:p>
    <w:p w14:paraId="0FB9B327">
      <w:pPr>
        <w:spacing w:after="120"/>
      </w:pPr>
    </w:p>
    <w:p w14:paraId="2D96BA1A">
      <w:pPr>
        <w:spacing w:after="120"/>
      </w:pPr>
    </w:p>
    <w:p w14:paraId="014087A9">
      <w:pPr>
        <w:spacing w:after="120"/>
      </w:pPr>
    </w:p>
    <w:p w14:paraId="71ED0117">
      <w:pPr>
        <w:spacing w:after="120"/>
      </w:pPr>
    </w:p>
    <w:p w14:paraId="6C993C76">
      <w:pPr>
        <w:spacing w:after="120"/>
      </w:pPr>
    </w:p>
    <w:p w14:paraId="0152BCC6">
      <w:pPr>
        <w:spacing w:after="120"/>
      </w:pPr>
    </w:p>
    <w:p w14:paraId="190ED855">
      <w:pPr>
        <w:spacing w:after="120"/>
      </w:pPr>
    </w:p>
    <w:p w14:paraId="5679B25D">
      <w:pPr>
        <w:spacing w:after="120"/>
      </w:pPr>
    </w:p>
    <w:p w14:paraId="4629EA94">
      <w:pPr>
        <w:spacing w:after="120"/>
      </w:pPr>
    </w:p>
    <w:p w14:paraId="04053757">
      <w:pPr>
        <w:spacing w:after="120"/>
      </w:pPr>
    </w:p>
    <w:p w14:paraId="138EF019">
      <w:pPr>
        <w:spacing w:after="120"/>
      </w:pPr>
    </w:p>
    <w:p w14:paraId="3E73BE05">
      <w:pPr>
        <w:spacing w:after="120"/>
      </w:pPr>
    </w:p>
    <w:p w14:paraId="4D112EE5">
      <w:pPr>
        <w:spacing w:after="120"/>
      </w:pPr>
    </w:p>
    <w:p w14:paraId="2169D936">
      <w:pPr>
        <w:spacing w:after="120"/>
      </w:pPr>
    </w:p>
    <w:p w14:paraId="728AFC3D">
      <w:pPr>
        <w:spacing w:after="120"/>
      </w:pPr>
    </w:p>
    <w:p w14:paraId="465D025C">
      <w:pPr>
        <w:spacing w:after="120"/>
      </w:pPr>
    </w:p>
    <w:p w14:paraId="1E837D9B">
      <w:pPr>
        <w:spacing w:after="120"/>
      </w:pPr>
    </w:p>
    <w:p w14:paraId="085072E1">
      <w:pPr>
        <w:spacing w:after="120"/>
      </w:pPr>
    </w:p>
    <w:p w14:paraId="51C19B43">
      <w:pPr>
        <w:spacing w:after="120"/>
      </w:pPr>
    </w:p>
    <w:p w14:paraId="29575C4E">
      <w:pPr>
        <w:spacing w:after="120"/>
      </w:pPr>
    </w:p>
    <w:p w14:paraId="7BDDECB4">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7726"/>
      </w:tblGrid>
      <w:tr w14:paraId="274D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nil"/>
              <w:left w:val="nil"/>
              <w:bottom w:val="nil"/>
              <w:right w:val="nil"/>
            </w:tcBorders>
            <w:shd w:val="clear" w:color="auto" w:fill="92D050"/>
            <w:tcMar>
              <w:top w:w="120" w:type="dxa"/>
              <w:left w:w="180" w:type="dxa"/>
              <w:bottom w:w="120" w:type="dxa"/>
              <w:right w:w="180" w:type="dxa"/>
            </w:tcMar>
            <w:vAlign w:val="center"/>
          </w:tcPr>
          <w:p w14:paraId="70F2587E">
            <w:pPr>
              <w:jc w:val="center"/>
            </w:pPr>
            <w:r>
              <w:rPr>
                <w:rFonts w:ascii="Arial" w:hAnsi="Arial" w:eastAsia="Arial" w:cs="Arial"/>
                <w:b/>
                <w:bCs/>
                <w:color w:val="FFFFFF"/>
                <w:sz w:val="22"/>
                <w:szCs w:val="22"/>
              </w:rPr>
              <w:t>WEEK 8</w:t>
            </w:r>
          </w:p>
        </w:tc>
        <w:tc>
          <w:tcPr>
            <w:tcW w:w="7726" w:type="dxa"/>
            <w:tcBorders>
              <w:top w:val="nil"/>
              <w:left w:val="nil"/>
              <w:bottom w:val="nil"/>
              <w:right w:val="nil"/>
            </w:tcBorders>
            <w:shd w:val="clear" w:color="auto" w:fill="D6EAF8"/>
            <w:tcMar>
              <w:top w:w="120" w:type="dxa"/>
              <w:left w:w="220" w:type="dxa"/>
              <w:bottom w:w="120" w:type="dxa"/>
              <w:right w:w="180" w:type="dxa"/>
            </w:tcMar>
            <w:vAlign w:val="center"/>
          </w:tcPr>
          <w:p w14:paraId="425E2239">
            <w:r>
              <w:rPr>
                <w:rFonts w:ascii="Arial" w:hAnsi="Arial" w:eastAsia="Arial" w:cs="Arial"/>
                <w:b/>
                <w:bCs/>
                <w:color w:val="1B4F72"/>
                <w:sz w:val="26"/>
                <w:szCs w:val="26"/>
              </w:rPr>
              <w:t>Differentiation &amp; Responsive Training Design</w:t>
            </w:r>
          </w:p>
        </w:tc>
      </w:tr>
    </w:tbl>
    <w:p w14:paraId="24B618C8">
      <w:pPr>
        <w:spacing w:after="120"/>
      </w:pPr>
    </w:p>
    <w:p w14:paraId="02ABD66C">
      <w:pPr>
        <w:spacing w:before="60" w:after="120"/>
        <w:rPr>
          <w:rFonts w:ascii="Arial" w:hAnsi="Arial" w:eastAsia="Arial" w:cs="Arial"/>
          <w:color w:val="1C2833"/>
          <w:sz w:val="22"/>
          <w:szCs w:val="22"/>
        </w:rPr>
      </w:pPr>
      <w:r>
        <w:rPr>
          <w:rFonts w:ascii="Arial" w:hAnsi="Arial" w:eastAsia="Arial" w:cs="Arial"/>
          <w:color w:val="1C2833"/>
          <w:sz w:val="22"/>
          <w:szCs w:val="22"/>
        </w:rPr>
        <w:t>No training room is homogeneous. In any cohort of teacher-trainees, there will be wide variation in professional experience, formal qualification, confidence, motivation, learning preferences, and cultural background. The trainer who designs for the mythical 'average participant' will fail the novice (who is overwhelmed) and bore the veteran (who is underused). Week 8 builds the skill of responsive design: designing training that genuinely serves everyone in the room.</w:t>
      </w:r>
    </w:p>
    <w:p w14:paraId="5CA46DB0">
      <w:pPr>
        <w:spacing w:before="60" w:after="120"/>
        <w:rPr>
          <w:rFonts w:ascii="Arial" w:hAnsi="Arial" w:eastAsia="Arial" w:cs="Arial"/>
          <w:color w:val="1C2833"/>
          <w:sz w:val="22"/>
          <w:szCs w:val="22"/>
        </w:rPr>
      </w:pPr>
    </w:p>
    <w:p w14:paraId="30AF6857">
      <w:pPr>
        <w:pStyle w:val="5"/>
      </w:pPr>
      <w:r>
        <w:rPr>
          <w:rFonts w:ascii="Arial" w:hAnsi="Arial" w:eastAsia="Arial" w:cs="Arial"/>
          <w:b/>
          <w:bCs/>
          <w:color w:val="0E6655"/>
          <w:sz w:val="22"/>
          <w:szCs w:val="22"/>
        </w:rPr>
        <w:t>Topic 1: Understanding Diverse Learner Profiles in Training</w:t>
      </w:r>
    </w:p>
    <w:p w14:paraId="142888AB">
      <w:pPr>
        <w:spacing w:before="60" w:after="120"/>
      </w:pPr>
      <w:r>
        <w:rPr>
          <w:rFonts w:ascii="Arial" w:hAnsi="Arial" w:eastAsia="Arial" w:cs="Arial"/>
          <w:color w:val="1C2833"/>
          <w:sz w:val="22"/>
          <w:szCs w:val="22"/>
        </w:rPr>
        <w:t>Before designing for diversity, trainers must be able to see it. This session introduces the concept of the training learner profile — a composite picture of a participant's professional experience, knowledge base, motivational orientation, and learning preferences. Participants learn to gather learner profile data during the needs analysis phase and to use it systematically in design decisions. Special attention is given to recognising the invisible diversity in training rooms: the experienced practitioner who hides behind compliance, the quiet participant whose expertise is not visible, the resistant trainee who has been sent rather than chosen to come.</w:t>
      </w:r>
    </w:p>
    <w:p w14:paraId="75CF08F4">
      <w:pPr>
        <w:spacing w:after="120"/>
      </w:pPr>
    </w:p>
    <w:p w14:paraId="76D2D647">
      <w:pPr>
        <w:pStyle w:val="5"/>
      </w:pPr>
      <w:r>
        <w:rPr>
          <w:rFonts w:ascii="Arial" w:hAnsi="Arial" w:eastAsia="Arial" w:cs="Arial"/>
          <w:b/>
          <w:bCs/>
          <w:color w:val="0E6655"/>
          <w:sz w:val="22"/>
          <w:szCs w:val="22"/>
        </w:rPr>
        <w:t>Topic 2: Scaffolding for Novice Professionals</w:t>
      </w:r>
    </w:p>
    <w:p w14:paraId="1276168F">
      <w:pPr>
        <w:spacing w:before="60" w:after="120"/>
      </w:pPr>
      <w:r>
        <w:rPr>
          <w:rFonts w:ascii="Arial" w:hAnsi="Arial" w:eastAsia="Arial" w:cs="Arial"/>
          <w:color w:val="1C2833"/>
          <w:sz w:val="22"/>
          <w:szCs w:val="22"/>
        </w:rPr>
        <w:t>Novice teacher-trainees need more than simplified content — they need carefully designed scaffolding that builds their capacity without creating dependency. This session explores the Gradual Release of Responsibility model (I do – We do – You do), which moves the learner progressively from full support to independent performance. Chunking and sequencing strategies, worked examples, explicit modelling with think-alouds, and structured collaborative tasks are examined as specific scaffolding tools. The session also addresses the risk of over-scaffolding: training that is so heavily supported that participants never experience the productive discomfort that signals genuine learning.</w:t>
      </w:r>
    </w:p>
    <w:p w14:paraId="5F39FD2F">
      <w:pPr>
        <w:spacing w:after="120"/>
      </w:pPr>
    </w:p>
    <w:p w14:paraId="0A7BAC0C">
      <w:pPr>
        <w:pStyle w:val="5"/>
      </w:pPr>
      <w:r>
        <w:rPr>
          <w:rFonts w:ascii="Arial" w:hAnsi="Arial" w:eastAsia="Arial" w:cs="Arial"/>
          <w:b/>
          <w:bCs/>
          <w:color w:val="0E6655"/>
          <w:sz w:val="22"/>
          <w:szCs w:val="22"/>
        </w:rPr>
        <w:t>Topic 3: Stretching Experienced Practitioners</w:t>
      </w:r>
    </w:p>
    <w:p w14:paraId="7E957432">
      <w:pPr>
        <w:spacing w:before="60" w:after="120"/>
      </w:pPr>
      <w:r>
        <w:rPr>
          <w:rFonts w:ascii="Arial" w:hAnsi="Arial" w:eastAsia="Arial" w:cs="Arial"/>
          <w:color w:val="1C2833"/>
          <w:sz w:val="22"/>
          <w:szCs w:val="22"/>
        </w:rPr>
        <w:t>Experienced teachers in a training group present a different challenge: how do you engage and challenge someone who already does this well? Veteran practitioners need extension tasks that genuinely challenge their current level of practice: problems that disrupt comfortable assumptions, inquiry-based investigations that require original analysis, mentoring and peer-leadership opportunities within the training group, and personalised inquiry projects that connect to their specific professional context. Designing for extension is not about making tasks harder — it is about designing tasks that are genuinely challenging at a higher level of professional complexity.</w:t>
      </w:r>
    </w:p>
    <w:p w14:paraId="29BA06D3">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D2B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5B50B8A0">
            <w:pPr>
              <w:spacing w:before="80" w:after="100"/>
            </w:pPr>
            <w:r>
              <w:rPr>
                <w:rFonts w:ascii="Arial" w:hAnsi="Arial" w:eastAsia="Arial" w:cs="Arial"/>
                <w:b/>
                <w:bCs/>
                <w:color w:val="1B4F72"/>
                <w:sz w:val="24"/>
                <w:szCs w:val="24"/>
              </w:rPr>
              <w:t>Learning Outcomes — Week 8</w:t>
            </w:r>
          </w:p>
          <w:p w14:paraId="0EE2B193">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Design differentiated training experiences that address a substantive range of professional experience levels within a single session</w:t>
            </w:r>
          </w:p>
          <w:p w14:paraId="15C767C8">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Apply scaffolding techniques (worked examples, gradual release, think-alouds) for novice teachers without creating excessive dependency</w:t>
            </w:r>
          </w:p>
          <w:p w14:paraId="339B9EE8">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Design genuine extension and inquiry-based challenge tasks for experienced practitioners in mixed-experience groups</w:t>
            </w:r>
          </w:p>
          <w:p w14:paraId="64EDFC91">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Build and use learner persona cards as a practical design tool for ensuring differentiation in training design</w:t>
            </w:r>
          </w:p>
        </w:tc>
      </w:tr>
    </w:tbl>
    <w:p w14:paraId="19850A7B">
      <w:pPr>
        <w:spacing w:after="120"/>
      </w:pPr>
    </w:p>
    <w:p w14:paraId="15DC259C">
      <w:pPr>
        <w:pStyle w:val="5"/>
      </w:pPr>
      <w:r>
        <w:rPr>
          <w:rFonts w:ascii="Arial" w:hAnsi="Arial" w:eastAsia="Arial" w:cs="Arial"/>
          <w:b/>
          <w:bCs/>
          <w:color w:val="0E6655"/>
          <w:sz w:val="22"/>
          <w:szCs w:val="22"/>
        </w:rPr>
        <w:t>Week 8 Activities</w:t>
      </w:r>
    </w:p>
    <w:p w14:paraId="7268B31E">
      <w:pPr>
        <w:pStyle w:val="16"/>
        <w:numPr>
          <w:ilvl w:val="0"/>
          <w:numId w:val="2"/>
        </w:numPr>
      </w:pPr>
      <w:r>
        <w:rPr>
          <w:rFonts w:ascii="Arial" w:hAnsi="Arial" w:eastAsia="Arial" w:cs="Arial"/>
          <w:color w:val="1C2833"/>
          <w:sz w:val="22"/>
          <w:szCs w:val="22"/>
        </w:rPr>
        <w:t>Learner Persona Workshop: Participants develop a set of five to six detailed teacher-trainee persona cards representing distinct professional profiles (e.g., Year 1 teacher with high anxiety; experienced teacher resistant to change; mid-career teacher with partial knowledge; highly qualified but recently transitioned specialist). These personas are used as design constraints throughout the rest of the week and become a portfolio artefact.</w:t>
      </w:r>
    </w:p>
    <w:p w14:paraId="36B6DCB7">
      <w:pPr>
        <w:pStyle w:val="16"/>
        <w:numPr>
          <w:ilvl w:val="0"/>
          <w:numId w:val="2"/>
        </w:numPr>
      </w:pPr>
      <w:r>
        <w:rPr>
          <w:rFonts w:ascii="Arial" w:hAnsi="Arial" w:eastAsia="Arial" w:cs="Arial"/>
          <w:color w:val="1C2833"/>
          <w:sz w:val="22"/>
          <w:szCs w:val="22"/>
        </w:rPr>
        <w:t>Tiered Task Design: Using the personas developed above, participants take one activity from their existing session plan (from Week 4) and redesign it at three distinct levels of complexity and challenge. The three-tier design is presented to a partner, who role-plays as one of the personas and provides experiential feedback on whether the tier fits.</w:t>
      </w:r>
    </w:p>
    <w:p w14:paraId="295C74F2">
      <w:pPr>
        <w:pStyle w:val="16"/>
        <w:numPr>
          <w:ilvl w:val="0"/>
          <w:numId w:val="2"/>
        </w:numPr>
      </w:pPr>
      <w:r>
        <w:rPr>
          <w:rFonts w:ascii="Arial" w:hAnsi="Arial" w:eastAsia="Arial" w:cs="Arial"/>
          <w:color w:val="1C2833"/>
          <w:sz w:val="22"/>
          <w:szCs w:val="22"/>
        </w:rPr>
        <w:t>Case Study Analysis: Groups analyse a detailed written case study of a challenging mixed-experience training group encountering significant engagement problems. Using all the frameworks covered in Month 2, they develop a comprehensive redesign proposal that specifically addresses the differentiation issues presented.</w:t>
      </w:r>
    </w:p>
    <w:p w14:paraId="4FF1B71B">
      <w:pPr>
        <w:spacing w:after="120"/>
      </w:pPr>
    </w:p>
    <w:p w14:paraId="2712DCE2">
      <w:pPr>
        <w:spacing w:after="120"/>
      </w:pPr>
    </w:p>
    <w:p w14:paraId="7A23D0EA">
      <w:pPr>
        <w:spacing w:after="120"/>
      </w:pPr>
    </w:p>
    <w:p w14:paraId="4AA7E1E8">
      <w:pPr>
        <w:spacing w:after="120"/>
      </w:pPr>
    </w:p>
    <w:p w14:paraId="57CCC200">
      <w:pPr>
        <w:spacing w:after="120"/>
      </w:pPr>
    </w:p>
    <w:p w14:paraId="0DCAF153">
      <w:pPr>
        <w:spacing w:after="120"/>
      </w:pPr>
    </w:p>
    <w:p w14:paraId="2CFF017C">
      <w:pPr>
        <w:spacing w:after="120"/>
      </w:pPr>
    </w:p>
    <w:p w14:paraId="3E9A4893">
      <w:pPr>
        <w:spacing w:after="120"/>
      </w:pPr>
    </w:p>
    <w:p w14:paraId="32BE7CF5">
      <w:pPr>
        <w:spacing w:after="120"/>
      </w:pPr>
    </w:p>
    <w:p w14:paraId="35D2F428">
      <w:pPr>
        <w:spacing w:after="120"/>
      </w:pPr>
    </w:p>
    <w:p w14:paraId="075E9530">
      <w:pPr>
        <w:spacing w:after="120"/>
      </w:pPr>
    </w:p>
    <w:p w14:paraId="70511835">
      <w:pPr>
        <w:spacing w:after="120"/>
      </w:pPr>
    </w:p>
    <w:p w14:paraId="20D4D027">
      <w:pPr>
        <w:spacing w:after="120"/>
      </w:pPr>
    </w:p>
    <w:p w14:paraId="59D5B1FB">
      <w:pPr>
        <w:spacing w:after="120"/>
      </w:pPr>
    </w:p>
    <w:p w14:paraId="3E2078E2">
      <w:pPr>
        <w:spacing w:after="120"/>
      </w:pPr>
    </w:p>
    <w:p w14:paraId="619ED232">
      <w:pPr>
        <w:spacing w:after="120"/>
      </w:pPr>
    </w:p>
    <w:p w14:paraId="73835DA3">
      <w:pPr>
        <w:spacing w:after="120"/>
      </w:pPr>
    </w:p>
    <w:p w14:paraId="2B126987">
      <w:pPr>
        <w:spacing w:after="120"/>
      </w:pPr>
    </w:p>
    <w:p w14:paraId="30134C9F">
      <w:pPr>
        <w:spacing w:after="120"/>
      </w:pPr>
    </w:p>
    <w:p w14:paraId="21680C50">
      <w:pPr>
        <w:spacing w:after="120"/>
      </w:pPr>
    </w:p>
    <w:p w14:paraId="3CDEBA7B">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4B0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0E6655" w:sz="4" w:space="0"/>
              <w:left w:val="single" w:color="0E6655" w:sz="18" w:space="0"/>
              <w:bottom w:val="single" w:color="0E6655" w:sz="4" w:space="0"/>
              <w:right w:val="single" w:color="0E6655" w:sz="4" w:space="0"/>
            </w:tcBorders>
            <w:shd w:val="clear" w:color="auto" w:fill="D1F2EB"/>
            <w:tcMar>
              <w:top w:w="120" w:type="dxa"/>
              <w:left w:w="220" w:type="dxa"/>
              <w:bottom w:w="120" w:type="dxa"/>
              <w:right w:w="200" w:type="dxa"/>
            </w:tcMar>
          </w:tcPr>
          <w:p w14:paraId="2C3C98B7">
            <w:pPr>
              <w:spacing w:before="80" w:after="100"/>
            </w:pPr>
            <w:r>
              <w:rPr>
                <w:rFonts w:ascii="Arial" w:hAnsi="Arial" w:eastAsia="Arial" w:cs="Arial"/>
                <w:b/>
                <w:bCs/>
                <w:color w:val="0E6655"/>
                <w:sz w:val="24"/>
                <w:szCs w:val="24"/>
              </w:rPr>
              <w:t>Month 2 — Hands-on Practice Tasks</w:t>
            </w:r>
          </w:p>
          <w:p w14:paraId="4C81C179">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Teaching Method Demonstrations: </w:t>
            </w:r>
            <w:r>
              <w:rPr>
                <w:rFonts w:ascii="Arial" w:hAnsi="Arial" w:eastAsia="Arial" w:cs="Arial"/>
                <w:color w:val="1C2833"/>
                <w:sz w:val="22"/>
                <w:szCs w:val="22"/>
              </w:rPr>
              <w:t>Each participant designs and delivers a 15-minute demonstration of one training delivery method to the cohort. Peers observe using a structured tool focused on method appropriateness, facilitation quality, and participant engagement. Written feedback is given by both peers and the facilitator.</w:t>
            </w:r>
          </w:p>
          <w:p w14:paraId="6EEBCA11">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Question Bank Building: </w:t>
            </w:r>
            <w:r>
              <w:rPr>
                <w:rFonts w:ascii="Arial" w:hAnsi="Arial" w:eastAsia="Arial" w:cs="Arial"/>
                <w:color w:val="1C2833"/>
                <w:sz w:val="22"/>
                <w:szCs w:val="22"/>
              </w:rPr>
              <w:t>Participants build and continuously expand a personal question bank of 50 questions organised by type (reflective, probing, Socratic, CCQ, ICQ) for use in training and supervision contexts. The completed bank is submitted as a portfolio artefact at the end of Month 2.</w:t>
            </w:r>
          </w:p>
          <w:p w14:paraId="71599346">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Feedback Round Practice: </w:t>
            </w:r>
            <w:r>
              <w:rPr>
                <w:rFonts w:ascii="Arial" w:hAnsi="Arial" w:eastAsia="Arial" w:cs="Arial"/>
                <w:color w:val="1C2833"/>
                <w:sz w:val="22"/>
                <w:szCs w:val="22"/>
              </w:rPr>
              <w:t>Structured weekly feedback triads in which participants take turns delivering and receiving feedback on micro-training tasks, explicitly applying BET and GROW frameworks. Each round is followed by a written reflection on the feedback-giving experience.</w:t>
            </w:r>
          </w:p>
          <w:p w14:paraId="46C0182F">
            <w:pPr>
              <w:spacing w:before="60" w:after="8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Differentiated Training Design: </w:t>
            </w:r>
            <w:r>
              <w:rPr>
                <w:rFonts w:ascii="Arial" w:hAnsi="Arial" w:eastAsia="Arial" w:cs="Arial"/>
                <w:color w:val="1C2833"/>
                <w:sz w:val="22"/>
                <w:szCs w:val="22"/>
              </w:rPr>
              <w:t>Participants redesign one of their earlier session plans to include explicitly differentiated tasks for at least two distinct learner profiles. The redesigned plan and a written differentiation rationale are submitted as portfolio artefacts.</w:t>
            </w:r>
          </w:p>
        </w:tc>
      </w:tr>
    </w:tbl>
    <w:p w14:paraId="7324E39A">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854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CA6F1E" w:sz="4" w:space="0"/>
              <w:left w:val="single" w:color="CA6F1E" w:sz="18" w:space="0"/>
              <w:bottom w:val="single" w:color="CA6F1E" w:sz="4" w:space="0"/>
              <w:right w:val="single" w:color="CA6F1E" w:sz="4" w:space="0"/>
            </w:tcBorders>
            <w:shd w:val="clear" w:color="auto" w:fill="FDEBD0"/>
            <w:tcMar>
              <w:top w:w="120" w:type="dxa"/>
              <w:left w:w="220" w:type="dxa"/>
              <w:bottom w:w="120" w:type="dxa"/>
              <w:right w:w="200" w:type="dxa"/>
            </w:tcMar>
          </w:tcPr>
          <w:p w14:paraId="2A7ACA27">
            <w:pPr>
              <w:spacing w:before="80" w:after="100"/>
            </w:pPr>
            <w:r>
              <w:rPr>
                <w:rFonts w:ascii="Arial" w:hAnsi="Arial" w:eastAsia="Arial" w:cs="Arial"/>
                <w:b/>
                <w:bCs/>
                <w:color w:val="CA6F1E"/>
                <w:sz w:val="24"/>
                <w:szCs w:val="24"/>
              </w:rPr>
              <w:t>Month 2 — Common Challenges</w:t>
            </w:r>
          </w:p>
          <w:p w14:paraId="1C5F2E80">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Facilitation vs. Instruction Discomfort: </w:t>
            </w:r>
            <w:r>
              <w:rPr>
                <w:rFonts w:ascii="Arial" w:hAnsi="Arial" w:eastAsia="Arial" w:cs="Arial"/>
                <w:color w:val="1C2833"/>
                <w:sz w:val="22"/>
                <w:szCs w:val="22"/>
              </w:rPr>
              <w:t>Most participants are experienced instructors who find genuine facilitation deeply uncomfortable at first. The discomfort is real and productive. Validate it, then create repeated low-stakes facilitation practice opportunities before higher-stakes demonstrations.</w:t>
            </w:r>
          </w:p>
          <w:p w14:paraId="4DF39BD3">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Strategic Questioning as a Skill: </w:t>
            </w:r>
            <w:r>
              <w:rPr>
                <w:rFonts w:ascii="Arial" w:hAnsi="Arial" w:eastAsia="Arial" w:cs="Arial"/>
                <w:color w:val="1C2833"/>
                <w:sz w:val="22"/>
                <w:szCs w:val="22"/>
              </w:rPr>
              <w:t>When participants attempt Socratic questioning, they often ask too many questions too quickly. Coaching them to use silence, wait time, and single carefully chosen questions takes multiple practice rounds.</w:t>
            </w:r>
          </w:p>
          <w:p w14:paraId="68F78417">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Honest Developmental Feedback: </w:t>
            </w:r>
            <w:r>
              <w:rPr>
                <w:rFonts w:ascii="Arial" w:hAnsi="Arial" w:eastAsia="Arial" w:cs="Arial"/>
                <w:color w:val="1C2833"/>
                <w:sz w:val="22"/>
                <w:szCs w:val="22"/>
              </w:rPr>
              <w:t>Participants are genuinely reluctant to give developmental feedback to peers, defaulting to vague positivity. The BET framework and the structured feedback triad practice directly target this tendency, but significant group trust must be established first.</w:t>
            </w:r>
          </w:p>
          <w:p w14:paraId="36341514">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Designing for Range: </w:t>
            </w:r>
            <w:r>
              <w:rPr>
                <w:rFonts w:ascii="Arial" w:hAnsi="Arial" w:eastAsia="Arial" w:cs="Arial"/>
                <w:color w:val="1C2833"/>
                <w:sz w:val="22"/>
                <w:szCs w:val="22"/>
              </w:rPr>
              <w:t>Participants consistently design for the 'average' participant and resist the cognitive load of designing for genuine range. The persona cards activity in Week 8 is specifically designed to make this concrete and unavoidable.</w:t>
            </w:r>
          </w:p>
          <w:p w14:paraId="26CEA6AE">
            <w:pPr>
              <w:spacing w:before="60" w:after="8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Method Selection Inertia: </w:t>
            </w:r>
            <w:r>
              <w:rPr>
                <w:rFonts w:ascii="Arial" w:hAnsi="Arial" w:eastAsia="Arial" w:cs="Arial"/>
                <w:color w:val="1C2833"/>
                <w:sz w:val="22"/>
                <w:szCs w:val="22"/>
              </w:rPr>
              <w:t>Trainers gravitate toward familiar delivery methods regardless of whether those methods serve the objective. The Method Carousel in Week 5 is designed to disrupt this inertia by making participants experience unfamiliar methods as learners before using them as trainers.</w:t>
            </w:r>
          </w:p>
        </w:tc>
      </w:tr>
    </w:tbl>
    <w:p w14:paraId="136C4B93">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76E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B7950B" w:sz="4" w:space="0"/>
              <w:left w:val="single" w:color="B7950B" w:sz="18" w:space="0"/>
              <w:bottom w:val="single" w:color="B7950B" w:sz="4" w:space="0"/>
              <w:right w:val="single" w:color="B7950B" w:sz="4" w:space="0"/>
            </w:tcBorders>
            <w:shd w:val="clear" w:color="auto" w:fill="FEF9E7"/>
            <w:tcMar>
              <w:top w:w="120" w:type="dxa"/>
              <w:left w:w="220" w:type="dxa"/>
              <w:bottom w:w="120" w:type="dxa"/>
              <w:right w:w="200" w:type="dxa"/>
            </w:tcMar>
          </w:tcPr>
          <w:p w14:paraId="272DF14A">
            <w:pPr>
              <w:spacing w:before="80" w:after="100"/>
            </w:pPr>
            <w:r>
              <w:rPr>
                <w:rFonts w:ascii="Arial" w:hAnsi="Arial" w:eastAsia="Arial" w:cs="Arial"/>
                <w:b/>
                <w:bCs/>
                <w:color w:val="B7950B"/>
                <w:sz w:val="24"/>
                <w:szCs w:val="24"/>
              </w:rPr>
              <w:t>Month 2 — Trainer Tips</w:t>
            </w:r>
          </w:p>
          <w:p w14:paraId="287E52B4">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Model what you teach. Use a wide, deliberate range of delivery methods throughout Month 2. Participants learn delivery method diversity most powerfully by experiencing it from the inside.</w:t>
            </w:r>
          </w:p>
          <w:p w14:paraId="44F1A427">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Normalise awkward questioning. Socratic questioning feels unnatural at first and the silences feel intolerable. Create a group agreement that the 'question experiment' space is one where awkwardness is welcome and expected.</w:t>
            </w:r>
          </w:p>
          <w:p w14:paraId="58C337A3">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Give feedback on feedback. When participants practice their feedback-giving, provide explicit meta-feedback on their technique. This recursive loop is one of the most powerful learning experiences in the entire program.</w:t>
            </w:r>
          </w:p>
          <w:p w14:paraId="0A408A39">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Use real materials wherever possible. Real classroom observation scripts, real training session videos, and real (anonymised) feedback reports create the specificity and texture that fictional materials cannot replicate.</w:t>
            </w:r>
          </w:p>
          <w:p w14:paraId="2D63471C">
            <w:pPr>
              <w:spacing w:before="60" w:after="80"/>
              <w:ind w:left="160"/>
            </w:pPr>
            <w:r>
              <w:rPr>
                <w:rFonts w:ascii="Arial" w:hAnsi="Arial" w:eastAsia="Arial" w:cs="Arial"/>
                <w:b/>
                <w:bCs/>
                <w:color w:val="B7950B"/>
                <w:sz w:val="22"/>
                <w:szCs w:val="22"/>
              </w:rPr>
              <w:t xml:space="preserve">— </w:t>
            </w:r>
            <w:r>
              <w:rPr>
                <w:rFonts w:ascii="Arial" w:hAnsi="Arial" w:eastAsia="Arial" w:cs="Arial"/>
                <w:color w:val="1C2833"/>
                <w:sz w:val="22"/>
                <w:szCs w:val="22"/>
              </w:rPr>
              <w:t>Return to andragogy constantly. When participants struggle with differentiation or facilitation, re-ground the discussion in Week 2's learning theory. Connecting design decisions to theory moves skill from technique to principled practice.</w:t>
            </w:r>
          </w:p>
        </w:tc>
      </w:tr>
    </w:tbl>
    <w:p w14:paraId="447852AE">
      <w:r>
        <w:br w:type="page"/>
      </w:r>
    </w:p>
    <w:p w14:paraId="634E7754">
      <w:pPr>
        <w:pStyle w:val="2"/>
        <w:shd w:val="clear" w:fill="E36C09" w:themeFill="accent6" w:themeFillShade="BF"/>
        <w:spacing w:before="0" w:after="200"/>
        <w:ind w:right="240"/>
      </w:pPr>
      <w:r>
        <w:rPr>
          <w:rFonts w:ascii="Arial" w:hAnsi="Arial" w:eastAsia="Arial" w:cs="Arial"/>
          <w:b/>
          <w:bCs/>
          <w:color w:val="FFFFFF"/>
          <w:sz w:val="38"/>
          <w:szCs w:val="38"/>
        </w:rPr>
        <w:t>MONTH 3: SUPERVISION MODELS &amp; OBSERVATION PRACTICES</w:t>
      </w:r>
    </w:p>
    <w:p w14:paraId="0209A738">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3B0B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nil"/>
              <w:left w:val="nil"/>
              <w:bottom w:val="nil"/>
              <w:right w:val="nil"/>
            </w:tcBorders>
            <w:shd w:val="clear" w:color="auto" w:fill="D6EAF8"/>
            <w:tcMar>
              <w:top w:w="160" w:type="dxa"/>
              <w:left w:w="300" w:type="dxa"/>
              <w:bottom w:w="160" w:type="dxa"/>
              <w:right w:w="200" w:type="dxa"/>
            </w:tcMar>
          </w:tcPr>
          <w:p w14:paraId="02C79554">
            <w:r>
              <w:rPr>
                <w:rFonts w:ascii="Arial" w:hAnsi="Arial" w:eastAsia="Arial" w:cs="Arial"/>
                <w:b/>
                <w:bCs/>
                <w:color w:val="1B4F72"/>
                <w:sz w:val="22"/>
                <w:szCs w:val="22"/>
              </w:rPr>
              <w:t>Domains Addressed: Domain 4 (Supervision, Observation &amp; Evaluation) · Domain 3 (Communication)</w:t>
            </w:r>
          </w:p>
        </w:tc>
      </w:tr>
    </w:tbl>
    <w:p w14:paraId="3DDF5F0A">
      <w:pPr>
        <w:spacing w:after="120"/>
      </w:pPr>
    </w:p>
    <w:p w14:paraId="1B6B584F">
      <w:pPr>
        <w:spacing w:before="60" w:after="120"/>
      </w:pPr>
      <w:r>
        <w:rPr>
          <w:rFonts w:ascii="Arial" w:hAnsi="Arial" w:eastAsia="Arial" w:cs="Arial"/>
          <w:color w:val="1C2833"/>
          <w:sz w:val="22"/>
          <w:szCs w:val="22"/>
        </w:rPr>
        <w:t>Month 3 moves from the training room into the observation cycle. If Month 2 built the toolkit for training delivery, Month 3 builds the toolkit for everything that happens around the lesson: the frameworks that guide how we supervise, the tools we use to observe, the conversations we have before and after, and the difficult but essential work of evaluation. This is the month where participants most directly encounter the power dynamics, ethical responsibilities, and professional complexity of supervision. It is demanding, often uncomfortable, and deeply important.</w:t>
      </w:r>
    </w:p>
    <w:p w14:paraId="585D2147">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539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1C2C5BC4">
            <w:pPr>
              <w:spacing w:before="80" w:after="100"/>
            </w:pPr>
            <w:r>
              <w:rPr>
                <w:rFonts w:ascii="Arial" w:hAnsi="Arial" w:eastAsia="Arial" w:cs="Arial"/>
                <w:b/>
                <w:bCs/>
                <w:color w:val="1B4F72"/>
                <w:sz w:val="24"/>
                <w:szCs w:val="24"/>
              </w:rPr>
              <w:t>Essential Questions for Month 3</w:t>
            </w:r>
          </w:p>
          <w:p w14:paraId="1674E767">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What does it mean to supervise, and how does my choice of supervision model reflect my beliefs about teacher growth?</w:t>
            </w:r>
          </w:p>
          <w:p w14:paraId="5C40BFDF">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What is the difference between observing and judging, and how do I stay on the right side of that line?</w:t>
            </w:r>
          </w:p>
          <w:p w14:paraId="79C2AB28">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How do I structure a conference so that the teacher leaves it more capable and more motivated than when they arrived?</w:t>
            </w:r>
          </w:p>
          <w:p w14:paraId="2D574436">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How do I hold someone accountable while still holding them with respect?</w:t>
            </w:r>
          </w:p>
        </w:tc>
      </w:tr>
    </w:tbl>
    <w:p w14:paraId="4B8927C5">
      <w:pPr>
        <w:spacing w:after="120"/>
      </w:pPr>
    </w:p>
    <w:p w14:paraId="0B476416">
      <w:pPr>
        <w:spacing w:after="120"/>
      </w:pPr>
    </w:p>
    <w:p w14:paraId="22D25F14">
      <w:pPr>
        <w:spacing w:after="120"/>
      </w:pPr>
    </w:p>
    <w:p w14:paraId="483996B8">
      <w:pPr>
        <w:spacing w:after="120"/>
      </w:pPr>
    </w:p>
    <w:p w14:paraId="69F09291">
      <w:pPr>
        <w:spacing w:after="120"/>
      </w:pPr>
    </w:p>
    <w:p w14:paraId="40CFFAA3">
      <w:pPr>
        <w:spacing w:after="120"/>
      </w:pPr>
    </w:p>
    <w:p w14:paraId="6CD412D6">
      <w:pPr>
        <w:spacing w:after="120"/>
      </w:pPr>
    </w:p>
    <w:p w14:paraId="18671BEE">
      <w:pPr>
        <w:spacing w:after="120"/>
      </w:pPr>
    </w:p>
    <w:p w14:paraId="3CC50CEE">
      <w:pPr>
        <w:spacing w:after="120"/>
      </w:pPr>
    </w:p>
    <w:p w14:paraId="4D8281A8">
      <w:pPr>
        <w:spacing w:after="120"/>
      </w:pPr>
    </w:p>
    <w:p w14:paraId="42AACA3E">
      <w:pPr>
        <w:spacing w:after="120"/>
      </w:pPr>
    </w:p>
    <w:p w14:paraId="3D8326CA">
      <w:pPr>
        <w:spacing w:after="120"/>
      </w:pPr>
    </w:p>
    <w:p w14:paraId="0785E929">
      <w:pPr>
        <w:spacing w:after="120"/>
      </w:pPr>
    </w:p>
    <w:p w14:paraId="0C683121">
      <w:pPr>
        <w:spacing w:after="120"/>
      </w:pPr>
    </w:p>
    <w:p w14:paraId="5EFF70EA">
      <w:pPr>
        <w:spacing w:after="120"/>
      </w:pPr>
    </w:p>
    <w:p w14:paraId="5A581043">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7726"/>
      </w:tblGrid>
      <w:tr w14:paraId="069F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nil"/>
              <w:left w:val="nil"/>
              <w:bottom w:val="nil"/>
              <w:right w:val="nil"/>
            </w:tcBorders>
            <w:shd w:val="clear" w:color="auto" w:fill="92D050"/>
            <w:tcMar>
              <w:top w:w="120" w:type="dxa"/>
              <w:left w:w="180" w:type="dxa"/>
              <w:bottom w:w="120" w:type="dxa"/>
              <w:right w:w="180" w:type="dxa"/>
            </w:tcMar>
            <w:vAlign w:val="center"/>
          </w:tcPr>
          <w:p w14:paraId="03E6E1F0">
            <w:pPr>
              <w:jc w:val="center"/>
            </w:pPr>
            <w:r>
              <w:rPr>
                <w:rFonts w:ascii="Arial" w:hAnsi="Arial" w:eastAsia="Arial" w:cs="Arial"/>
                <w:b/>
                <w:bCs/>
                <w:color w:val="FFFFFF"/>
                <w:sz w:val="22"/>
                <w:szCs w:val="22"/>
              </w:rPr>
              <w:t>WEEK 9</w:t>
            </w:r>
          </w:p>
        </w:tc>
        <w:tc>
          <w:tcPr>
            <w:tcW w:w="7726" w:type="dxa"/>
            <w:tcBorders>
              <w:top w:val="nil"/>
              <w:left w:val="nil"/>
              <w:bottom w:val="nil"/>
              <w:right w:val="nil"/>
            </w:tcBorders>
            <w:shd w:val="clear" w:color="auto" w:fill="D6EAF8"/>
            <w:tcMar>
              <w:top w:w="120" w:type="dxa"/>
              <w:left w:w="220" w:type="dxa"/>
              <w:bottom w:w="120" w:type="dxa"/>
              <w:right w:w="180" w:type="dxa"/>
            </w:tcMar>
            <w:vAlign w:val="center"/>
          </w:tcPr>
          <w:p w14:paraId="24938E21">
            <w:r>
              <w:rPr>
                <w:rFonts w:ascii="Arial" w:hAnsi="Arial" w:eastAsia="Arial" w:cs="Arial"/>
                <w:b/>
                <w:bCs/>
                <w:color w:val="1B4F72"/>
                <w:sz w:val="26"/>
                <w:szCs w:val="26"/>
              </w:rPr>
              <w:t>Supervision Models &amp; Frameworks</w:t>
            </w:r>
          </w:p>
        </w:tc>
      </w:tr>
    </w:tbl>
    <w:p w14:paraId="77939D40">
      <w:pPr>
        <w:spacing w:after="120"/>
      </w:pPr>
    </w:p>
    <w:p w14:paraId="622A709D">
      <w:pPr>
        <w:spacing w:before="60" w:after="120"/>
      </w:pPr>
      <w:r>
        <w:rPr>
          <w:rFonts w:ascii="Arial" w:hAnsi="Arial" w:eastAsia="Arial" w:cs="Arial"/>
          <w:color w:val="1C2833"/>
          <w:sz w:val="22"/>
          <w:szCs w:val="22"/>
        </w:rPr>
        <w:t>Supervision is not a single thing. It is a family of related professional practices, each grounded in different assumptions about the relationship between supervisor and supervisee, about where professional knowledge resides, and about how teachers grow. Week 9 introduces the major supervision models, examines their underlying assumptions, and asks participants to begin developing a principled, flexible supervision stance that can respond to different teachers in different contexts.</w:t>
      </w:r>
    </w:p>
    <w:p w14:paraId="138F4664">
      <w:pPr>
        <w:spacing w:after="120"/>
      </w:pPr>
    </w:p>
    <w:p w14:paraId="0EF48DC9">
      <w:pPr>
        <w:pStyle w:val="5"/>
      </w:pPr>
      <w:r>
        <w:rPr>
          <w:rFonts w:ascii="Arial" w:hAnsi="Arial" w:eastAsia="Arial" w:cs="Arial"/>
          <w:b/>
          <w:bCs/>
          <w:color w:val="0E6655"/>
          <w:sz w:val="22"/>
          <w:szCs w:val="22"/>
        </w:rPr>
        <w:t>Topic 1: Classical Supervision Models</w:t>
      </w:r>
    </w:p>
    <w:p w14:paraId="4D9B60FD">
      <w:pPr>
        <w:spacing w:before="60" w:after="120"/>
      </w:pPr>
      <w:r>
        <w:rPr>
          <w:rFonts w:ascii="Arial" w:hAnsi="Arial" w:eastAsia="Arial" w:cs="Arial"/>
          <w:color w:val="1C2833"/>
          <w:sz w:val="22"/>
          <w:szCs w:val="22"/>
        </w:rPr>
        <w:t>Clinical supervision (Goldhammer, 1969; Cogan, 1973) introduced the structured observation cycle — pre-conference, observation, analysis, post-conference, critique — and established the collaborative, data-based relationship between supervisor and supervisee as the professional norm. Cognitive coaching (Costa &amp; Garmston, 1994) went further, arguing that the supervisor's role is not to evaluate or prescribe but to activate the teacher's thinking toward self-directed growth. Reflective supervision models (informed by Schön) prioritise the development of professional metacognition over compliance with externally defined standards. Each model is explored in terms of its theory of change: how does each model believe teachers actually grow?</w:t>
      </w:r>
    </w:p>
    <w:p w14:paraId="73B827D3">
      <w:pPr>
        <w:spacing w:after="120"/>
      </w:pPr>
    </w:p>
    <w:p w14:paraId="31E1F5F8">
      <w:pPr>
        <w:pStyle w:val="5"/>
      </w:pPr>
      <w:r>
        <w:rPr>
          <w:rFonts w:ascii="Arial" w:hAnsi="Arial" w:eastAsia="Arial" w:cs="Arial"/>
          <w:b/>
          <w:bCs/>
          <w:color w:val="0E6655"/>
          <w:sz w:val="22"/>
          <w:szCs w:val="22"/>
        </w:rPr>
        <w:t>Topic 2: Developmental Supervision — Matching Style to Stage</w:t>
      </w:r>
    </w:p>
    <w:p w14:paraId="6D92EDA1">
      <w:pPr>
        <w:spacing w:before="60" w:after="120"/>
      </w:pPr>
      <w:r>
        <w:rPr>
          <w:rFonts w:ascii="Arial" w:hAnsi="Arial" w:eastAsia="Arial" w:cs="Arial"/>
          <w:color w:val="1C2833"/>
          <w:sz w:val="22"/>
          <w:szCs w:val="22"/>
        </w:rPr>
        <w:t>Carl Glickman's Developmental Supervision model (1981) makes one of the most practically important arguments in the supervision literature: different teachers at different stages of professional development need different types of supervision. The least experienced, least confident teachers may need a more directive approach — clear guidance, structured feedback, explicit direction. Mid-career teachers with growing competence benefit most from collaborative dialogue. Experienced, high-performing teachers thrive under non-directive support that honours their autonomy and expertise. The supervisor's skill is in reading each teacher's developmental level accurately and adapting the supervisory approach accordingly.</w:t>
      </w:r>
    </w:p>
    <w:p w14:paraId="0492C405">
      <w:pPr>
        <w:spacing w:after="120"/>
      </w:pPr>
    </w:p>
    <w:p w14:paraId="1D3ABC3C">
      <w:pPr>
        <w:pStyle w:val="5"/>
      </w:pPr>
      <w:r>
        <w:rPr>
          <w:rFonts w:ascii="Arial" w:hAnsi="Arial" w:eastAsia="Arial" w:cs="Arial"/>
          <w:b/>
          <w:bCs/>
          <w:color w:val="0E6655"/>
          <w:sz w:val="22"/>
          <w:szCs w:val="22"/>
        </w:rPr>
        <w:t>Topic 3: Peer Supervision &amp; Co-Observation</w:t>
      </w:r>
    </w:p>
    <w:p w14:paraId="21205E2F">
      <w:pPr>
        <w:spacing w:before="60" w:after="120"/>
      </w:pPr>
      <w:r>
        <w:rPr>
          <w:rFonts w:ascii="Arial" w:hAnsi="Arial" w:eastAsia="Arial" w:cs="Arial"/>
          <w:color w:val="1C2833"/>
          <w:sz w:val="22"/>
          <w:szCs w:val="22"/>
        </w:rPr>
        <w:t>Supervision need not be a vertical, hierarchical relationship. Peer supervision — structured professional observation and dialogue between colleagues at similar levels — is one of the most powerful and underused tools in teacher development. When designed well, peer supervision builds professional trust, reduces the anxiety associated with evaluative observation, and distributes the intellectual work of professional reflection across a whole department. Participants learn to design structured peer supervision protocols including the observation focus agreement, the observation tool, and the co-reflection protocol.</w:t>
      </w:r>
    </w:p>
    <w:p w14:paraId="198AF789">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637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17BBD7D9">
            <w:pPr>
              <w:spacing w:before="80" w:after="100"/>
            </w:pPr>
            <w:r>
              <w:rPr>
                <w:rFonts w:ascii="Arial" w:hAnsi="Arial" w:eastAsia="Arial" w:cs="Arial"/>
                <w:b/>
                <w:bCs/>
                <w:color w:val="1B4F72"/>
                <w:sz w:val="24"/>
                <w:szCs w:val="24"/>
              </w:rPr>
              <w:t>Learning Outcomes — Week 9</w:t>
            </w:r>
          </w:p>
          <w:p w14:paraId="487CFB34">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Compare and contrast at least four established supervision models, articulating the underlying assumptions about learning and professional growth in each</w:t>
            </w:r>
          </w:p>
          <w:p w14:paraId="333EF855">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Apply Glickman's Developmental Supervision model to select and justify supervisory approaches matched to teacher developmental profiles</w:t>
            </w:r>
          </w:p>
          <w:p w14:paraId="247048B7">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Design a structured peer supervision cycle including pre-observation agreement, observation focus, and co-reflection protocol</w:t>
            </w:r>
          </w:p>
          <w:p w14:paraId="2904C942">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Articulate a personal supervision stance that integrates principles from multiple models into a coherent, context-responsive approach</w:t>
            </w:r>
          </w:p>
        </w:tc>
      </w:tr>
    </w:tbl>
    <w:p w14:paraId="2A48B073">
      <w:pPr>
        <w:spacing w:after="120"/>
      </w:pPr>
    </w:p>
    <w:p w14:paraId="02E0719C">
      <w:pPr>
        <w:pStyle w:val="5"/>
      </w:pPr>
      <w:r>
        <w:rPr>
          <w:rFonts w:ascii="Arial" w:hAnsi="Arial" w:eastAsia="Arial" w:cs="Arial"/>
          <w:b/>
          <w:bCs/>
          <w:color w:val="0E6655"/>
          <w:sz w:val="22"/>
          <w:szCs w:val="22"/>
        </w:rPr>
        <w:t>Week 9 Activities</w:t>
      </w:r>
    </w:p>
    <w:p w14:paraId="3D25D678">
      <w:pPr>
        <w:pStyle w:val="16"/>
        <w:numPr>
          <w:ilvl w:val="0"/>
          <w:numId w:val="2"/>
        </w:numPr>
      </w:pPr>
      <w:r>
        <w:rPr>
          <w:rFonts w:ascii="Arial" w:hAnsi="Arial" w:eastAsia="Arial" w:cs="Arial"/>
          <w:color w:val="1C2833"/>
          <w:sz w:val="22"/>
          <w:szCs w:val="22"/>
        </w:rPr>
        <w:t>Supervision Model Profiles: Working in groups of two or three, participants create a visual profile card for one supervision model each (clinical, cognitive coaching, developmental, peer). Cards include: key assumptions, supervisor’s role, teacher's role, strengths, and appropriate contexts. Groups present and field questions, with the facilitator adding nuance and connecting across models.</w:t>
      </w:r>
    </w:p>
    <w:p w14:paraId="4F65E28E">
      <w:pPr>
        <w:pStyle w:val="16"/>
        <w:numPr>
          <w:ilvl w:val="0"/>
          <w:numId w:val="2"/>
        </w:numPr>
      </w:pPr>
      <w:r>
        <w:rPr>
          <w:rFonts w:ascii="Arial" w:hAnsi="Arial" w:eastAsia="Arial" w:cs="Arial"/>
          <w:color w:val="1C2833"/>
          <w:sz w:val="22"/>
          <w:szCs w:val="22"/>
        </w:rPr>
        <w:t>Developmental Supervision Roleplay: Given four written teacher profiles representing distinct developmental stages, participants practice adapting their supervisory approach to each profile in a series of short roleplay simulations. The facilitator provides real-time coaching during the roleplay, and the cohort debriefs together on what made each adaptation effective or ineffective.</w:t>
      </w:r>
    </w:p>
    <w:p w14:paraId="5191D4A7">
      <w:pPr>
        <w:pStyle w:val="16"/>
        <w:numPr>
          <w:ilvl w:val="0"/>
          <w:numId w:val="2"/>
        </w:numPr>
      </w:pPr>
      <w:r>
        <w:rPr>
          <w:rFonts w:ascii="Arial" w:hAnsi="Arial" w:eastAsia="Arial" w:cs="Arial"/>
          <w:color w:val="1C2833"/>
          <w:sz w:val="22"/>
          <w:szCs w:val="22"/>
        </w:rPr>
        <w:t>Peer Supervision Protocol Design: In pairs, participants design a complete two-cycle peer supervision protocol for a fictional school department of eight teachers. The protocol includes: participant orientation, focus agreement process, observation tool selection, co-reflection structure, and documentation format. Protocols are shared and critiqued across pairs.</w:t>
      </w:r>
    </w:p>
    <w:p w14:paraId="62C17E01">
      <w:pPr>
        <w:spacing w:after="120"/>
      </w:pPr>
    </w:p>
    <w:p w14:paraId="630F1EB9">
      <w:pPr>
        <w:spacing w:after="120"/>
      </w:pPr>
    </w:p>
    <w:p w14:paraId="7F7CDACC">
      <w:pPr>
        <w:spacing w:after="120"/>
      </w:pPr>
    </w:p>
    <w:p w14:paraId="15302958">
      <w:pPr>
        <w:spacing w:after="120"/>
      </w:pPr>
    </w:p>
    <w:p w14:paraId="3689AC34">
      <w:pPr>
        <w:spacing w:after="120"/>
      </w:pPr>
    </w:p>
    <w:p w14:paraId="5DB59A69">
      <w:pPr>
        <w:spacing w:after="120"/>
      </w:pPr>
    </w:p>
    <w:p w14:paraId="6F048A9D">
      <w:pPr>
        <w:spacing w:after="120"/>
      </w:pPr>
    </w:p>
    <w:p w14:paraId="51B738BB">
      <w:pPr>
        <w:spacing w:after="120"/>
      </w:pPr>
    </w:p>
    <w:p w14:paraId="193E58B8">
      <w:pPr>
        <w:spacing w:after="120"/>
      </w:pPr>
    </w:p>
    <w:p w14:paraId="78E51F06">
      <w:pPr>
        <w:spacing w:after="120"/>
      </w:pPr>
    </w:p>
    <w:p w14:paraId="7BF2EF53">
      <w:pPr>
        <w:spacing w:after="120"/>
      </w:pPr>
    </w:p>
    <w:p w14:paraId="792B9E94">
      <w:pPr>
        <w:spacing w:after="120"/>
      </w:pPr>
    </w:p>
    <w:p w14:paraId="72D2394F">
      <w:pPr>
        <w:spacing w:after="120"/>
      </w:pPr>
    </w:p>
    <w:p w14:paraId="6AD2F7FF">
      <w:pPr>
        <w:spacing w:after="120"/>
      </w:pPr>
    </w:p>
    <w:p w14:paraId="1FA7B701">
      <w:pPr>
        <w:spacing w:after="120"/>
      </w:pPr>
    </w:p>
    <w:p w14:paraId="090E3AA7">
      <w:pPr>
        <w:spacing w:after="120"/>
      </w:pPr>
    </w:p>
    <w:p w14:paraId="17CF5078">
      <w:pPr>
        <w:spacing w:after="120"/>
      </w:pPr>
    </w:p>
    <w:p w14:paraId="35541E9D">
      <w:pPr>
        <w:spacing w:after="120"/>
      </w:pPr>
    </w:p>
    <w:p w14:paraId="22CEB06B">
      <w:pPr>
        <w:spacing w:after="120"/>
      </w:pPr>
    </w:p>
    <w:p w14:paraId="6FE98A50">
      <w:pPr>
        <w:spacing w:after="120"/>
      </w:pPr>
    </w:p>
    <w:p w14:paraId="0F0EA1D6">
      <w:pPr>
        <w:spacing w:after="120"/>
      </w:pPr>
    </w:p>
    <w:p w14:paraId="10D40979">
      <w:pPr>
        <w:spacing w:after="120"/>
      </w:pPr>
    </w:p>
    <w:p w14:paraId="6FF2E14A">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1"/>
        <w:gridCol w:w="7495"/>
      </w:tblGrid>
      <w:tr w14:paraId="5AC3A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31" w:type="dxa"/>
            <w:tcBorders>
              <w:top w:val="nil"/>
              <w:left w:val="nil"/>
              <w:bottom w:val="nil"/>
              <w:right w:val="nil"/>
            </w:tcBorders>
            <w:shd w:val="clear" w:color="auto" w:fill="92D050"/>
            <w:tcMar>
              <w:top w:w="120" w:type="dxa"/>
              <w:left w:w="180" w:type="dxa"/>
              <w:bottom w:w="120" w:type="dxa"/>
              <w:right w:w="180" w:type="dxa"/>
            </w:tcMar>
            <w:vAlign w:val="center"/>
          </w:tcPr>
          <w:p w14:paraId="50B62E9F">
            <w:pPr>
              <w:jc w:val="center"/>
            </w:pPr>
            <w:r>
              <w:rPr>
                <w:rFonts w:ascii="Arial" w:hAnsi="Arial" w:eastAsia="Arial" w:cs="Arial"/>
                <w:b/>
                <w:bCs/>
                <w:color w:val="FFFFFF"/>
                <w:sz w:val="22"/>
                <w:szCs w:val="22"/>
              </w:rPr>
              <w:t>WEEK 10</w:t>
            </w:r>
          </w:p>
        </w:tc>
        <w:tc>
          <w:tcPr>
            <w:tcW w:w="7495" w:type="dxa"/>
            <w:tcBorders>
              <w:top w:val="nil"/>
              <w:left w:val="nil"/>
              <w:bottom w:val="nil"/>
              <w:right w:val="nil"/>
            </w:tcBorders>
            <w:shd w:val="clear" w:color="auto" w:fill="D6EAF8"/>
            <w:tcMar>
              <w:top w:w="120" w:type="dxa"/>
              <w:left w:w="220" w:type="dxa"/>
              <w:bottom w:w="120" w:type="dxa"/>
              <w:right w:w="180" w:type="dxa"/>
            </w:tcMar>
            <w:vAlign w:val="center"/>
          </w:tcPr>
          <w:p w14:paraId="6C756F5D">
            <w:r>
              <w:rPr>
                <w:rFonts w:ascii="Arial" w:hAnsi="Arial" w:eastAsia="Arial" w:cs="Arial"/>
                <w:b/>
                <w:bCs/>
                <w:color w:val="1B4F72"/>
                <w:sz w:val="26"/>
                <w:szCs w:val="26"/>
              </w:rPr>
              <w:t>Classroom Observation: Theory, Ethics &amp; Tools</w:t>
            </w:r>
          </w:p>
        </w:tc>
      </w:tr>
    </w:tbl>
    <w:p w14:paraId="32F01434">
      <w:pPr>
        <w:spacing w:after="120"/>
      </w:pPr>
    </w:p>
    <w:p w14:paraId="1015571B">
      <w:pPr>
        <w:spacing w:before="60" w:after="120"/>
      </w:pPr>
      <w:r>
        <w:rPr>
          <w:rFonts w:ascii="Arial" w:hAnsi="Arial" w:eastAsia="Arial" w:cs="Arial"/>
          <w:color w:val="1C2833"/>
          <w:sz w:val="22"/>
          <w:szCs w:val="22"/>
        </w:rPr>
        <w:t>Observation is the cornerstone of supervision. But observing a classroom is not the same as watching one. Professional observation requires deliberate preparation, a principled approach to data collection, systematic documentation, and a firm commitment to the ethical responsibilities that come with entering a teacher's professional space. Week 10 builds all of these capacities.</w:t>
      </w:r>
    </w:p>
    <w:p w14:paraId="23FA4518">
      <w:pPr>
        <w:pStyle w:val="5"/>
      </w:pPr>
      <w:r>
        <w:rPr>
          <w:rFonts w:ascii="Arial" w:hAnsi="Arial" w:eastAsia="Arial" w:cs="Arial"/>
          <w:b/>
          <w:bCs/>
          <w:color w:val="0E6655"/>
          <w:sz w:val="22"/>
          <w:szCs w:val="22"/>
        </w:rPr>
        <w:t>Topic 1: Types of Observation &amp; When to Use Each</w:t>
      </w:r>
    </w:p>
    <w:p w14:paraId="6238D515">
      <w:pPr>
        <w:spacing w:before="60" w:after="120"/>
        <w:rPr>
          <w:rFonts w:ascii="Arial" w:hAnsi="Arial" w:eastAsia="Arial" w:cs="Arial"/>
          <w:color w:val="1C2833"/>
          <w:sz w:val="22"/>
          <w:szCs w:val="22"/>
        </w:rPr>
      </w:pPr>
      <w:r>
        <w:rPr>
          <w:rFonts w:ascii="Arial" w:hAnsi="Arial" w:eastAsia="Arial" w:cs="Arial"/>
          <w:color w:val="1C2833"/>
          <w:sz w:val="22"/>
          <w:szCs w:val="22"/>
        </w:rPr>
        <w:t>Formal versus informal observation serve different purposes and carry different weight. Announced versus unannounced observation each have their place, but they also each carry risks that must be managed. Evaluative observation is designed to produce evidence for personnel decisions; developmental observation is designed to generate data for professional growth conversations. Full-lesson versus snapshot observation, wide-lens versus focused observation — every choice about what kind of observation to conduct reflects a prior decision about what the observation is for. This session examines each type in depth and develops participants' capacity to choose the right observation type for the right purpose.</w:t>
      </w:r>
    </w:p>
    <w:p w14:paraId="6A62CCB0">
      <w:pPr>
        <w:spacing w:before="60" w:after="120"/>
        <w:rPr>
          <w:rFonts w:ascii="Arial" w:hAnsi="Arial" w:eastAsia="Arial" w:cs="Arial"/>
          <w:color w:val="1C2833"/>
          <w:sz w:val="22"/>
          <w:szCs w:val="22"/>
        </w:rPr>
      </w:pPr>
    </w:p>
    <w:p w14:paraId="2C5CD68D">
      <w:pPr>
        <w:pStyle w:val="5"/>
      </w:pPr>
      <w:r>
        <w:rPr>
          <w:rFonts w:ascii="Arial" w:hAnsi="Arial" w:eastAsia="Arial" w:cs="Arial"/>
          <w:b/>
          <w:bCs/>
          <w:color w:val="0E6655"/>
          <w:sz w:val="22"/>
          <w:szCs w:val="22"/>
        </w:rPr>
        <w:t>Topic 2: Observation Tools &amp; Instruments</w:t>
      </w:r>
    </w:p>
    <w:p w14:paraId="4BCFE4EE">
      <w:pPr>
        <w:spacing w:before="60" w:after="120"/>
      </w:pPr>
      <w:r>
        <w:rPr>
          <w:rFonts w:ascii="Arial" w:hAnsi="Arial" w:eastAsia="Arial" w:cs="Arial"/>
          <w:color w:val="1C2833"/>
          <w:sz w:val="22"/>
          <w:szCs w:val="22"/>
        </w:rPr>
        <w:t>A supervisor without an observation tool is a supervisor collecting impressions rather than data. Low-inference observation tools (scripting, tally charts, interaction mapping, time-on-task coding) capture what actually happened in the classroom — who said what, when, how often, and in what sequence — without interpretation. High-inference tools (rubrics, rating scales) require the observer to make judgments about quality. Both have their place; the critical skill is using each appropriately and knowing the limitations of both. Participants learn to design, adapt, and use observation tools for a range of specific instructional focus areas.</w:t>
      </w:r>
    </w:p>
    <w:p w14:paraId="3CD2DC7E">
      <w:pPr>
        <w:spacing w:after="120"/>
      </w:pPr>
    </w:p>
    <w:p w14:paraId="551F451A">
      <w:pPr>
        <w:pStyle w:val="5"/>
      </w:pPr>
      <w:r>
        <w:rPr>
          <w:rFonts w:ascii="Arial" w:hAnsi="Arial" w:eastAsia="Arial" w:cs="Arial"/>
          <w:b/>
          <w:bCs/>
          <w:color w:val="0E6655"/>
          <w:sz w:val="22"/>
          <w:szCs w:val="22"/>
        </w:rPr>
        <w:t>Topic 3: The Ethics of Observation</w:t>
      </w:r>
    </w:p>
    <w:p w14:paraId="1F979938">
      <w:pPr>
        <w:spacing w:before="60" w:after="120"/>
      </w:pPr>
      <w:r>
        <w:rPr>
          <w:rFonts w:ascii="Arial" w:hAnsi="Arial" w:eastAsia="Arial" w:cs="Arial"/>
          <w:color w:val="1C2833"/>
          <w:sz w:val="22"/>
          <w:szCs w:val="22"/>
        </w:rPr>
        <w:t>Observation is inherently powerful. A supervisor entering a classroom holds institutional authority over the person they are observing, and that power must be handled with care. The Hawthorne effect — the well-documented tendency for observed performance to be affected by the fact of being observed — complicates the reliability of any observation. Questions of confidentiality (who sees the data?), professional dignity (how are findings shared?), and purpose (are we developing or evaluating?) are examined through an explicit ethical framework. Participants develop a personal ethical position on observation that they carry into their practicum.</w:t>
      </w:r>
    </w:p>
    <w:p w14:paraId="0DF2BD36">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7B07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6F2A3E03">
            <w:pPr>
              <w:spacing w:before="80" w:after="100"/>
            </w:pPr>
            <w:r>
              <w:rPr>
                <w:rFonts w:ascii="Arial" w:hAnsi="Arial" w:eastAsia="Arial" w:cs="Arial"/>
                <w:b/>
                <w:bCs/>
                <w:color w:val="1B4F72"/>
                <w:sz w:val="24"/>
                <w:szCs w:val="24"/>
              </w:rPr>
              <w:t>Learning Outcomes — Week 10</w:t>
            </w:r>
          </w:p>
          <w:p w14:paraId="39117010">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Select the most appropriate type of observation for a given supervisory purpose and justify that selection against established professional criteria</w:t>
            </w:r>
          </w:p>
          <w:p w14:paraId="560019F3">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Design or adapt a low-inference observation tool for a specific instructional focus area</w:t>
            </w:r>
          </w:p>
          <w:p w14:paraId="0DF80726">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Conduct a focused observation using a structured tool, clearly distinguishing between data collection and interpretation</w:t>
            </w:r>
          </w:p>
          <w:p w14:paraId="4E43663A">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Apply an ethical framework to classroom observation practice, addressing confidentiality, power dynamics, and professional dignity</w:t>
            </w:r>
          </w:p>
        </w:tc>
      </w:tr>
    </w:tbl>
    <w:p w14:paraId="39ABE904">
      <w:pPr>
        <w:pStyle w:val="5"/>
      </w:pPr>
      <w:r>
        <w:rPr>
          <w:rFonts w:ascii="Arial" w:hAnsi="Arial" w:eastAsia="Arial" w:cs="Arial"/>
          <w:b/>
          <w:bCs/>
          <w:color w:val="0E6655"/>
          <w:sz w:val="22"/>
          <w:szCs w:val="22"/>
        </w:rPr>
        <w:t>Week 10 Activities</w:t>
      </w:r>
    </w:p>
    <w:p w14:paraId="3FFDFB08">
      <w:pPr>
        <w:pStyle w:val="16"/>
        <w:numPr>
          <w:ilvl w:val="0"/>
          <w:numId w:val="2"/>
        </w:numPr>
      </w:pPr>
      <w:r>
        <w:rPr>
          <w:rFonts w:ascii="Arial" w:hAnsi="Arial" w:eastAsia="Arial" w:cs="Arial"/>
          <w:color w:val="1C2833"/>
          <w:sz w:val="22"/>
          <w:szCs w:val="22"/>
        </w:rPr>
        <w:t>Observation Tool Design Lab: Working in groups of three, participants design an original low-inference observation tool for one of three provided instructional focus areas (teacher questioning patterns, student-to-student interaction, task comprehension indicators). They pilot their tool on a 15-minute video observation, then revise it based on piloting experience. Each group presents their revised tool with a rationale.</w:t>
      </w:r>
    </w:p>
    <w:p w14:paraId="6419D625">
      <w:pPr>
        <w:pStyle w:val="16"/>
        <w:numPr>
          <w:ilvl w:val="0"/>
          <w:numId w:val="2"/>
        </w:numPr>
      </w:pPr>
      <w:r>
        <w:rPr>
          <w:rFonts w:ascii="Arial" w:hAnsi="Arial" w:eastAsia="Arial" w:cs="Arial"/>
          <w:color w:val="1C2833"/>
          <w:sz w:val="22"/>
          <w:szCs w:val="22"/>
        </w:rPr>
        <w:t>Live Video Observation Practice: The whole cohort watches the same 20-minute recorded lesson segment. Each participant completes the observation independently using a different provided tool (scripting, interaction map, tally chart). After observation, partners compare their data, discuss what each tool captured and missed, and reflect on how the tool shaped what they attended to.</w:t>
      </w:r>
    </w:p>
    <w:p w14:paraId="26F176F3">
      <w:pPr>
        <w:pStyle w:val="16"/>
        <w:numPr>
          <w:ilvl w:val="0"/>
          <w:numId w:val="2"/>
        </w:numPr>
      </w:pPr>
      <w:r>
        <w:rPr>
          <w:rFonts w:ascii="Arial" w:hAnsi="Arial" w:eastAsia="Arial" w:cs="Arial"/>
          <w:color w:val="1C2833"/>
          <w:sz w:val="22"/>
          <w:szCs w:val="22"/>
        </w:rPr>
        <w:t>Ethical Dilemma Discussion: Small groups receive five written ethical dilemma scenarios drawn from real-world observation practice (e.g., an unannounced observation of a struggling teacher who had not been informed of the evaluation policy; a post-observation report that is accessed by a teacher's colleague without permission). Groups analyse each scenario using a shared ethical decision-making framework and present their resolutions.</w:t>
      </w:r>
    </w:p>
    <w:p w14:paraId="5230D016">
      <w:pPr>
        <w:spacing w:after="120"/>
      </w:pPr>
    </w:p>
    <w:p w14:paraId="0AE0D707">
      <w:pPr>
        <w:spacing w:after="120"/>
      </w:pPr>
    </w:p>
    <w:p w14:paraId="1EAC026F">
      <w:pPr>
        <w:spacing w:after="120"/>
      </w:pPr>
    </w:p>
    <w:p w14:paraId="3DD722A6">
      <w:pPr>
        <w:spacing w:after="120"/>
      </w:pPr>
    </w:p>
    <w:p w14:paraId="618C4BCA">
      <w:pPr>
        <w:spacing w:after="120"/>
      </w:pPr>
    </w:p>
    <w:p w14:paraId="6037A814">
      <w:pPr>
        <w:spacing w:after="120"/>
      </w:pPr>
    </w:p>
    <w:p w14:paraId="26AF5401">
      <w:pPr>
        <w:spacing w:after="120"/>
      </w:pPr>
    </w:p>
    <w:p w14:paraId="3E5847CF">
      <w:pPr>
        <w:spacing w:after="120"/>
      </w:pPr>
    </w:p>
    <w:p w14:paraId="284A011F">
      <w:pPr>
        <w:spacing w:after="120"/>
      </w:pPr>
    </w:p>
    <w:p w14:paraId="2B7B9604">
      <w:pPr>
        <w:spacing w:after="120"/>
      </w:pPr>
    </w:p>
    <w:p w14:paraId="4EFF8334">
      <w:pPr>
        <w:spacing w:after="120"/>
      </w:pPr>
    </w:p>
    <w:p w14:paraId="615A12D7">
      <w:pPr>
        <w:spacing w:after="120"/>
      </w:pPr>
    </w:p>
    <w:p w14:paraId="4D6D8D06">
      <w:pPr>
        <w:spacing w:after="120"/>
      </w:pPr>
    </w:p>
    <w:p w14:paraId="1EB565F9">
      <w:pPr>
        <w:spacing w:after="120"/>
      </w:pPr>
    </w:p>
    <w:p w14:paraId="0A9B8204">
      <w:pPr>
        <w:spacing w:after="120"/>
      </w:pPr>
    </w:p>
    <w:p w14:paraId="1C04B3A8">
      <w:pPr>
        <w:spacing w:after="120"/>
      </w:pPr>
    </w:p>
    <w:p w14:paraId="41E69BE3">
      <w:pPr>
        <w:spacing w:after="120"/>
      </w:pPr>
    </w:p>
    <w:p w14:paraId="3602ACC4">
      <w:pPr>
        <w:spacing w:after="120"/>
      </w:pPr>
    </w:p>
    <w:p w14:paraId="7B382A2C">
      <w:pPr>
        <w:spacing w:after="120"/>
      </w:pPr>
    </w:p>
    <w:p w14:paraId="2035B3E6">
      <w:pPr>
        <w:spacing w:after="120"/>
      </w:pPr>
    </w:p>
    <w:p w14:paraId="418AD8F6">
      <w:pPr>
        <w:spacing w:after="120"/>
      </w:pPr>
    </w:p>
    <w:p w14:paraId="3D70C17A">
      <w:pPr>
        <w:spacing w:after="120"/>
      </w:pPr>
    </w:p>
    <w:p w14:paraId="6638B817">
      <w:pPr>
        <w:spacing w:after="120"/>
      </w:pPr>
    </w:p>
    <w:p w14:paraId="4CC50336">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463A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40" w:type="dxa"/>
            <w:tcBorders>
              <w:top w:val="nil"/>
              <w:left w:val="nil"/>
              <w:bottom w:val="nil"/>
              <w:right w:val="nil"/>
            </w:tcBorders>
            <w:shd w:val="clear" w:color="auto" w:fill="92D050"/>
            <w:tcMar>
              <w:top w:w="120" w:type="dxa"/>
              <w:left w:w="180" w:type="dxa"/>
              <w:bottom w:w="120" w:type="dxa"/>
              <w:right w:w="180" w:type="dxa"/>
            </w:tcMar>
            <w:vAlign w:val="center"/>
          </w:tcPr>
          <w:p w14:paraId="45F5ECB7">
            <w:pPr>
              <w:jc w:val="center"/>
            </w:pPr>
            <w:r>
              <w:rPr>
                <w:rFonts w:ascii="Arial" w:hAnsi="Arial" w:eastAsia="Arial" w:cs="Arial"/>
                <w:b/>
                <w:bCs/>
                <w:color w:val="FFFFFF"/>
                <w:sz w:val="22"/>
                <w:szCs w:val="22"/>
              </w:rPr>
              <w:t>WEEK 11</w:t>
            </w:r>
          </w:p>
        </w:tc>
        <w:tc>
          <w:tcPr>
            <w:tcW w:w="7586" w:type="dxa"/>
            <w:tcBorders>
              <w:top w:val="nil"/>
              <w:left w:val="nil"/>
              <w:bottom w:val="nil"/>
              <w:right w:val="nil"/>
            </w:tcBorders>
            <w:shd w:val="clear" w:color="auto" w:fill="D6EAF8"/>
            <w:tcMar>
              <w:top w:w="120" w:type="dxa"/>
              <w:left w:w="220" w:type="dxa"/>
              <w:bottom w:w="120" w:type="dxa"/>
              <w:right w:w="180" w:type="dxa"/>
            </w:tcMar>
            <w:vAlign w:val="center"/>
          </w:tcPr>
          <w:p w14:paraId="00145433">
            <w:r>
              <w:rPr>
                <w:rFonts w:ascii="Arial" w:hAnsi="Arial" w:eastAsia="Arial" w:cs="Arial"/>
                <w:b/>
                <w:bCs/>
                <w:color w:val="1B4F72"/>
                <w:sz w:val="26"/>
                <w:szCs w:val="26"/>
              </w:rPr>
              <w:t>Pre- and Post-Observation Conferences</w:t>
            </w:r>
          </w:p>
        </w:tc>
      </w:tr>
    </w:tbl>
    <w:p w14:paraId="01173979">
      <w:pPr>
        <w:spacing w:after="120"/>
      </w:pPr>
    </w:p>
    <w:p w14:paraId="17EFA0DE">
      <w:pPr>
        <w:spacing w:before="60" w:after="120"/>
      </w:pPr>
      <w:r>
        <w:rPr>
          <w:rFonts w:ascii="Arial" w:hAnsi="Arial" w:eastAsia="Arial" w:cs="Arial"/>
          <w:color w:val="1C2833"/>
          <w:sz w:val="22"/>
          <w:szCs w:val="22"/>
        </w:rPr>
        <w:t>Observation without conversation is surveillance. The professional conversation that frames the observation — before and after — is where the real developmental work happens. Week 11 is dedicated entirely to the art and science of the observation conference: how to open the pre-conference in a way that builds trust and focuses attention, and how to structure the post-conference so that the teacher leaves it thinking more clearly, feeling more capable, and acting more deliberately.</w:t>
      </w:r>
    </w:p>
    <w:p w14:paraId="1CB1F5CB">
      <w:pPr>
        <w:spacing w:after="120"/>
      </w:pPr>
    </w:p>
    <w:p w14:paraId="187FAB4D">
      <w:pPr>
        <w:pStyle w:val="5"/>
      </w:pPr>
      <w:r>
        <w:rPr>
          <w:rFonts w:ascii="Arial" w:hAnsi="Arial" w:eastAsia="Arial" w:cs="Arial"/>
          <w:b/>
          <w:bCs/>
          <w:color w:val="0E6655"/>
          <w:sz w:val="22"/>
          <w:szCs w:val="22"/>
        </w:rPr>
        <w:t>Topic 1: The Pre-Observation Conference</w:t>
      </w:r>
    </w:p>
    <w:p w14:paraId="103E831C">
      <w:pPr>
        <w:spacing w:before="60" w:after="120"/>
      </w:pPr>
      <w:r>
        <w:rPr>
          <w:rFonts w:ascii="Arial" w:hAnsi="Arial" w:eastAsia="Arial" w:cs="Arial"/>
          <w:color w:val="1C2833"/>
          <w:sz w:val="22"/>
          <w:szCs w:val="22"/>
        </w:rPr>
        <w:t>The pre-conference is not administrative. It is developmental. Done well, it shifts the teacher from passive subject of observation to active agent in their own professional inquiry. The supervisor's role is to help the teacher articulate what they are trying to achieve, what they are curious or uncertain about, and where they would most value a second set of eyes. The observation focus that emerges from a genuine pre-conference conversation is always more meaningful than one imposed by the supervisor. This session explores the structure and questions of the pre-conference, and the specific communication behaviours that build trust and reduce the anxiety of being observed.</w:t>
      </w:r>
    </w:p>
    <w:p w14:paraId="2C78F426">
      <w:pPr>
        <w:spacing w:after="120"/>
      </w:pPr>
    </w:p>
    <w:p w14:paraId="1393A32B">
      <w:pPr>
        <w:pStyle w:val="5"/>
      </w:pPr>
      <w:r>
        <w:rPr>
          <w:rFonts w:ascii="Arial" w:hAnsi="Arial" w:eastAsia="Arial" w:cs="Arial"/>
          <w:b/>
          <w:bCs/>
          <w:color w:val="0E6655"/>
          <w:sz w:val="22"/>
          <w:szCs w:val="22"/>
        </w:rPr>
        <w:t>Topic 2: The Post-Observation Conference</w:t>
      </w:r>
    </w:p>
    <w:p w14:paraId="10A6BDDD">
      <w:pPr>
        <w:spacing w:before="60" w:after="120"/>
      </w:pPr>
      <w:r>
        <w:rPr>
          <w:rFonts w:ascii="Arial" w:hAnsi="Arial" w:eastAsia="Arial" w:cs="Arial"/>
          <w:color w:val="1C2833"/>
          <w:sz w:val="22"/>
          <w:szCs w:val="22"/>
        </w:rPr>
        <w:t>The post-observation conference has a clear structural logic: it begins with the teacher's self-reflection (What did you notice? What went as planned? What surprised you?); it moves into the supervisor's presentation of observational data (not interpretation — data); it develops through collaborative analysis of that data (What patterns do you see? What might explain this?); and it closes with specific, self-generated action planning (What will you try differently, and how will you know if it's working?). Every phase of this structure is explored in depth, with particular attention to the transition from data presentation to reflective dialogue and the skill of asking questions that help teachers see what they already know.</w:t>
      </w:r>
    </w:p>
    <w:p w14:paraId="0C247063">
      <w:pPr>
        <w:spacing w:after="120"/>
      </w:pPr>
    </w:p>
    <w:p w14:paraId="706D66C9">
      <w:pPr>
        <w:pStyle w:val="5"/>
      </w:pPr>
      <w:r>
        <w:rPr>
          <w:rFonts w:ascii="Arial" w:hAnsi="Arial" w:eastAsia="Arial" w:cs="Arial"/>
          <w:b/>
          <w:bCs/>
          <w:color w:val="0E6655"/>
          <w:sz w:val="22"/>
          <w:szCs w:val="22"/>
        </w:rPr>
        <w:t>Topic 3: Conference Communication Skills</w:t>
      </w:r>
    </w:p>
    <w:p w14:paraId="2DAA3801">
      <w:pPr>
        <w:spacing w:before="60" w:after="120"/>
      </w:pPr>
      <w:r>
        <w:rPr>
          <w:rFonts w:ascii="Arial" w:hAnsi="Arial" w:eastAsia="Arial" w:cs="Arial"/>
          <w:color w:val="1C2833"/>
          <w:sz w:val="22"/>
          <w:szCs w:val="22"/>
        </w:rPr>
        <w:t>Active listening, paraphrasing, and intentional silence are the technical skills that make conferences work. A supervisor who cannot listen without interrupting, who cannot paraphrase without reinterpreting, and who fills every silence with advice, cannot conduct an effective conference regardless of how well they know the observation frameworks. This session builds these skills directly through practice: participants experience what it feels like to be genuinely listened to in a professional context, and develop the discipline of silence and the precision of paraphrase.</w:t>
      </w:r>
    </w:p>
    <w:p w14:paraId="27B25528">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17B1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344D5CB2">
            <w:pPr>
              <w:spacing w:before="80" w:after="100"/>
            </w:pPr>
            <w:r>
              <w:rPr>
                <w:rFonts w:ascii="Arial" w:hAnsi="Arial" w:eastAsia="Arial" w:cs="Arial"/>
                <w:b/>
                <w:bCs/>
                <w:color w:val="1B4F72"/>
                <w:sz w:val="24"/>
                <w:szCs w:val="24"/>
              </w:rPr>
              <w:t>Learning Outcomes — Week 11</w:t>
            </w:r>
          </w:p>
          <w:p w14:paraId="707ABAAE">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Facilitate a structured pre-observation conference that is genuinely collaborative and results in a self-determined observation focus</w:t>
            </w:r>
          </w:p>
          <w:p w14:paraId="4BD76F48">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Lead a post-observation conference that follows the data-to-reflection-to-action structure and maintains a teacher-centred orientation throughout</w:t>
            </w:r>
          </w:p>
          <w:p w14:paraId="4C95D53B">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Apply active listening, paraphrasing, and strategic silence as core conference communication skills</w:t>
            </w:r>
          </w:p>
          <w:p w14:paraId="541916B2">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Manage common conference difficulties (defensiveness, dominance, tears, deflection) using professional communication strategies</w:t>
            </w:r>
          </w:p>
        </w:tc>
      </w:tr>
    </w:tbl>
    <w:p w14:paraId="64901103">
      <w:pPr>
        <w:spacing w:after="120"/>
      </w:pPr>
    </w:p>
    <w:p w14:paraId="6083C52E">
      <w:pPr>
        <w:pStyle w:val="5"/>
      </w:pPr>
      <w:r>
        <w:rPr>
          <w:rFonts w:ascii="Arial" w:hAnsi="Arial" w:eastAsia="Arial" w:cs="Arial"/>
          <w:b/>
          <w:bCs/>
          <w:color w:val="0E6655"/>
          <w:sz w:val="22"/>
          <w:szCs w:val="22"/>
        </w:rPr>
        <w:t>Week 11 Activities</w:t>
      </w:r>
    </w:p>
    <w:p w14:paraId="6BD4626B">
      <w:pPr>
        <w:pStyle w:val="16"/>
        <w:numPr>
          <w:ilvl w:val="0"/>
          <w:numId w:val="2"/>
        </w:numPr>
      </w:pPr>
      <w:r>
        <w:rPr>
          <w:rFonts w:ascii="Arial" w:hAnsi="Arial" w:eastAsia="Arial" w:cs="Arial"/>
          <w:color w:val="1C2833"/>
          <w:sz w:val="22"/>
          <w:szCs w:val="22"/>
        </w:rPr>
        <w:t>Conference Transcript Analysis: Participants receive a detailed transcript of a post-observation conference. Using an annotation protocol, they identify effective and ineffective supervisor moves, highlight transitions between conference phases, and note missed opportunities for deeper reflective questioning. Annotations are compared and discussed with a partner, then presented to the full cohort.</w:t>
      </w:r>
    </w:p>
    <w:p w14:paraId="4CAC9FF2">
      <w:pPr>
        <w:pStyle w:val="16"/>
        <w:numPr>
          <w:ilvl w:val="0"/>
          <w:numId w:val="2"/>
        </w:numPr>
      </w:pPr>
      <w:r>
        <w:rPr>
          <w:rFonts w:ascii="Arial" w:hAnsi="Arial" w:eastAsia="Arial" w:cs="Arial"/>
          <w:color w:val="1C2833"/>
          <w:sz w:val="22"/>
          <w:szCs w:val="22"/>
        </w:rPr>
        <w:t>Full Observation Conference Sequence Roleplay: Working in triads, participants role-play a complete pre-and-post-observation conference sequence. One participant plays the supervisor, one plays the teacher (using a provided teacher profile card), and the third observes using a structured tool. After each roleplay, the observer provides structured feedback and the triad debriefs together. Roles rotate so each participant experiences all three positions.</w:t>
      </w:r>
    </w:p>
    <w:p w14:paraId="19C48DCE">
      <w:pPr>
        <w:pStyle w:val="16"/>
        <w:numPr>
          <w:ilvl w:val="0"/>
          <w:numId w:val="2"/>
        </w:numPr>
      </w:pPr>
      <w:r>
        <w:rPr>
          <w:rFonts w:ascii="Arial" w:hAnsi="Arial" w:eastAsia="Arial" w:cs="Arial"/>
          <w:color w:val="1C2833"/>
          <w:sz w:val="22"/>
          <w:szCs w:val="22"/>
        </w:rPr>
        <w:t>Conference Phrase Bank: Working collaboratively, the cohort builds a shared conference phrase bank — a collection of questions, transitions, paraphrases, and de-escalation moves organised by conference phase and function. The bank is added to each participant's portfolio as a practical reference tool.</w:t>
      </w:r>
    </w:p>
    <w:p w14:paraId="1BBA4204">
      <w:pPr>
        <w:spacing w:after="120"/>
      </w:pPr>
    </w:p>
    <w:p w14:paraId="7B7D1FC5">
      <w:pPr>
        <w:spacing w:after="120"/>
      </w:pPr>
    </w:p>
    <w:p w14:paraId="64797E65">
      <w:pPr>
        <w:spacing w:after="120"/>
      </w:pPr>
    </w:p>
    <w:p w14:paraId="4779E598">
      <w:pPr>
        <w:spacing w:after="120"/>
      </w:pPr>
    </w:p>
    <w:p w14:paraId="2776167C">
      <w:pPr>
        <w:spacing w:after="120"/>
      </w:pPr>
    </w:p>
    <w:p w14:paraId="1060F558">
      <w:pPr>
        <w:spacing w:after="120"/>
      </w:pPr>
    </w:p>
    <w:p w14:paraId="2472CFA8">
      <w:pPr>
        <w:spacing w:after="120"/>
      </w:pPr>
    </w:p>
    <w:p w14:paraId="4C747E64">
      <w:pPr>
        <w:spacing w:after="120"/>
      </w:pPr>
    </w:p>
    <w:p w14:paraId="1322B064">
      <w:pPr>
        <w:spacing w:after="120"/>
      </w:pPr>
    </w:p>
    <w:p w14:paraId="7B9E2E3C">
      <w:pPr>
        <w:spacing w:after="120"/>
      </w:pPr>
    </w:p>
    <w:p w14:paraId="1416BCDD">
      <w:pPr>
        <w:spacing w:after="120"/>
      </w:pPr>
    </w:p>
    <w:p w14:paraId="289ADC57">
      <w:pPr>
        <w:spacing w:after="120"/>
      </w:pPr>
    </w:p>
    <w:p w14:paraId="591E8360">
      <w:pPr>
        <w:spacing w:after="120"/>
      </w:pPr>
    </w:p>
    <w:p w14:paraId="60CAE070">
      <w:pPr>
        <w:spacing w:after="120"/>
      </w:pPr>
    </w:p>
    <w:p w14:paraId="5BF1CA45">
      <w:pPr>
        <w:spacing w:after="120"/>
      </w:pPr>
    </w:p>
    <w:p w14:paraId="1C7C51D0">
      <w:pPr>
        <w:spacing w:after="120"/>
      </w:pPr>
    </w:p>
    <w:p w14:paraId="7C57D040">
      <w:pPr>
        <w:spacing w:after="120"/>
      </w:pPr>
    </w:p>
    <w:p w14:paraId="6411D8D5">
      <w:pPr>
        <w:spacing w:after="120"/>
      </w:pPr>
    </w:p>
    <w:p w14:paraId="33687405">
      <w:pPr>
        <w:spacing w:after="120"/>
      </w:pPr>
    </w:p>
    <w:p w14:paraId="1DCFF5E8">
      <w:pPr>
        <w:spacing w:after="120"/>
      </w:pPr>
    </w:p>
    <w:p w14:paraId="6940B600">
      <w:pPr>
        <w:spacing w:after="120"/>
      </w:pPr>
    </w:p>
    <w:p w14:paraId="187CACCC">
      <w:pPr>
        <w:spacing w:after="120"/>
      </w:pPr>
    </w:p>
    <w:p w14:paraId="42F6EA89">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6"/>
        <w:gridCol w:w="7630"/>
      </w:tblGrid>
      <w:tr w14:paraId="5F9B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96" w:type="dxa"/>
            <w:tcBorders>
              <w:top w:val="nil"/>
              <w:left w:val="nil"/>
              <w:bottom w:val="nil"/>
              <w:right w:val="nil"/>
            </w:tcBorders>
            <w:shd w:val="clear" w:color="auto" w:fill="92D050"/>
            <w:tcMar>
              <w:top w:w="120" w:type="dxa"/>
              <w:left w:w="180" w:type="dxa"/>
              <w:bottom w:w="120" w:type="dxa"/>
              <w:right w:w="180" w:type="dxa"/>
            </w:tcMar>
            <w:vAlign w:val="center"/>
          </w:tcPr>
          <w:p w14:paraId="22226908">
            <w:pPr>
              <w:jc w:val="center"/>
            </w:pPr>
            <w:r>
              <w:rPr>
                <w:rFonts w:ascii="Arial" w:hAnsi="Arial" w:eastAsia="Arial" w:cs="Arial"/>
                <w:b/>
                <w:bCs/>
                <w:color w:val="FFFFFF"/>
                <w:sz w:val="22"/>
                <w:szCs w:val="22"/>
              </w:rPr>
              <w:t>WEEK 12</w:t>
            </w:r>
          </w:p>
        </w:tc>
        <w:tc>
          <w:tcPr>
            <w:tcW w:w="7630" w:type="dxa"/>
            <w:tcBorders>
              <w:top w:val="nil"/>
              <w:left w:val="nil"/>
              <w:bottom w:val="nil"/>
              <w:right w:val="nil"/>
            </w:tcBorders>
            <w:shd w:val="clear" w:color="auto" w:fill="D6EAF8"/>
            <w:tcMar>
              <w:top w:w="120" w:type="dxa"/>
              <w:left w:w="220" w:type="dxa"/>
              <w:bottom w:w="120" w:type="dxa"/>
              <w:right w:w="180" w:type="dxa"/>
            </w:tcMar>
            <w:vAlign w:val="center"/>
          </w:tcPr>
          <w:p w14:paraId="7D93F846">
            <w:r>
              <w:rPr>
                <w:rFonts w:ascii="Arial" w:hAnsi="Arial" w:eastAsia="Arial" w:cs="Arial"/>
                <w:b/>
                <w:bCs/>
                <w:color w:val="1B4F72"/>
                <w:sz w:val="26"/>
                <w:szCs w:val="26"/>
              </w:rPr>
              <w:t>Performance Evaluation &amp; Difficult Conversations</w:t>
            </w:r>
          </w:p>
        </w:tc>
      </w:tr>
    </w:tbl>
    <w:p w14:paraId="620B2F08">
      <w:pPr>
        <w:spacing w:after="120"/>
      </w:pPr>
    </w:p>
    <w:p w14:paraId="360F9123">
      <w:pPr>
        <w:spacing w:before="60" w:after="120"/>
      </w:pPr>
      <w:r>
        <w:rPr>
          <w:rFonts w:ascii="Arial" w:hAnsi="Arial" w:eastAsia="Arial" w:cs="Arial"/>
          <w:color w:val="1C2833"/>
          <w:sz w:val="22"/>
          <w:szCs w:val="22"/>
        </w:rPr>
        <w:t>Supervision that never evaluates is supervision that never fully serves the institution or, ultimately, the students. But evaluation conducted without professional care destroys the trust that effective supervision depends on. Week 12 navigates this central tension: the supervisor as both developer and evaluator, both support and accountability. It also prepares participants for the hardest conversations in supervisory practice — the ones about chronic underperformance.</w:t>
      </w:r>
    </w:p>
    <w:p w14:paraId="3DFF9855">
      <w:pPr>
        <w:spacing w:after="120"/>
      </w:pPr>
    </w:p>
    <w:p w14:paraId="5B51981A">
      <w:pPr>
        <w:pStyle w:val="5"/>
      </w:pPr>
      <w:r>
        <w:rPr>
          <w:rFonts w:ascii="Arial" w:hAnsi="Arial" w:eastAsia="Arial" w:cs="Arial"/>
          <w:b/>
          <w:bCs/>
          <w:color w:val="0E6655"/>
          <w:sz w:val="22"/>
          <w:szCs w:val="22"/>
        </w:rPr>
        <w:t>Topic 1: Evaluation vs. Supervision — Holding Both</w:t>
      </w:r>
    </w:p>
    <w:p w14:paraId="47C0D8F1">
      <w:pPr>
        <w:spacing w:before="60" w:after="120"/>
      </w:pPr>
      <w:r>
        <w:rPr>
          <w:rFonts w:ascii="Arial" w:hAnsi="Arial" w:eastAsia="Arial" w:cs="Arial"/>
          <w:color w:val="1C2833"/>
          <w:sz w:val="22"/>
          <w:szCs w:val="22"/>
        </w:rPr>
        <w:t>The tension between formative supervision (developmental, growth-focused, collaborative) and summative evaluation (judgmental, standards-referenced, consequential) is one of the deepest tensions in the supervision literature. When a supervisor also evaluates, the trust required for honest developmental dialogue is at risk. Yet accountability is not optional — students' learning and institutional standards depend on it. Participants examine how different institutional contexts manage this tension, what structures can protect the developmental relationship while maintaining accountability, and how transparent communication about role and purpose can reduce (though not eliminate) the tension.</w:t>
      </w:r>
    </w:p>
    <w:p w14:paraId="12EBE442">
      <w:pPr>
        <w:pStyle w:val="5"/>
      </w:pPr>
      <w:r>
        <w:rPr>
          <w:rFonts w:ascii="Arial" w:hAnsi="Arial" w:eastAsia="Arial" w:cs="Arial"/>
          <w:b/>
          <w:bCs/>
          <w:color w:val="0E6655"/>
          <w:sz w:val="22"/>
          <w:szCs w:val="22"/>
        </w:rPr>
        <w:t>Topic 2: Designing Evaluation Rubrics &amp; Criteria</w:t>
      </w:r>
    </w:p>
    <w:p w14:paraId="5385A4A5">
      <w:pPr>
        <w:spacing w:before="60" w:after="120"/>
      </w:pPr>
      <w:r>
        <w:rPr>
          <w:rFonts w:ascii="Arial" w:hAnsi="Arial" w:eastAsia="Arial" w:cs="Arial"/>
          <w:color w:val="1C2833"/>
          <w:sz w:val="22"/>
          <w:szCs w:val="22"/>
        </w:rPr>
        <w:t>Fair evaluation requires clear, shared criteria. Participants learn to design competency-based evaluation rubrics aligned to institutional teaching standards, exploring the difference between holistic rubrics (overall impression) and analytic rubrics (criteria-by-criteria judgments). The process of calibrating rubrics across multiple evaluators — ensuring that two supervisors using the same rubric reach approximately the same conclusion when observing the same lesson — is practised through inter-rater reliability exercises. The principle of involving teachers in co-constructing or at least reviewing the criteria by which they will be evaluated is introduced as a trust-building and transparency practice.</w:t>
      </w:r>
    </w:p>
    <w:p w14:paraId="2290962F">
      <w:pPr>
        <w:spacing w:after="120"/>
      </w:pPr>
    </w:p>
    <w:p w14:paraId="6F111623">
      <w:pPr>
        <w:pStyle w:val="5"/>
      </w:pPr>
      <w:r>
        <w:rPr>
          <w:rFonts w:ascii="Arial" w:hAnsi="Arial" w:eastAsia="Arial" w:cs="Arial"/>
          <w:b/>
          <w:bCs/>
          <w:color w:val="0E6655"/>
          <w:sz w:val="22"/>
          <w:szCs w:val="22"/>
        </w:rPr>
        <w:t>Topic 3: Navigating Difficult Evaluation Conversations</w:t>
      </w:r>
    </w:p>
    <w:p w14:paraId="7BECCFFB">
      <w:pPr>
        <w:spacing w:before="60" w:after="120"/>
      </w:pPr>
      <w:r>
        <w:rPr>
          <w:rFonts w:ascii="Arial" w:hAnsi="Arial" w:eastAsia="Arial" w:cs="Arial"/>
          <w:color w:val="1C2833"/>
          <w:sz w:val="22"/>
          <w:szCs w:val="22"/>
        </w:rPr>
        <w:t>Some evaluation conversations are straightforward. Others are not. When a teacher is chronically underperforming, when they respond to feedback with defensiveness, tears, aggression, or disengagement, when the evaluation outcome has serious professional consequences — these are the moments when supervisory skill is most tested. Participants develop language for addressing underperformance directly and professionally, strategies for managing their own emotional responses during difficult conversations, an understanding of when to escalate and who to involve, and a framework for documentation that protects all parties. The legal and institutional dimensions of evaluation are also introduced.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70C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786997DE">
            <w:pPr>
              <w:spacing w:before="80" w:after="100"/>
            </w:pPr>
            <w:r>
              <w:rPr>
                <w:rFonts w:ascii="Arial" w:hAnsi="Arial" w:eastAsia="Arial" w:cs="Arial"/>
                <w:b/>
                <w:bCs/>
                <w:color w:val="1B4F72"/>
                <w:sz w:val="24"/>
                <w:szCs w:val="24"/>
              </w:rPr>
              <w:t>Learning Outcomes — Week 12</w:t>
            </w:r>
          </w:p>
          <w:p w14:paraId="64D1E19C">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Articulate and navigate the tension between formative supervision and summative evaluation in practice</w:t>
            </w:r>
          </w:p>
          <w:p w14:paraId="4BE1D437">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Design or adapt a competency-based evaluation rubric aligned to institutional teaching standards, and calibrate it with at least one co-evaluator</w:t>
            </w:r>
          </w:p>
          <w:p w14:paraId="3006132C">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Conduct a formal evaluation conversation that maintains a balance between accountability and professional dignity</w:t>
            </w:r>
          </w:p>
          <w:p w14:paraId="1122CB1E">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Navigate a difficult feedback conversation using professional de-escalation communication strategies</w:t>
            </w:r>
          </w:p>
        </w:tc>
      </w:tr>
    </w:tbl>
    <w:p w14:paraId="3A53DCA1">
      <w:pPr>
        <w:pStyle w:val="5"/>
      </w:pPr>
      <w:r>
        <w:rPr>
          <w:rFonts w:ascii="Arial" w:hAnsi="Arial" w:eastAsia="Arial" w:cs="Arial"/>
          <w:b/>
          <w:bCs/>
          <w:color w:val="0E6655"/>
          <w:sz w:val="22"/>
          <w:szCs w:val="22"/>
        </w:rPr>
        <w:t>Week 12 Activities</w:t>
      </w:r>
    </w:p>
    <w:p w14:paraId="16290D0D">
      <w:pPr>
        <w:pStyle w:val="16"/>
        <w:numPr>
          <w:ilvl w:val="0"/>
          <w:numId w:val="2"/>
        </w:numPr>
      </w:pPr>
      <w:r>
        <w:rPr>
          <w:rFonts w:ascii="Arial" w:hAnsi="Arial" w:eastAsia="Arial" w:cs="Arial"/>
          <w:color w:val="1C2833"/>
          <w:sz w:val="22"/>
          <w:szCs w:val="22"/>
        </w:rPr>
        <w:t>Rubric Design &amp; Calibration Workshop: In groups of three, participants design a classroom observation evaluation rubric for a provided institutional context using a given teaching competency framework. They then conduct an inter-rater reliability exercise: independently rating the same video-observed lesson using their rubric, comparing scores, and discussing discrepancies. The exercise powerfully demonstrates how subjective evaluation can be and motivates more careful rubric design.</w:t>
      </w:r>
    </w:p>
    <w:p w14:paraId="225E2453">
      <w:pPr>
        <w:pStyle w:val="16"/>
        <w:numPr>
          <w:ilvl w:val="0"/>
          <w:numId w:val="2"/>
        </w:numPr>
      </w:pPr>
      <w:r>
        <w:rPr>
          <w:rFonts w:ascii="Arial" w:hAnsi="Arial" w:eastAsia="Arial" w:cs="Arial"/>
          <w:color w:val="1C2833"/>
          <w:sz w:val="22"/>
          <w:szCs w:val="22"/>
        </w:rPr>
        <w:t>Difficult Conversation Simulation: Pairs role-play a challenging evaluation conversation using provided scripted teacher profiles (e.g., a teacher receiving a 'requires improvement' rating who responds with denial and anger; a quietly withdrawn teacher who appears devastated but says nothing). One participant plays the supervisor; the other plays the teacher. The cohort observes and uses a structured tool to note communication moves. Debrief focuses on what worked, what didn't, and what alternative approaches might have been used.</w:t>
      </w:r>
    </w:p>
    <w:p w14:paraId="126DD75D">
      <w:pPr>
        <w:pStyle w:val="16"/>
        <w:numPr>
          <w:ilvl w:val="0"/>
          <w:numId w:val="2"/>
        </w:numPr>
      </w:pPr>
      <w:r>
        <w:rPr>
          <w:rFonts w:ascii="Arial" w:hAnsi="Arial" w:eastAsia="Arial" w:cs="Arial"/>
          <w:color w:val="1C2833"/>
          <w:sz w:val="22"/>
          <w:szCs w:val="22"/>
        </w:rPr>
        <w:t>Underperformance Intervention Plan: Working individually, participants design a detailed written intervention plan for a fictional chronically underperforming teacher. The plan includes: evidence-based documentation of concerns, a structured timeline with milestones, a support plan (training, observation, coaching), escalation criteria and procedures, and a final evaluation checkpoint. Plans are peer-reviewed and discussed.</w:t>
      </w:r>
    </w:p>
    <w:p w14:paraId="3CFDAD54">
      <w:pPr>
        <w:spacing w:after="120"/>
      </w:pPr>
    </w:p>
    <w:p w14:paraId="19717A3F">
      <w:pPr>
        <w:spacing w:after="120"/>
      </w:pPr>
    </w:p>
    <w:p w14:paraId="20131BDC">
      <w:pPr>
        <w:spacing w:after="120"/>
      </w:pPr>
    </w:p>
    <w:p w14:paraId="51DF07B6">
      <w:pPr>
        <w:spacing w:after="120"/>
      </w:pPr>
    </w:p>
    <w:p w14:paraId="74E458DF">
      <w:pPr>
        <w:spacing w:after="120"/>
      </w:pPr>
    </w:p>
    <w:p w14:paraId="54EFB49A">
      <w:pPr>
        <w:spacing w:after="120"/>
      </w:pPr>
    </w:p>
    <w:p w14:paraId="50BE3125">
      <w:pPr>
        <w:spacing w:after="120"/>
      </w:pPr>
    </w:p>
    <w:p w14:paraId="07F8520B">
      <w:pPr>
        <w:spacing w:after="120"/>
      </w:pPr>
    </w:p>
    <w:p w14:paraId="575D89A8">
      <w:pPr>
        <w:spacing w:after="120"/>
      </w:pPr>
    </w:p>
    <w:p w14:paraId="7CBAE011">
      <w:pPr>
        <w:spacing w:after="120"/>
      </w:pPr>
    </w:p>
    <w:p w14:paraId="52693B47">
      <w:pPr>
        <w:spacing w:after="120"/>
      </w:pPr>
    </w:p>
    <w:p w14:paraId="604A3CC1">
      <w:pPr>
        <w:spacing w:after="120"/>
      </w:pPr>
    </w:p>
    <w:p w14:paraId="07BE8ABE">
      <w:pPr>
        <w:spacing w:after="120"/>
      </w:pPr>
    </w:p>
    <w:p w14:paraId="0C9784E9">
      <w:pPr>
        <w:spacing w:after="120"/>
      </w:pPr>
    </w:p>
    <w:p w14:paraId="4F436D8C">
      <w:pPr>
        <w:spacing w:after="120"/>
      </w:pPr>
    </w:p>
    <w:p w14:paraId="52A58BB0">
      <w:pPr>
        <w:spacing w:after="120"/>
      </w:pPr>
    </w:p>
    <w:p w14:paraId="47C19C69">
      <w:pPr>
        <w:spacing w:after="120"/>
      </w:pPr>
    </w:p>
    <w:p w14:paraId="7A020F0C">
      <w:pPr>
        <w:spacing w:after="120"/>
      </w:pPr>
    </w:p>
    <w:p w14:paraId="24F7911E">
      <w:pPr>
        <w:spacing w:after="120"/>
      </w:pPr>
    </w:p>
    <w:p w14:paraId="7AAD40FF">
      <w:pPr>
        <w:spacing w:after="120"/>
      </w:pPr>
    </w:p>
    <w:p w14:paraId="4542C18D">
      <w:pPr>
        <w:spacing w:after="120"/>
      </w:pPr>
    </w:p>
    <w:p w14:paraId="26FFDFA0">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391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0E6655" w:sz="4" w:space="0"/>
              <w:left w:val="single" w:color="0E6655" w:sz="18" w:space="0"/>
              <w:bottom w:val="single" w:color="0E6655" w:sz="4" w:space="0"/>
              <w:right w:val="single" w:color="0E6655" w:sz="4" w:space="0"/>
            </w:tcBorders>
            <w:shd w:val="clear" w:color="auto" w:fill="D1F2EB"/>
            <w:tcMar>
              <w:top w:w="120" w:type="dxa"/>
              <w:left w:w="220" w:type="dxa"/>
              <w:bottom w:w="120" w:type="dxa"/>
              <w:right w:w="200" w:type="dxa"/>
            </w:tcMar>
          </w:tcPr>
          <w:p w14:paraId="62C3A4F0">
            <w:pPr>
              <w:spacing w:before="80" w:after="100"/>
            </w:pPr>
            <w:r>
              <w:rPr>
                <w:rFonts w:ascii="Arial" w:hAnsi="Arial" w:eastAsia="Arial" w:cs="Arial"/>
                <w:b/>
                <w:bCs/>
                <w:color w:val="0E6655"/>
                <w:sz w:val="24"/>
                <w:szCs w:val="24"/>
              </w:rPr>
              <w:t>Month 3 — Hands-on Practice Tasks</w:t>
            </w:r>
          </w:p>
          <w:p w14:paraId="4540A8B8">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Full Observation Cycle Simulation: </w:t>
            </w:r>
            <w:r>
              <w:rPr>
                <w:rFonts w:ascii="Arial" w:hAnsi="Arial" w:eastAsia="Arial" w:cs="Arial"/>
                <w:color w:val="1C2833"/>
                <w:sz w:val="22"/>
                <w:szCs w:val="22"/>
              </w:rPr>
              <w:t>Participants complete a full clinical supervision cycle in triads across two weeks: pre-conference, classroom observation (using a video or live observation opportunity), data analysis, and post-conference. All three participants rotate through the roles of supervisor, teacher, and process observer. All three phases are documented and submitted as portfolio artefacts.</w:t>
            </w:r>
          </w:p>
          <w:p w14:paraId="46046722">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Observation Tool Pilot: </w:t>
            </w:r>
            <w:r>
              <w:rPr>
                <w:rFonts w:ascii="Arial" w:hAnsi="Arial" w:eastAsia="Arial" w:cs="Arial"/>
                <w:color w:val="1C2833"/>
                <w:sz w:val="22"/>
                <w:szCs w:val="22"/>
              </w:rPr>
              <w:t>Each participant designs and pilots an original observation tool on a video teaching sample of their choice. They submit the tool, the completed observation data, a brief analysis of the data, and a reflection on the tool's effectiveness.</w:t>
            </w:r>
          </w:p>
          <w:p w14:paraId="34CB7161">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Conference Transcript Writing: </w:t>
            </w:r>
            <w:r>
              <w:rPr>
                <w:rFonts w:ascii="Arial" w:hAnsi="Arial" w:eastAsia="Arial" w:cs="Arial"/>
                <w:color w:val="1C2833"/>
                <w:sz w:val="22"/>
                <w:szCs w:val="22"/>
              </w:rPr>
              <w:t>Participants write a scripted post-observation conference dialogue for a provided teacher profile and observation dataset. The script is annotated with commentary explaining the supervisor's choices at each key moment.</w:t>
            </w:r>
          </w:p>
          <w:p w14:paraId="61AEBFB8">
            <w:pPr>
              <w:spacing w:before="60" w:after="8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Evaluation Rubric Portfolio Piece: </w:t>
            </w:r>
            <w:r>
              <w:rPr>
                <w:rFonts w:ascii="Arial" w:hAnsi="Arial" w:eastAsia="Arial" w:cs="Arial"/>
                <w:color w:val="1C2833"/>
                <w:sz w:val="22"/>
                <w:szCs w:val="22"/>
              </w:rPr>
              <w:t>The rubric developed in Week 12 is refined based on peer and facilitator feedback and included in the professional portfolio as a designed artefact with a written rationale connecting it to the program's competency framework.</w:t>
            </w:r>
          </w:p>
        </w:tc>
      </w:tr>
    </w:tbl>
    <w:p w14:paraId="7F17DAD2">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AAB9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CA6F1E" w:sz="4" w:space="0"/>
              <w:left w:val="single" w:color="CA6F1E" w:sz="18" w:space="0"/>
              <w:bottom w:val="single" w:color="CA6F1E" w:sz="4" w:space="0"/>
              <w:right w:val="single" w:color="CA6F1E" w:sz="4" w:space="0"/>
            </w:tcBorders>
            <w:shd w:val="clear" w:color="auto" w:fill="FDEBD0"/>
            <w:tcMar>
              <w:top w:w="120" w:type="dxa"/>
              <w:left w:w="220" w:type="dxa"/>
              <w:bottom w:w="120" w:type="dxa"/>
              <w:right w:w="200" w:type="dxa"/>
            </w:tcMar>
          </w:tcPr>
          <w:p w14:paraId="764C9585">
            <w:pPr>
              <w:spacing w:before="80" w:after="100"/>
            </w:pPr>
            <w:r>
              <w:rPr>
                <w:rFonts w:ascii="Arial" w:hAnsi="Arial" w:eastAsia="Arial" w:cs="Arial"/>
                <w:b/>
                <w:bCs/>
                <w:color w:val="CA6F1E"/>
                <w:sz w:val="24"/>
                <w:szCs w:val="24"/>
              </w:rPr>
              <w:t>Month 3 — Common Challenges</w:t>
            </w:r>
          </w:p>
          <w:p w14:paraId="6A79C082">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Observing vs. Judging: </w:t>
            </w:r>
            <w:r>
              <w:rPr>
                <w:rFonts w:ascii="Arial" w:hAnsi="Arial" w:eastAsia="Arial" w:cs="Arial"/>
                <w:color w:val="1C2833"/>
                <w:sz w:val="22"/>
                <w:szCs w:val="22"/>
              </w:rPr>
              <w:t>The shift from 'the teacher was unclear' to 'I observed that three students did not follow the instruction' takes sustained, deliberate practice across multiple observation sessions. Build it explicitly into every observation activity.</w:t>
            </w:r>
          </w:p>
          <w:p w14:paraId="71035107">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Post-Conference Dominance: </w:t>
            </w:r>
            <w:r>
              <w:rPr>
                <w:rFonts w:ascii="Arial" w:hAnsi="Arial" w:eastAsia="Arial" w:cs="Arial"/>
                <w:color w:val="1C2833"/>
                <w:sz w:val="22"/>
                <w:szCs w:val="22"/>
              </w:rPr>
              <w:t>Supervisors in training consistently dominate post-observation conferences, turning them into feedback monologues rather than reflective dialogues. This is the single most persistent habit to change in Month 3. Video-record role-plays and play them back.</w:t>
            </w:r>
          </w:p>
          <w:p w14:paraId="07ED6DAB">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Managing Emotional Responses in Conferences: </w:t>
            </w:r>
            <w:r>
              <w:rPr>
                <w:rFonts w:ascii="Arial" w:hAnsi="Arial" w:eastAsia="Arial" w:cs="Arial"/>
                <w:color w:val="1C2833"/>
                <w:sz w:val="22"/>
                <w:szCs w:val="22"/>
              </w:rPr>
              <w:t>When a simulated supervisee becomes upset or defensive, trainee supervisors are often thrown off and revert to reassurance or avoidance. Scripted de-escalation language and repeated role-play exposure are the antidote.</w:t>
            </w:r>
          </w:p>
          <w:p w14:paraId="5206D87C">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Balancing Support and Accountability: </w:t>
            </w:r>
            <w:r>
              <w:rPr>
                <w:rFonts w:ascii="Arial" w:hAnsi="Arial" w:eastAsia="Arial" w:cs="Arial"/>
                <w:color w:val="1C2833"/>
                <w:sz w:val="22"/>
                <w:szCs w:val="22"/>
              </w:rPr>
              <w:t>The developmental-evaluative tension is genuinely difficult. Participants often oscillate between extremes: all support or all accountability. This requires extensive scenario work and explicit reflection on the institutional and relational contexts that shift the balance.</w:t>
            </w:r>
          </w:p>
          <w:p w14:paraId="084C5211">
            <w:pPr>
              <w:spacing w:before="60" w:after="8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Unannounced Observation Ethics: </w:t>
            </w:r>
            <w:r>
              <w:rPr>
                <w:rFonts w:ascii="Arial" w:hAnsi="Arial" w:eastAsia="Arial" w:cs="Arial"/>
                <w:color w:val="1C2833"/>
                <w:sz w:val="22"/>
                <w:szCs w:val="22"/>
              </w:rPr>
              <w:t>In many participants' institutional contexts, unannounced evaluative observation is standard practice. Inviting them to critically examine this practice requires both theoretical grounding and careful attention to the power dynamics they navigate every day.</w:t>
            </w:r>
          </w:p>
        </w:tc>
      </w:tr>
    </w:tbl>
    <w:p w14:paraId="2D54C80A">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81C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B7950B" w:sz="4" w:space="0"/>
              <w:left w:val="single" w:color="B7950B" w:sz="18" w:space="0"/>
              <w:bottom w:val="single" w:color="B7950B" w:sz="4" w:space="0"/>
              <w:right w:val="single" w:color="B7950B" w:sz="4" w:space="0"/>
            </w:tcBorders>
            <w:shd w:val="clear" w:color="auto" w:fill="FEF9E7"/>
            <w:tcMar>
              <w:top w:w="120" w:type="dxa"/>
              <w:left w:w="220" w:type="dxa"/>
              <w:bottom w:w="120" w:type="dxa"/>
              <w:right w:w="200" w:type="dxa"/>
            </w:tcMar>
          </w:tcPr>
          <w:p w14:paraId="3D86F28A">
            <w:pPr>
              <w:spacing w:before="80" w:after="100"/>
            </w:pPr>
            <w:r>
              <w:rPr>
                <w:rFonts w:ascii="Arial" w:hAnsi="Arial" w:eastAsia="Arial" w:cs="Arial"/>
                <w:b/>
                <w:bCs/>
                <w:color w:val="B7950B"/>
                <w:sz w:val="24"/>
                <w:szCs w:val="24"/>
              </w:rPr>
              <w:t>Month 3 — Trainer Tips</w:t>
            </w:r>
          </w:p>
          <w:p w14:paraId="14C0C3FB">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Use video observations extensively throughout Month 3. Video enables repeated viewing, shared analysis, and the psychological safety of working with material that is not 'live'. Build a library of teaching samples for this purpose.</w:t>
            </w:r>
          </w:p>
          <w:p w14:paraId="50A7CD4D">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Always separate supervisory roles before role-plays. Participants need to know clearly which mode they are in — developmental supervisor, evaluative supervisor, cognitive coach — before beginning any simulation. Conflating these produces confused role-play behaviour.</w:t>
            </w:r>
          </w:p>
          <w:p w14:paraId="4938421F">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Provide a phrase bank for conference transitions. Conference language ('I noticed that... what was your sense of...?', 'So what I’m hearing is...', 'What would you do differently?') reduces the cognitive load of practice and helps participants build fluency.</w:t>
            </w:r>
          </w:p>
          <w:p w14:paraId="56276212">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Start all observation debriefs with process, not content. After every observation simulation, ask participants to reflect on their own process first ('What did you notice about your own observing?') before discussing the content of what they observed.</w:t>
            </w:r>
          </w:p>
          <w:p w14:paraId="5FA9016D">
            <w:pPr>
              <w:spacing w:before="60" w:after="80"/>
              <w:ind w:left="160"/>
            </w:pPr>
            <w:r>
              <w:rPr>
                <w:rFonts w:ascii="Arial" w:hAnsi="Arial" w:eastAsia="Arial" w:cs="Arial"/>
                <w:b/>
                <w:bCs/>
                <w:color w:val="B7950B"/>
                <w:sz w:val="22"/>
                <w:szCs w:val="22"/>
              </w:rPr>
              <w:t xml:space="preserve">— </w:t>
            </w:r>
            <w:r>
              <w:rPr>
                <w:rFonts w:ascii="Arial" w:hAnsi="Arial" w:eastAsia="Arial" w:cs="Arial"/>
                <w:color w:val="1C2833"/>
                <w:sz w:val="22"/>
                <w:szCs w:val="22"/>
              </w:rPr>
              <w:t>Use rubric calibration as a consciousness-raising tool. When two participants score the same lesson differently, the discrepancy is data about subjectivity, not error. Use it to deepen participants’ understanding of evaluation's fundamental challenges.</w:t>
            </w:r>
          </w:p>
        </w:tc>
      </w:tr>
    </w:tbl>
    <w:p w14:paraId="1B0D2A90">
      <w:r>
        <w:br w:type="page"/>
      </w:r>
    </w:p>
    <w:p w14:paraId="25A5629F">
      <w:pPr>
        <w:pStyle w:val="2"/>
        <w:shd w:val="clear" w:fill="E36C09" w:themeFill="accent6" w:themeFillShade="BF"/>
        <w:spacing w:before="0" w:after="200"/>
        <w:ind w:right="240"/>
      </w:pPr>
      <w:r>
        <w:rPr>
          <w:rFonts w:ascii="Arial" w:hAnsi="Arial" w:eastAsia="Arial" w:cs="Arial"/>
          <w:b/>
          <w:bCs/>
          <w:color w:val="FFFFFF"/>
          <w:sz w:val="38"/>
          <w:szCs w:val="38"/>
        </w:rPr>
        <w:t>MONTH 4: ADVANCED PRACTICES, INTEGRATION &amp; PRACTICUM</w:t>
      </w:r>
    </w:p>
    <w:p w14:paraId="2AB4BF88">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AB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nil"/>
              <w:left w:val="nil"/>
              <w:bottom w:val="nil"/>
              <w:right w:val="nil"/>
            </w:tcBorders>
            <w:shd w:val="clear" w:color="auto" w:fill="D6EAF8"/>
            <w:tcMar>
              <w:top w:w="160" w:type="dxa"/>
              <w:left w:w="300" w:type="dxa"/>
              <w:bottom w:w="160" w:type="dxa"/>
              <w:right w:w="200" w:type="dxa"/>
            </w:tcMar>
          </w:tcPr>
          <w:p w14:paraId="23B27982">
            <w:r>
              <w:rPr>
                <w:rFonts w:ascii="Arial" w:hAnsi="Arial" w:eastAsia="Arial" w:cs="Arial"/>
                <w:b/>
                <w:bCs/>
                <w:color w:val="1B4F72"/>
                <w:sz w:val="22"/>
                <w:szCs w:val="22"/>
              </w:rPr>
              <w:t>Domains Addressed: All Five Domains · Focus: Domain 5 (Leadership, Coaching &amp; Development)</w:t>
            </w:r>
          </w:p>
        </w:tc>
      </w:tr>
    </w:tbl>
    <w:p w14:paraId="2B110B42">
      <w:pPr>
        <w:spacing w:after="120"/>
      </w:pPr>
    </w:p>
    <w:p w14:paraId="41C0D94D">
      <w:pPr>
        <w:spacing w:before="60" w:after="120"/>
      </w:pPr>
      <w:r>
        <w:rPr>
          <w:rFonts w:ascii="Arial" w:hAnsi="Arial" w:eastAsia="Arial" w:cs="Arial"/>
          <w:color w:val="1C2833"/>
          <w:sz w:val="22"/>
          <w:szCs w:val="22"/>
        </w:rPr>
        <w:t>Month 4 is the program's integration phase. It builds on everything participants have learned across the first three months, extending it into advanced coaching and mentoring practices, the navigation of complex supervisory challenges, and the strategic work of building institutional training culture. Simultaneously, it is the month of practicum and portfolio completion. Participants are moving from guided learning into independent professional practice, and the month's design reflects that transition. The scaffolding becomes less explicit; the responsibility placed on participants becomes greater; the expectation of original professional thinking is highest here.</w:t>
      </w:r>
    </w:p>
    <w:p w14:paraId="03F3610C">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5CA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4D849664">
            <w:pPr>
              <w:spacing w:before="80" w:after="100"/>
            </w:pPr>
            <w:r>
              <w:rPr>
                <w:rFonts w:ascii="Arial" w:hAnsi="Arial" w:eastAsia="Arial" w:cs="Arial"/>
                <w:b/>
                <w:bCs/>
                <w:color w:val="1B4F72"/>
                <w:sz w:val="24"/>
                <w:szCs w:val="24"/>
              </w:rPr>
              <w:t>Essential Questions for Month 4</w:t>
            </w:r>
          </w:p>
          <w:p w14:paraId="64B99684">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What does it mean to coach rather than supervise, and when does that distinction matter most?</w:t>
            </w:r>
          </w:p>
          <w:p w14:paraId="156C7AA1">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How do I work with a teacher who doesn't want my help, or a system that doesn't support professional learning?</w:t>
            </w:r>
          </w:p>
          <w:p w14:paraId="1B317DC2">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What kind of training culture do I want to build, and what is my specific role in building it?</w:t>
            </w:r>
          </w:p>
          <w:p w14:paraId="45423874">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Who am I, professionally, at the end of this program — and where do I go from here?</w:t>
            </w:r>
          </w:p>
        </w:tc>
      </w:tr>
    </w:tbl>
    <w:p w14:paraId="6136E887">
      <w:pPr>
        <w:spacing w:after="120"/>
      </w:pPr>
    </w:p>
    <w:p w14:paraId="46916765">
      <w:pPr>
        <w:spacing w:after="120"/>
      </w:pPr>
    </w:p>
    <w:p w14:paraId="31114871">
      <w:pPr>
        <w:spacing w:after="120"/>
      </w:pPr>
    </w:p>
    <w:p w14:paraId="12CE78A0">
      <w:pPr>
        <w:spacing w:after="120"/>
      </w:pPr>
    </w:p>
    <w:p w14:paraId="37066E57">
      <w:pPr>
        <w:spacing w:after="120"/>
      </w:pPr>
    </w:p>
    <w:p w14:paraId="1AD49E43">
      <w:pPr>
        <w:spacing w:after="120"/>
      </w:pPr>
    </w:p>
    <w:p w14:paraId="7E083275">
      <w:pPr>
        <w:spacing w:after="120"/>
      </w:pPr>
    </w:p>
    <w:p w14:paraId="24104B69">
      <w:pPr>
        <w:spacing w:after="120"/>
      </w:pPr>
    </w:p>
    <w:p w14:paraId="0FC64D1F">
      <w:pPr>
        <w:spacing w:after="120"/>
      </w:pPr>
    </w:p>
    <w:p w14:paraId="000ABDF4">
      <w:pPr>
        <w:spacing w:after="120"/>
      </w:pPr>
    </w:p>
    <w:p w14:paraId="5D899F97">
      <w:pPr>
        <w:spacing w:after="120"/>
      </w:pPr>
    </w:p>
    <w:p w14:paraId="648C300C">
      <w:pPr>
        <w:spacing w:after="120"/>
      </w:pPr>
    </w:p>
    <w:p w14:paraId="7B9D057A">
      <w:pPr>
        <w:spacing w:after="120"/>
      </w:pPr>
    </w:p>
    <w:p w14:paraId="515EA26C">
      <w:pPr>
        <w:spacing w:after="120"/>
      </w:pPr>
    </w:p>
    <w:p w14:paraId="290DF9DF">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1"/>
        <w:gridCol w:w="7595"/>
      </w:tblGrid>
      <w:tr w14:paraId="4799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31" w:type="dxa"/>
            <w:tcBorders>
              <w:top w:val="nil"/>
              <w:left w:val="nil"/>
              <w:bottom w:val="nil"/>
              <w:right w:val="nil"/>
            </w:tcBorders>
            <w:shd w:val="clear" w:color="auto" w:fill="92D050"/>
            <w:tcMar>
              <w:top w:w="120" w:type="dxa"/>
              <w:left w:w="180" w:type="dxa"/>
              <w:bottom w:w="120" w:type="dxa"/>
              <w:right w:w="180" w:type="dxa"/>
            </w:tcMar>
            <w:vAlign w:val="center"/>
          </w:tcPr>
          <w:p w14:paraId="04860937">
            <w:pPr>
              <w:jc w:val="center"/>
            </w:pPr>
            <w:r>
              <w:rPr>
                <w:rFonts w:ascii="Arial" w:hAnsi="Arial" w:eastAsia="Arial" w:cs="Arial"/>
                <w:b/>
                <w:bCs/>
                <w:color w:val="FFFFFF"/>
                <w:sz w:val="22"/>
                <w:szCs w:val="22"/>
              </w:rPr>
              <w:t>WEEK 13</w:t>
            </w:r>
          </w:p>
        </w:tc>
        <w:tc>
          <w:tcPr>
            <w:tcW w:w="7595" w:type="dxa"/>
            <w:tcBorders>
              <w:top w:val="nil"/>
              <w:left w:val="nil"/>
              <w:bottom w:val="nil"/>
              <w:right w:val="nil"/>
            </w:tcBorders>
            <w:shd w:val="clear" w:color="auto" w:fill="D6EAF8"/>
            <w:tcMar>
              <w:top w:w="120" w:type="dxa"/>
              <w:left w:w="220" w:type="dxa"/>
              <w:bottom w:w="120" w:type="dxa"/>
              <w:right w:w="180" w:type="dxa"/>
            </w:tcMar>
            <w:vAlign w:val="center"/>
          </w:tcPr>
          <w:p w14:paraId="4693C217">
            <w:r>
              <w:rPr>
                <w:rFonts w:ascii="Arial" w:hAnsi="Arial" w:eastAsia="Arial" w:cs="Arial"/>
                <w:b/>
                <w:bCs/>
                <w:color w:val="1B4F72"/>
                <w:sz w:val="26"/>
                <w:szCs w:val="26"/>
              </w:rPr>
              <w:t>Coaching, Mentoring &amp; Developmental Support</w:t>
            </w:r>
          </w:p>
        </w:tc>
      </w:tr>
    </w:tbl>
    <w:p w14:paraId="479C7ADE">
      <w:pPr>
        <w:spacing w:after="120"/>
      </w:pPr>
    </w:p>
    <w:p w14:paraId="058518D8">
      <w:pPr>
        <w:spacing w:before="60" w:after="120"/>
      </w:pPr>
      <w:r>
        <w:rPr>
          <w:rFonts w:ascii="Arial" w:hAnsi="Arial" w:eastAsia="Arial" w:cs="Arial"/>
          <w:color w:val="1C2833"/>
          <w:sz w:val="22"/>
          <w:szCs w:val="22"/>
        </w:rPr>
        <w:t>The most effective trainer-supervisors are not those who have the most answers. They are those who have the most powerful questions. Week 13 extends the questioning and facilitation work of Month 2 into the sustained, relationship-based practices of coaching and mentoring — professional support modalities that have distinct purposes, distinct skill sets, and distinct ethical commitments.</w:t>
      </w:r>
    </w:p>
    <w:p w14:paraId="43718251">
      <w:pPr>
        <w:spacing w:after="120"/>
      </w:pPr>
    </w:p>
    <w:p w14:paraId="709A5787">
      <w:pPr>
        <w:pStyle w:val="5"/>
      </w:pPr>
      <w:r>
        <w:rPr>
          <w:rFonts w:ascii="Arial" w:hAnsi="Arial" w:eastAsia="Arial" w:cs="Arial"/>
          <w:b/>
          <w:bCs/>
          <w:color w:val="0E6655"/>
          <w:sz w:val="22"/>
          <w:szCs w:val="22"/>
        </w:rPr>
        <w:t>Topic 1: Coaching vs. Mentoring vs. Supervising</w:t>
      </w:r>
    </w:p>
    <w:p w14:paraId="15D24436">
      <w:pPr>
        <w:spacing w:before="60" w:after="120"/>
      </w:pPr>
      <w:r>
        <w:rPr>
          <w:rFonts w:ascii="Arial" w:hAnsi="Arial" w:eastAsia="Arial" w:cs="Arial"/>
          <w:color w:val="1C2833"/>
          <w:sz w:val="22"/>
          <w:szCs w:val="22"/>
        </w:rPr>
        <w:t>These three roles are conceptually distinct but practically overlapping, and the failure to distinguish between them clearly creates professional confusion. Supervision carries evaluative authority: it exists to ensure quality on behalf of an institution. Mentoring is a sustained, relationship-based form of professional support: an experienced practitioner guides a less experienced colleague's professional development over time. Coaching is inquiry-based: the coach facilitates the coachee's own thinking and problem-solving without providing solutions, and the coach need not be more experienced in the domain than the coachee. Participants develop the skill of naming which role they are in, communicating that clearly to the teacher or trainee, and shifting between roles fluidly and deliberately as the situation requires.</w:t>
      </w:r>
    </w:p>
    <w:p w14:paraId="0191B84A">
      <w:pPr>
        <w:spacing w:after="120"/>
      </w:pPr>
    </w:p>
    <w:p w14:paraId="2A065540">
      <w:pPr>
        <w:pStyle w:val="5"/>
      </w:pPr>
      <w:r>
        <w:rPr>
          <w:rFonts w:ascii="Arial" w:hAnsi="Arial" w:eastAsia="Arial" w:cs="Arial"/>
          <w:b/>
          <w:bCs/>
          <w:color w:val="0E6655"/>
          <w:sz w:val="22"/>
          <w:szCs w:val="22"/>
        </w:rPr>
        <w:t>Topic 2: The GROW Model in Coaching Practice</w:t>
      </w:r>
    </w:p>
    <w:p w14:paraId="30FA7599">
      <w:pPr>
        <w:spacing w:before="60" w:after="120"/>
      </w:pPr>
      <w:r>
        <w:rPr>
          <w:rFonts w:ascii="Arial" w:hAnsi="Arial" w:eastAsia="Arial" w:cs="Arial"/>
          <w:color w:val="1C2833"/>
          <w:sz w:val="22"/>
          <w:szCs w:val="22"/>
        </w:rPr>
        <w:t>The GROW model (Goal – Reality – Options – Will), developed by John Whitmore, provides an elegant and practical structure for coaching conversations. It begins by establishing a clear, specific goal for the conversation (not a general aspiration but a concrete, session-level focus). It then examines the current reality with honest curiosity (What is actually happening right now? What have you already tried?). It generates a wide range of options without pre-judging any of them (What else could you do? What would you try if you couldn't fail?). It closes by establishing will — a specific, self-chosen commitment to action. Participants practice the full GROW cycle through a series of live coaching conversations using real professional goals.</w:t>
      </w:r>
    </w:p>
    <w:p w14:paraId="21FA9962">
      <w:pPr>
        <w:spacing w:after="120"/>
      </w:pPr>
    </w:p>
    <w:p w14:paraId="702A09A3">
      <w:pPr>
        <w:pStyle w:val="5"/>
      </w:pPr>
      <w:r>
        <w:rPr>
          <w:rFonts w:ascii="Arial" w:hAnsi="Arial" w:eastAsia="Arial" w:cs="Arial"/>
          <w:b/>
          <w:bCs/>
          <w:color w:val="0E6655"/>
          <w:sz w:val="22"/>
          <w:szCs w:val="22"/>
        </w:rPr>
        <w:t>Topic 3: Mentoring New Teachers — Designing Developmental Support</w:t>
      </w:r>
    </w:p>
    <w:p w14:paraId="1319266E">
      <w:pPr>
        <w:spacing w:before="60" w:after="120"/>
      </w:pPr>
      <w:r>
        <w:rPr>
          <w:rFonts w:ascii="Arial" w:hAnsi="Arial" w:eastAsia="Arial" w:cs="Arial"/>
          <w:color w:val="1C2833"/>
          <w:sz w:val="22"/>
          <w:szCs w:val="22"/>
        </w:rPr>
        <w:t>The first year of teaching is, for most teachers, the most professionally formative and the most professionally vulnerable. A well-designed mentoring program for new teachers provides not just information and orientation but genuine professional accompaniment: regular structured conversations, observation and reflection opportunities, peer community, and a personalised development plan that responds to the specific teacher's needs and pace. Participants design a structured mentoring program for newly hired teachers, drawing on everything they have learned across the program about adult learning, needs analysis, differentiation, and developmental supervision.</w:t>
      </w:r>
    </w:p>
    <w:p w14:paraId="711778E4">
      <w:pPr>
        <w:spacing w:after="120"/>
      </w:pPr>
    </w:p>
    <w:p w14:paraId="49F1D038">
      <w:pPr>
        <w:spacing w:after="120"/>
      </w:pPr>
    </w:p>
    <w:p w14:paraId="132CD8B3">
      <w:pPr>
        <w:spacing w:after="120"/>
      </w:pPr>
    </w:p>
    <w:p w14:paraId="3B80FAC6">
      <w:pPr>
        <w:spacing w:after="120"/>
      </w:pPr>
    </w:p>
    <w:p w14:paraId="3A00F07B">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15F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53F2D9E6">
            <w:pPr>
              <w:spacing w:before="80" w:after="100"/>
            </w:pPr>
            <w:r>
              <w:rPr>
                <w:rFonts w:ascii="Arial" w:hAnsi="Arial" w:eastAsia="Arial" w:cs="Arial"/>
                <w:b/>
                <w:bCs/>
                <w:color w:val="1B4F72"/>
                <w:sz w:val="24"/>
                <w:szCs w:val="24"/>
              </w:rPr>
              <w:t>Learning Outcomes — Week 13</w:t>
            </w:r>
          </w:p>
          <w:p w14:paraId="3DD70999">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Clearly distinguish between coaching, mentoring, and supervision and shift appropriately between each role based on the teacher's needs and the institutional context</w:t>
            </w:r>
          </w:p>
          <w:p w14:paraId="1BE2AA1D">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Apply the GROW model in a complete coaching conversation, maintaining the coaching stance (questions only; no advice) throughout</w:t>
            </w:r>
          </w:p>
          <w:p w14:paraId="054A7F88">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Design a structured 6-week onboarding mentoring program for newly hired EFL teachers including goals, structure, activities, and a personal development plan framework</w:t>
            </w:r>
          </w:p>
          <w:p w14:paraId="1C8EEE35">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Recognise and manage the risk of role confusion when operating simultaneously as trainer, supervisor, and coach to the same teacher</w:t>
            </w:r>
          </w:p>
        </w:tc>
      </w:tr>
    </w:tbl>
    <w:p w14:paraId="5B9F9114">
      <w:pPr>
        <w:spacing w:after="120"/>
      </w:pPr>
    </w:p>
    <w:p w14:paraId="74FA5121">
      <w:pPr>
        <w:pStyle w:val="5"/>
      </w:pPr>
      <w:r>
        <w:rPr>
          <w:rFonts w:ascii="Arial" w:hAnsi="Arial" w:eastAsia="Arial" w:cs="Arial"/>
          <w:b/>
          <w:bCs/>
          <w:color w:val="0E6655"/>
          <w:sz w:val="22"/>
          <w:szCs w:val="22"/>
        </w:rPr>
        <w:t>Week 13 Activities</w:t>
      </w:r>
    </w:p>
    <w:p w14:paraId="04AD2F0D">
      <w:pPr>
        <w:pStyle w:val="16"/>
        <w:numPr>
          <w:ilvl w:val="0"/>
          <w:numId w:val="2"/>
        </w:numPr>
      </w:pPr>
      <w:r>
        <w:rPr>
          <w:rFonts w:ascii="Arial" w:hAnsi="Arial" w:eastAsia="Arial" w:cs="Arial"/>
          <w:color w:val="1C2833"/>
          <w:sz w:val="22"/>
          <w:szCs w:val="22"/>
        </w:rPr>
        <w:t>Role Clarity Sorting Cards: Participants receive 20 written supervisory scenarios and must categorise each as most appropriately a coaching, mentoring, or supervising situation. Edge cases — scenarios that genuinely sit between roles — are the most valuable discussion material. Debrief surfaces the factors that determine role selection: the teacher's developmental need, the institutional context, the relationship history, and the supervisor's own capacity.</w:t>
      </w:r>
    </w:p>
    <w:p w14:paraId="11907560">
      <w:pPr>
        <w:pStyle w:val="16"/>
        <w:numPr>
          <w:ilvl w:val="0"/>
          <w:numId w:val="2"/>
        </w:numPr>
      </w:pPr>
      <w:r>
        <w:rPr>
          <w:rFonts w:ascii="Arial" w:hAnsi="Arial" w:eastAsia="Arial" w:cs="Arial"/>
          <w:color w:val="1C2833"/>
          <w:sz w:val="22"/>
          <w:szCs w:val="22"/>
        </w:rPr>
        <w:t>GROW Coaching Practice Sequence: In pairs, participants conduct a 15-minute coaching conversation using the GROW framework. The coach uses only questions; the coachee brings a genuine, current professional goal or challenge. The conversation is followed by a structured debrief in which both participants reflect on the experience from their respective positions. Pairs rotate and repeat.</w:t>
      </w:r>
    </w:p>
    <w:p w14:paraId="6A9FA4E9">
      <w:pPr>
        <w:pStyle w:val="16"/>
        <w:numPr>
          <w:ilvl w:val="0"/>
          <w:numId w:val="2"/>
        </w:numPr>
      </w:pPr>
      <w:r>
        <w:rPr>
          <w:rFonts w:ascii="Arial" w:hAnsi="Arial" w:eastAsia="Arial" w:cs="Arial"/>
          <w:color w:val="1C2833"/>
          <w:sz w:val="22"/>
          <w:szCs w:val="22"/>
        </w:rPr>
        <w:t>Mentoring Program Design: Working in groups of three, participants design a six-week onboarding mentoring program for a cohort of newly hired EFL teachers in a provided institutional context. The program includes a mentoring goal framework, weekly meeting structure, a sample PDP template, and a sustainability plan for beyond the formal mentoring period. Programs are presented and critiqued by the full cohort.</w:t>
      </w:r>
    </w:p>
    <w:p w14:paraId="3456F90A">
      <w:pPr>
        <w:spacing w:after="120"/>
      </w:pPr>
    </w:p>
    <w:p w14:paraId="743D0F92">
      <w:pPr>
        <w:spacing w:after="120"/>
      </w:pPr>
    </w:p>
    <w:p w14:paraId="06710D31">
      <w:pPr>
        <w:spacing w:after="120"/>
      </w:pPr>
    </w:p>
    <w:p w14:paraId="20352D6F">
      <w:pPr>
        <w:spacing w:after="120"/>
      </w:pPr>
    </w:p>
    <w:p w14:paraId="066AEBCB">
      <w:pPr>
        <w:spacing w:after="120"/>
      </w:pPr>
    </w:p>
    <w:p w14:paraId="4D6581F0">
      <w:pPr>
        <w:spacing w:after="120"/>
      </w:pPr>
    </w:p>
    <w:p w14:paraId="5EFBEF84">
      <w:pPr>
        <w:spacing w:after="120"/>
      </w:pPr>
    </w:p>
    <w:p w14:paraId="39CC99FD">
      <w:pPr>
        <w:spacing w:after="120"/>
      </w:pPr>
    </w:p>
    <w:p w14:paraId="5A6EB7C0">
      <w:pPr>
        <w:spacing w:after="120"/>
      </w:pPr>
    </w:p>
    <w:p w14:paraId="250D839B">
      <w:pPr>
        <w:spacing w:after="120"/>
      </w:pPr>
    </w:p>
    <w:p w14:paraId="4DA46F6B">
      <w:pPr>
        <w:spacing w:after="120"/>
      </w:pPr>
    </w:p>
    <w:p w14:paraId="7DFFF888">
      <w:pPr>
        <w:spacing w:after="120"/>
      </w:pPr>
    </w:p>
    <w:p w14:paraId="69C6B1BA">
      <w:pPr>
        <w:spacing w:after="120"/>
      </w:pPr>
    </w:p>
    <w:p w14:paraId="2AE3671E">
      <w:pPr>
        <w:spacing w:after="120"/>
      </w:pPr>
    </w:p>
    <w:p w14:paraId="229B1053">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1"/>
        <w:gridCol w:w="7575"/>
      </w:tblGrid>
      <w:tr w14:paraId="31C65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51" w:type="dxa"/>
            <w:tcBorders>
              <w:top w:val="nil"/>
              <w:left w:val="nil"/>
              <w:bottom w:val="nil"/>
              <w:right w:val="nil"/>
            </w:tcBorders>
            <w:shd w:val="clear" w:color="auto" w:fill="92D050"/>
            <w:tcMar>
              <w:top w:w="120" w:type="dxa"/>
              <w:left w:w="180" w:type="dxa"/>
              <w:bottom w:w="120" w:type="dxa"/>
              <w:right w:w="180" w:type="dxa"/>
            </w:tcMar>
            <w:vAlign w:val="center"/>
          </w:tcPr>
          <w:p w14:paraId="0E17E77E">
            <w:pPr>
              <w:jc w:val="center"/>
            </w:pPr>
            <w:r>
              <w:rPr>
                <w:rFonts w:ascii="Arial" w:hAnsi="Arial" w:eastAsia="Arial" w:cs="Arial"/>
                <w:b/>
                <w:bCs/>
                <w:color w:val="FFFFFF"/>
                <w:sz w:val="22"/>
                <w:szCs w:val="22"/>
              </w:rPr>
              <w:t>WEEK 14</w:t>
            </w:r>
          </w:p>
        </w:tc>
        <w:tc>
          <w:tcPr>
            <w:tcW w:w="7575" w:type="dxa"/>
            <w:tcBorders>
              <w:top w:val="nil"/>
              <w:left w:val="nil"/>
              <w:bottom w:val="nil"/>
              <w:right w:val="nil"/>
            </w:tcBorders>
            <w:shd w:val="clear" w:color="auto" w:fill="D6EAF8"/>
            <w:tcMar>
              <w:top w:w="120" w:type="dxa"/>
              <w:left w:w="220" w:type="dxa"/>
              <w:bottom w:w="120" w:type="dxa"/>
              <w:right w:w="180" w:type="dxa"/>
            </w:tcMar>
            <w:vAlign w:val="center"/>
          </w:tcPr>
          <w:p w14:paraId="70450C52">
            <w:r>
              <w:rPr>
                <w:rFonts w:ascii="Arial" w:hAnsi="Arial" w:eastAsia="Arial" w:cs="Arial"/>
                <w:b/>
                <w:bCs/>
                <w:color w:val="1B4F72"/>
                <w:sz w:val="26"/>
                <w:szCs w:val="26"/>
              </w:rPr>
              <w:t>Navigating Challenges &amp; Building Resilience</w:t>
            </w:r>
          </w:p>
        </w:tc>
      </w:tr>
    </w:tbl>
    <w:p w14:paraId="4460660B">
      <w:pPr>
        <w:spacing w:after="120"/>
      </w:pPr>
    </w:p>
    <w:p w14:paraId="5AC83E71">
      <w:pPr>
        <w:spacing w:before="60" w:after="120"/>
      </w:pPr>
      <w:r>
        <w:rPr>
          <w:rFonts w:ascii="Arial" w:hAnsi="Arial" w:eastAsia="Arial" w:cs="Arial"/>
          <w:color w:val="1C2833"/>
          <w:sz w:val="22"/>
          <w:szCs w:val="22"/>
        </w:rPr>
        <w:t>Supervision and training are emotionally demanding professions. Week 14 is the program's 'honest conversation' week — a space to name and work through the real challenges that practitioners face in this work: the resistant teacher, the cross-cultural misunderstanding, the institutional constraint, and the slow erosion of professional energy that can accompany caring deeply about other people's development.</w:t>
      </w:r>
    </w:p>
    <w:p w14:paraId="4EDF49A4">
      <w:pPr>
        <w:spacing w:after="120"/>
      </w:pPr>
    </w:p>
    <w:p w14:paraId="5712AD87">
      <w:pPr>
        <w:pStyle w:val="5"/>
      </w:pPr>
      <w:r>
        <w:rPr>
          <w:rFonts w:ascii="Arial" w:hAnsi="Arial" w:eastAsia="Arial" w:cs="Arial"/>
          <w:b/>
          <w:bCs/>
          <w:color w:val="0E6655"/>
          <w:sz w:val="22"/>
          <w:szCs w:val="22"/>
        </w:rPr>
        <w:t>Topic 1: Resistance — Understanding &amp; Responding</w:t>
      </w:r>
    </w:p>
    <w:p w14:paraId="0931F02C">
      <w:pPr>
        <w:spacing w:before="60" w:after="120"/>
      </w:pPr>
      <w:r>
        <w:rPr>
          <w:rFonts w:ascii="Arial" w:hAnsi="Arial" w:eastAsia="Arial" w:cs="Arial"/>
          <w:color w:val="1C2833"/>
          <w:sz w:val="22"/>
          <w:szCs w:val="22"/>
        </w:rPr>
        <w:t>Resistance in professional development settings is not simply obstruction; it is often a signal. It may indicate fear of judgment, resentment at being sent rather than choosing to come, a history of unhelpful or humiliating supervision experiences, a genuine disagreement with the substance of the training, or a threat to professional identity. Each of these sources of resistance calls for a different response. This session builds participants' capacity to read resistance accurately, respond without reactivity, and maintain the professional relationship even when it is most strained. The key insight: resistance met with more pressure intensifies. Resistance met with genuine curiosity often dissolves.</w:t>
      </w:r>
    </w:p>
    <w:p w14:paraId="45A8B20E">
      <w:pPr>
        <w:spacing w:after="120"/>
      </w:pPr>
    </w:p>
    <w:p w14:paraId="2741B369">
      <w:pPr>
        <w:pStyle w:val="5"/>
      </w:pPr>
      <w:r>
        <w:rPr>
          <w:rFonts w:ascii="Arial" w:hAnsi="Arial" w:eastAsia="Arial" w:cs="Arial"/>
          <w:b/>
          <w:bCs/>
          <w:color w:val="0E6655"/>
          <w:sz w:val="22"/>
          <w:szCs w:val="22"/>
        </w:rPr>
        <w:t>Topic 2: Cross-Cultural Supervision Challenges</w:t>
      </w:r>
    </w:p>
    <w:p w14:paraId="7582AD01">
      <w:pPr>
        <w:spacing w:before="60" w:after="120"/>
      </w:pPr>
      <w:r>
        <w:rPr>
          <w:rFonts w:ascii="Arial" w:hAnsi="Arial" w:eastAsia="Arial" w:cs="Arial"/>
          <w:color w:val="1C2833"/>
          <w:sz w:val="22"/>
          <w:szCs w:val="22"/>
        </w:rPr>
        <w:t>In international and multilingual educational contexts — particularly across the MENA region and in global ELT organisations — supervisors regularly work across significant cultural differences in communication style, attitudes toward authority and feedback, professional face-saving norms, and expectations about the supervisory relationship. These differences are neither deficits nor merely matters of personal preference: they are deeply held cultural values that shape professional behaviour. Participants explore a range of cross-cultural supervision scenarios and develop culturally responsive supervision practices that honour difference without compromising professional standards.</w:t>
      </w:r>
    </w:p>
    <w:p w14:paraId="30C5CFCB">
      <w:pPr>
        <w:spacing w:after="120"/>
      </w:pPr>
    </w:p>
    <w:p w14:paraId="3B3C215E">
      <w:pPr>
        <w:pStyle w:val="5"/>
      </w:pPr>
      <w:r>
        <w:rPr>
          <w:rFonts w:ascii="Arial" w:hAnsi="Arial" w:eastAsia="Arial" w:cs="Arial"/>
          <w:b/>
          <w:bCs/>
          <w:color w:val="0E6655"/>
          <w:sz w:val="22"/>
          <w:szCs w:val="22"/>
        </w:rPr>
        <w:t>Topic 3: Trainer Burnout &amp; Professional Resilience</w:t>
      </w:r>
    </w:p>
    <w:p w14:paraId="1FE3BFDA">
      <w:pPr>
        <w:spacing w:before="60" w:after="120"/>
      </w:pPr>
      <w:r>
        <w:rPr>
          <w:rFonts w:ascii="Arial" w:hAnsi="Arial" w:eastAsia="Arial" w:cs="Arial"/>
          <w:color w:val="1C2833"/>
          <w:sz w:val="22"/>
          <w:szCs w:val="22"/>
        </w:rPr>
        <w:t>The emotional labour of supervision and training — the sustained attention, the care for others' development, the management of difficult professional relationships, and the often invisible nature of the work's impact — can be profoundly exhausting. Burnout among teacher trainers and supervisors is under-discussed and over-represented. This session invites an honest examination of the emotional demands of this work, the early warning signs of burnout, and the specific professional structures — peer supervision, professional community, clear boundaries, and active renewal practices — that sustain practitioners over the long term.</w:t>
      </w:r>
    </w:p>
    <w:p w14:paraId="56397FDB">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5EF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7284A9C4">
            <w:pPr>
              <w:spacing w:before="80" w:after="100"/>
            </w:pPr>
            <w:r>
              <w:rPr>
                <w:rFonts w:ascii="Arial" w:hAnsi="Arial" w:eastAsia="Arial" w:cs="Arial"/>
                <w:b/>
                <w:bCs/>
                <w:color w:val="1B4F72"/>
                <w:sz w:val="24"/>
                <w:szCs w:val="24"/>
              </w:rPr>
              <w:t>Learning Outcomes — Week 14</w:t>
            </w:r>
          </w:p>
          <w:p w14:paraId="689366F8">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Analyse the sources of professional resistance in training and supervision contexts and develop evidence-based, non-reactive response strategies</w:t>
            </w:r>
          </w:p>
          <w:p w14:paraId="3C6A843C">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Apply culturally responsive supervision and training practices in diverse professional contexts, recognising and actively suspending cultural assumptions</w:t>
            </w:r>
          </w:p>
          <w:p w14:paraId="0552E41A">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Identify personal burnout risk factors and develop a written professional resilience and self-care plan with concrete, actionable commitments</w:t>
            </w:r>
          </w:p>
          <w:p w14:paraId="629A60B3">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Build and maintain professional community as a structural support for long-term professional sustainability</w:t>
            </w:r>
          </w:p>
        </w:tc>
      </w:tr>
    </w:tbl>
    <w:p w14:paraId="79AC31B9">
      <w:pPr>
        <w:spacing w:after="120"/>
      </w:pPr>
    </w:p>
    <w:p w14:paraId="34B0243A">
      <w:pPr>
        <w:pStyle w:val="5"/>
      </w:pPr>
      <w:r>
        <w:rPr>
          <w:rFonts w:ascii="Arial" w:hAnsi="Arial" w:eastAsia="Arial" w:cs="Arial"/>
          <w:b/>
          <w:bCs/>
          <w:color w:val="0E6655"/>
          <w:sz w:val="22"/>
          <w:szCs w:val="22"/>
        </w:rPr>
        <w:t>Week 14 Activities</w:t>
      </w:r>
    </w:p>
    <w:p w14:paraId="1833AB73">
      <w:pPr>
        <w:pStyle w:val="16"/>
        <w:numPr>
          <w:ilvl w:val="0"/>
          <w:numId w:val="2"/>
        </w:numPr>
      </w:pPr>
      <w:r>
        <w:rPr>
          <w:rFonts w:ascii="Arial" w:hAnsi="Arial" w:eastAsia="Arial" w:cs="Arial"/>
          <w:color w:val="1C2833"/>
          <w:sz w:val="22"/>
          <w:szCs w:val="22"/>
        </w:rPr>
        <w:t>Resistance Scenario Gallery Walk: Participants rotate through six scenario stations, each describing a distinct pattern of resistance from a teacher in a training or supervision context. At each station, they write two to three response strategies on sticky notes — one immediate response and one longer-term relationship strategy. The gallery closes with a full-cohort synthesis of the most effective response patterns.</w:t>
      </w:r>
    </w:p>
    <w:p w14:paraId="3630B58A">
      <w:pPr>
        <w:pStyle w:val="16"/>
        <w:numPr>
          <w:ilvl w:val="0"/>
          <w:numId w:val="2"/>
        </w:numPr>
      </w:pPr>
      <w:r>
        <w:rPr>
          <w:rFonts w:ascii="Arial" w:hAnsi="Arial" w:eastAsia="Arial" w:cs="Arial"/>
          <w:color w:val="1C2833"/>
          <w:sz w:val="22"/>
          <w:szCs w:val="22"/>
        </w:rPr>
        <w:t>Cross-Cultural Case Study Analysis: Small groups receive one of three detailed cross-cultural supervision case studies. They identify the cultural dimensions at play (using Hofstede's cultural dimensions framework as a reference), map the breakdown points in the supervisory relationship, and propose a culturally responsive alternative approach. Groups present their analyses with recommendations.</w:t>
      </w:r>
    </w:p>
    <w:p w14:paraId="5EB8C8F4">
      <w:pPr>
        <w:pStyle w:val="16"/>
        <w:numPr>
          <w:ilvl w:val="0"/>
          <w:numId w:val="2"/>
        </w:numPr>
      </w:pPr>
      <w:r>
        <w:rPr>
          <w:rFonts w:ascii="Arial" w:hAnsi="Arial" w:eastAsia="Arial" w:cs="Arial"/>
          <w:color w:val="1C2833"/>
          <w:sz w:val="22"/>
          <w:szCs w:val="22"/>
        </w:rPr>
        <w:t>Personal Resilience Plan: Working individually, each participant develops a written Personal Resilience Plan. The plan includes: (1) an honest self-assessment of current stress and burnout risk factors; (2) three specific professional boundary commitments; (3) a peer support structure with at least one named colleague; (4) three renewal practices they will actively maintain; (5) early warning signs they will watch for in themselves. Plans are shared with a trusted peer for accountability.</w:t>
      </w:r>
    </w:p>
    <w:p w14:paraId="6D5309C8">
      <w:pPr>
        <w:spacing w:after="120"/>
      </w:pPr>
    </w:p>
    <w:p w14:paraId="2612BDDC">
      <w:pPr>
        <w:spacing w:after="120"/>
      </w:pPr>
    </w:p>
    <w:p w14:paraId="27A3D267">
      <w:pPr>
        <w:spacing w:after="120"/>
      </w:pPr>
    </w:p>
    <w:p w14:paraId="0CA7EB63">
      <w:pPr>
        <w:spacing w:after="120"/>
      </w:pPr>
    </w:p>
    <w:p w14:paraId="535838F2">
      <w:pPr>
        <w:spacing w:after="120"/>
      </w:pPr>
    </w:p>
    <w:p w14:paraId="7FA34541">
      <w:pPr>
        <w:spacing w:after="120"/>
      </w:pPr>
    </w:p>
    <w:p w14:paraId="63A1C276">
      <w:pPr>
        <w:spacing w:after="120"/>
      </w:pPr>
    </w:p>
    <w:p w14:paraId="6E35138E">
      <w:pPr>
        <w:spacing w:after="120"/>
      </w:pPr>
    </w:p>
    <w:p w14:paraId="0BCFDDB4">
      <w:pPr>
        <w:spacing w:after="120"/>
      </w:pPr>
    </w:p>
    <w:p w14:paraId="41DDD41B">
      <w:pPr>
        <w:spacing w:after="120"/>
      </w:pPr>
    </w:p>
    <w:p w14:paraId="247725BC">
      <w:pPr>
        <w:spacing w:after="120"/>
      </w:pPr>
    </w:p>
    <w:p w14:paraId="6D4BD5E8">
      <w:pPr>
        <w:spacing w:after="120"/>
      </w:pPr>
    </w:p>
    <w:p w14:paraId="1C1767C9">
      <w:pPr>
        <w:spacing w:after="120"/>
      </w:pPr>
    </w:p>
    <w:p w14:paraId="67AB6985">
      <w:pPr>
        <w:spacing w:after="120"/>
      </w:pPr>
    </w:p>
    <w:p w14:paraId="58168CAA">
      <w:pPr>
        <w:spacing w:after="120"/>
      </w:pPr>
    </w:p>
    <w:p w14:paraId="36F3F78A">
      <w:pPr>
        <w:spacing w:after="120"/>
      </w:pPr>
    </w:p>
    <w:p w14:paraId="6A915F56">
      <w:pPr>
        <w:spacing w:after="120"/>
      </w:pPr>
    </w:p>
    <w:p w14:paraId="72B9A9DB">
      <w:pPr>
        <w:spacing w:after="120"/>
      </w:pPr>
    </w:p>
    <w:p w14:paraId="278A6F7C">
      <w:pPr>
        <w:spacing w:after="120"/>
      </w:pPr>
    </w:p>
    <w:p w14:paraId="5DC487C9">
      <w:pPr>
        <w:spacing w:after="120"/>
      </w:pPr>
    </w:p>
    <w:p w14:paraId="7AB1ADD9">
      <w:pPr>
        <w:spacing w:after="120"/>
      </w:pPr>
    </w:p>
    <w:p w14:paraId="40184B17">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6"/>
        <w:gridCol w:w="7630"/>
      </w:tblGrid>
      <w:tr w14:paraId="42A0C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96" w:type="dxa"/>
            <w:tcBorders>
              <w:top w:val="nil"/>
              <w:left w:val="nil"/>
              <w:bottom w:val="nil"/>
              <w:right w:val="nil"/>
            </w:tcBorders>
            <w:shd w:val="clear" w:color="auto" w:fill="92D050"/>
            <w:tcMar>
              <w:top w:w="120" w:type="dxa"/>
              <w:left w:w="180" w:type="dxa"/>
              <w:bottom w:w="120" w:type="dxa"/>
              <w:right w:w="180" w:type="dxa"/>
            </w:tcMar>
            <w:vAlign w:val="center"/>
          </w:tcPr>
          <w:p w14:paraId="155AB413">
            <w:pPr>
              <w:jc w:val="center"/>
            </w:pPr>
            <w:r>
              <w:rPr>
                <w:rFonts w:ascii="Arial" w:hAnsi="Arial" w:eastAsia="Arial" w:cs="Arial"/>
                <w:b/>
                <w:bCs/>
                <w:color w:val="FFFFFF"/>
                <w:sz w:val="22"/>
                <w:szCs w:val="22"/>
              </w:rPr>
              <w:t>WEEK 15</w:t>
            </w:r>
          </w:p>
        </w:tc>
        <w:tc>
          <w:tcPr>
            <w:tcW w:w="7630" w:type="dxa"/>
            <w:tcBorders>
              <w:top w:val="nil"/>
              <w:left w:val="nil"/>
              <w:bottom w:val="nil"/>
              <w:right w:val="nil"/>
            </w:tcBorders>
            <w:shd w:val="clear" w:color="auto" w:fill="D6EAF8"/>
            <w:tcMar>
              <w:top w:w="120" w:type="dxa"/>
              <w:left w:w="220" w:type="dxa"/>
              <w:bottom w:w="120" w:type="dxa"/>
              <w:right w:w="180" w:type="dxa"/>
            </w:tcMar>
            <w:vAlign w:val="center"/>
          </w:tcPr>
          <w:p w14:paraId="0A7AEBE5">
            <w:r>
              <w:rPr>
                <w:rFonts w:ascii="Arial" w:hAnsi="Arial" w:eastAsia="Arial" w:cs="Arial"/>
                <w:b/>
                <w:bCs/>
                <w:color w:val="1B4F72"/>
                <w:sz w:val="26"/>
                <w:szCs w:val="26"/>
              </w:rPr>
              <w:t>Building Training Culture &amp; Strategic Leadership</w:t>
            </w:r>
          </w:p>
        </w:tc>
      </w:tr>
    </w:tbl>
    <w:p w14:paraId="7AE9A1B3">
      <w:pPr>
        <w:spacing w:after="120"/>
      </w:pPr>
    </w:p>
    <w:p w14:paraId="40722A4B">
      <w:pPr>
        <w:spacing w:before="60" w:after="120"/>
      </w:pPr>
      <w:r>
        <w:rPr>
          <w:rFonts w:ascii="Arial" w:hAnsi="Arial" w:eastAsia="Arial" w:cs="Arial"/>
          <w:color w:val="1C2833"/>
          <w:sz w:val="22"/>
          <w:szCs w:val="22"/>
        </w:rPr>
        <w:t>The most effective trainer-supervisors do not only develop individual teachers — they build conditions in which entire departments and institutions develop together. Week 15 moves from individual practice to collective impact, exploring how trainer-supervisors contribute to, design, and sustain a professional learning culture.</w:t>
      </w:r>
    </w:p>
    <w:p w14:paraId="5DF09067">
      <w:pPr>
        <w:spacing w:after="120"/>
      </w:pPr>
    </w:p>
    <w:p w14:paraId="0AE4535F">
      <w:pPr>
        <w:pStyle w:val="5"/>
      </w:pPr>
      <w:r>
        <w:rPr>
          <w:rFonts w:ascii="Arial" w:hAnsi="Arial" w:eastAsia="Arial" w:cs="Arial"/>
          <w:b/>
          <w:bCs/>
          <w:color w:val="0E6655"/>
          <w:sz w:val="22"/>
          <w:szCs w:val="22"/>
        </w:rPr>
        <w:t>Topic 1: Professional Learning Communities</w:t>
      </w:r>
    </w:p>
    <w:p w14:paraId="704352A9">
      <w:pPr>
        <w:spacing w:before="60" w:after="120"/>
      </w:pPr>
      <w:r>
        <w:rPr>
          <w:rFonts w:ascii="Arial" w:hAnsi="Arial" w:eastAsia="Arial" w:cs="Arial"/>
          <w:color w:val="1C2833"/>
          <w:sz w:val="22"/>
          <w:szCs w:val="22"/>
        </w:rPr>
        <w:t>A Professional Learning Community (PLC) is a structured, sustained, collaborative professional learning arrangement in which teachers work together to examine and improve student learning outcomes. When designed well, PLCs are among the most powerful and cost-effective professional development interventions available to schools. Participants learn the essential characteristics of effective PLCs (shared vision, collaborative inquiry, deprivatised practice, results-orientation), common failure modes (becoming a gripe session, losing focus, creating compliance rather than engagement), and the specific facilitation skills required to run a PLC that sustains momentum over time.</w:t>
      </w:r>
    </w:p>
    <w:p w14:paraId="5044A2A3">
      <w:pPr>
        <w:spacing w:after="120"/>
      </w:pPr>
    </w:p>
    <w:p w14:paraId="6ED33938">
      <w:pPr>
        <w:pStyle w:val="5"/>
      </w:pPr>
      <w:r>
        <w:rPr>
          <w:rFonts w:ascii="Arial" w:hAnsi="Arial" w:eastAsia="Arial" w:cs="Arial"/>
          <w:b/>
          <w:bCs/>
          <w:color w:val="0E6655"/>
          <w:sz w:val="22"/>
          <w:szCs w:val="22"/>
        </w:rPr>
        <w:t>Topic 2: Data-Driven Training Decisions</w:t>
      </w:r>
    </w:p>
    <w:p w14:paraId="34763C3B">
      <w:pPr>
        <w:spacing w:before="60" w:after="120"/>
      </w:pPr>
      <w:r>
        <w:rPr>
          <w:rFonts w:ascii="Arial" w:hAnsi="Arial" w:eastAsia="Arial" w:cs="Arial"/>
          <w:color w:val="1C2833"/>
          <w:sz w:val="22"/>
          <w:szCs w:val="22"/>
        </w:rPr>
        <w:t>Professional development investment should be driven by evidence, not by assumption or convention. Trainer-supervisors who can analyse and interpret classroom observation data, teacher self-assessment results, student performance trends, and institutional quality data — and who can communicate that analysis clearly to school leadership — are enormously more influential in their institutions than those who cannot. This session builds participants' capacity to gather, interpret, and present multi-source data as the basis for training priorities and program design decisions.</w:t>
      </w:r>
    </w:p>
    <w:p w14:paraId="310CA8D1">
      <w:pPr>
        <w:spacing w:after="120"/>
      </w:pPr>
    </w:p>
    <w:p w14:paraId="1AFDC320">
      <w:pPr>
        <w:pStyle w:val="5"/>
      </w:pPr>
      <w:r>
        <w:rPr>
          <w:rFonts w:ascii="Arial" w:hAnsi="Arial" w:eastAsia="Arial" w:cs="Arial"/>
          <w:b/>
          <w:bCs/>
          <w:color w:val="0E6655"/>
          <w:sz w:val="22"/>
          <w:szCs w:val="22"/>
        </w:rPr>
        <w:t>Topic 3: Leading Change in Training Contexts</w:t>
      </w:r>
    </w:p>
    <w:p w14:paraId="314B9F18">
      <w:pPr>
        <w:spacing w:before="60" w:after="120"/>
      </w:pPr>
      <w:r>
        <w:rPr>
          <w:rFonts w:ascii="Arial" w:hAnsi="Arial" w:eastAsia="Arial" w:cs="Arial"/>
          <w:color w:val="1C2833"/>
          <w:sz w:val="22"/>
          <w:szCs w:val="22"/>
        </w:rPr>
        <w:t>Introducing new training programs or supervision practices in established institutional contexts is a change management challenge as much as a design challenge. Kotter's 8-Step Change Model provides a practical framework: creating urgency, building a guiding coalition, developing a clear vision, communicating it effectively, empowering action, generating short-term wins, sustaining momentum, and anchoring the change in institutional culture. Participants apply the model to a real or planned training initiative in their own context, identifying where the initiative stands in the change process and where resistance is most likely to emerge.</w:t>
      </w:r>
    </w:p>
    <w:p w14:paraId="1101E74D">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5D5A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5B77A2AF">
            <w:pPr>
              <w:spacing w:before="80" w:after="100"/>
            </w:pPr>
            <w:r>
              <w:rPr>
                <w:rFonts w:ascii="Arial" w:hAnsi="Arial" w:eastAsia="Arial" w:cs="Arial"/>
                <w:b/>
                <w:bCs/>
                <w:color w:val="1B4F72"/>
                <w:sz w:val="24"/>
                <w:szCs w:val="24"/>
              </w:rPr>
              <w:t>Learning Outcomes — Week 15</w:t>
            </w:r>
          </w:p>
          <w:p w14:paraId="235BDC1B">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Design a semester-long PLC structure for a school department, including meeting formats, collaborative norms, inquiry focus, and sustainability mechanisms</w:t>
            </w:r>
          </w:p>
          <w:p w14:paraId="1869BD22">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Analyse multi-source professional development data and use the analysis to justify and prioritise specific training program decisions</w:t>
            </w:r>
          </w:p>
          <w:p w14:paraId="65DA2347">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Apply Kotter's Change Model to plan and map the implementation of a new training initiative, identifying coalition partners and anticipating resistance points</w:t>
            </w:r>
          </w:p>
          <w:p w14:paraId="161ECFE9">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Articulate a vision for professional learning culture in a specific institutional context and identify the trainer-supervisor's strategic role in realising it</w:t>
            </w:r>
          </w:p>
        </w:tc>
      </w:tr>
    </w:tbl>
    <w:p w14:paraId="60CCD35A">
      <w:pPr>
        <w:pStyle w:val="5"/>
      </w:pPr>
      <w:r>
        <w:rPr>
          <w:rFonts w:ascii="Arial" w:hAnsi="Arial" w:eastAsia="Arial" w:cs="Arial"/>
          <w:b/>
          <w:bCs/>
          <w:color w:val="0E6655"/>
          <w:sz w:val="22"/>
          <w:szCs w:val="22"/>
        </w:rPr>
        <w:t>Week 15 Activities</w:t>
      </w:r>
    </w:p>
    <w:p w14:paraId="7AD3E910">
      <w:pPr>
        <w:pStyle w:val="16"/>
        <w:numPr>
          <w:ilvl w:val="0"/>
          <w:numId w:val="2"/>
        </w:numPr>
      </w:pPr>
      <w:r>
        <w:rPr>
          <w:rFonts w:ascii="Arial" w:hAnsi="Arial" w:eastAsia="Arial" w:cs="Arial"/>
          <w:color w:val="1C2833"/>
          <w:sz w:val="22"/>
          <w:szCs w:val="22"/>
        </w:rPr>
        <w:t>PLC Design Project: In pairs, participants design a full semester-long PLC structure for a given school department context. The design includes: group norms and agreements, a meeting schedule and format (inquiry cycle), a shared data source (observation data or student work), documentation practices, and a sustainability plan that extends beyond the facilitator's direct involvement.</w:t>
      </w:r>
    </w:p>
    <w:p w14:paraId="4AB30EB5">
      <w:pPr>
        <w:pStyle w:val="16"/>
        <w:numPr>
          <w:ilvl w:val="0"/>
          <w:numId w:val="2"/>
        </w:numPr>
      </w:pPr>
      <w:r>
        <w:rPr>
          <w:rFonts w:ascii="Arial" w:hAnsi="Arial" w:eastAsia="Arial" w:cs="Arial"/>
          <w:color w:val="1C2833"/>
          <w:sz w:val="22"/>
          <w:szCs w:val="22"/>
        </w:rPr>
        <w:t>Data Interpretation Workshop: The facilitator provides a fictional school's professional development data package: observation summary data from 12 teachers, teacher self-assessment results, a summary of student performance trends, and a report of a recent external inspection. In groups, participants analyse the data, identify the top three training priorities it suggests, and design a brief training proposal addressing those priorities with an evidence-based rationale.</w:t>
      </w:r>
    </w:p>
    <w:p w14:paraId="2B3F7093">
      <w:pPr>
        <w:pStyle w:val="16"/>
        <w:numPr>
          <w:ilvl w:val="0"/>
          <w:numId w:val="2"/>
        </w:numPr>
      </w:pPr>
      <w:r>
        <w:rPr>
          <w:rFonts w:ascii="Arial" w:hAnsi="Arial" w:eastAsia="Arial" w:cs="Arial"/>
          <w:color w:val="1C2833"/>
          <w:sz w:val="22"/>
          <w:szCs w:val="22"/>
        </w:rPr>
        <w:t>Change Map Exercise: Each participant selects one real or hypothetical training initiative from their professional context and maps it against Kotter's 8-Step Model. They identify: which steps have already been taken, which are most urgent, and where resistance is most likely to emerge. Maps are shared in pairs for feedback and discussion.</w:t>
      </w:r>
    </w:p>
    <w:p w14:paraId="113F8963">
      <w:pPr>
        <w:spacing w:after="120"/>
      </w:pPr>
    </w:p>
    <w:p w14:paraId="370C75B4">
      <w:pPr>
        <w:spacing w:after="120"/>
      </w:pPr>
    </w:p>
    <w:p w14:paraId="3214D7A5">
      <w:pPr>
        <w:spacing w:after="120"/>
      </w:pPr>
    </w:p>
    <w:p w14:paraId="758F643B">
      <w:pPr>
        <w:spacing w:after="120"/>
      </w:pPr>
    </w:p>
    <w:p w14:paraId="50BB8589">
      <w:pPr>
        <w:spacing w:after="120"/>
      </w:pPr>
    </w:p>
    <w:p w14:paraId="73695713">
      <w:pPr>
        <w:spacing w:after="120"/>
      </w:pPr>
    </w:p>
    <w:p w14:paraId="2947F902">
      <w:pPr>
        <w:spacing w:after="120"/>
      </w:pPr>
    </w:p>
    <w:p w14:paraId="6EF4302C">
      <w:pPr>
        <w:spacing w:after="120"/>
      </w:pPr>
    </w:p>
    <w:p w14:paraId="32C795FE">
      <w:pPr>
        <w:spacing w:after="120"/>
      </w:pPr>
    </w:p>
    <w:p w14:paraId="48CFDD58">
      <w:pPr>
        <w:spacing w:after="120"/>
      </w:pPr>
    </w:p>
    <w:p w14:paraId="0488C001">
      <w:pPr>
        <w:spacing w:after="120"/>
      </w:pPr>
    </w:p>
    <w:p w14:paraId="03204DF9">
      <w:pPr>
        <w:spacing w:after="120"/>
      </w:pPr>
    </w:p>
    <w:p w14:paraId="22B64836">
      <w:pPr>
        <w:spacing w:after="120"/>
      </w:pPr>
    </w:p>
    <w:p w14:paraId="49B88B5E">
      <w:pPr>
        <w:spacing w:after="120"/>
      </w:pPr>
    </w:p>
    <w:p w14:paraId="417F49DC">
      <w:pPr>
        <w:spacing w:after="120"/>
      </w:pPr>
    </w:p>
    <w:p w14:paraId="03BAB0C8">
      <w:pPr>
        <w:spacing w:after="120"/>
      </w:pPr>
    </w:p>
    <w:p w14:paraId="12E2DEAE">
      <w:pPr>
        <w:spacing w:after="120"/>
      </w:pPr>
    </w:p>
    <w:p w14:paraId="1E4A7EA8">
      <w:pPr>
        <w:spacing w:after="120"/>
      </w:pPr>
    </w:p>
    <w:p w14:paraId="1C74FEBF">
      <w:pPr>
        <w:spacing w:after="120"/>
      </w:pPr>
    </w:p>
    <w:p w14:paraId="72C183C0">
      <w:pPr>
        <w:spacing w:after="120"/>
      </w:pPr>
    </w:p>
    <w:p w14:paraId="286E3EC9">
      <w:pPr>
        <w:spacing w:after="120"/>
      </w:pPr>
    </w:p>
    <w:p w14:paraId="2CBE54E0">
      <w:pPr>
        <w:spacing w:after="120"/>
      </w:pPr>
    </w:p>
    <w:p w14:paraId="638ECF8B">
      <w:pPr>
        <w:spacing w:after="120"/>
      </w:pPr>
    </w:p>
    <w:p w14:paraId="56577E7D">
      <w:pPr>
        <w:spacing w:after="120"/>
      </w:pPr>
    </w:p>
    <w:p w14:paraId="437A7D0F">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7"/>
        <w:gridCol w:w="7619"/>
      </w:tblGrid>
      <w:tr w14:paraId="37EC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407" w:type="dxa"/>
            <w:tcBorders>
              <w:top w:val="nil"/>
              <w:left w:val="nil"/>
              <w:bottom w:val="nil"/>
              <w:right w:val="nil"/>
            </w:tcBorders>
            <w:shd w:val="clear" w:color="auto" w:fill="92D050"/>
            <w:tcMar>
              <w:top w:w="120" w:type="dxa"/>
              <w:left w:w="180" w:type="dxa"/>
              <w:bottom w:w="120" w:type="dxa"/>
              <w:right w:w="180" w:type="dxa"/>
            </w:tcMar>
            <w:vAlign w:val="center"/>
          </w:tcPr>
          <w:p w14:paraId="33FB27DD">
            <w:pPr>
              <w:jc w:val="center"/>
            </w:pPr>
            <w:r>
              <w:rPr>
                <w:rFonts w:ascii="Arial" w:hAnsi="Arial" w:eastAsia="Arial" w:cs="Arial"/>
                <w:b/>
                <w:bCs/>
                <w:color w:val="FFFFFF"/>
                <w:sz w:val="22"/>
                <w:szCs w:val="22"/>
              </w:rPr>
              <w:t>WEEK 16</w:t>
            </w:r>
          </w:p>
        </w:tc>
        <w:tc>
          <w:tcPr>
            <w:tcW w:w="7619" w:type="dxa"/>
            <w:tcBorders>
              <w:top w:val="nil"/>
              <w:left w:val="nil"/>
              <w:bottom w:val="nil"/>
              <w:right w:val="nil"/>
            </w:tcBorders>
            <w:shd w:val="clear" w:color="auto" w:fill="D6EAF8"/>
            <w:tcMar>
              <w:top w:w="120" w:type="dxa"/>
              <w:left w:w="220" w:type="dxa"/>
              <w:bottom w:w="120" w:type="dxa"/>
              <w:right w:w="180" w:type="dxa"/>
            </w:tcMar>
            <w:vAlign w:val="center"/>
          </w:tcPr>
          <w:p w14:paraId="58682DDC">
            <w:r>
              <w:rPr>
                <w:rFonts w:ascii="Arial" w:hAnsi="Arial" w:eastAsia="Arial" w:cs="Arial"/>
                <w:b/>
                <w:bCs/>
                <w:color w:val="1B4F72"/>
                <w:sz w:val="26"/>
                <w:szCs w:val="26"/>
              </w:rPr>
              <w:t>Practicum Review, Portfolio &amp; Professional Commitment</w:t>
            </w:r>
          </w:p>
        </w:tc>
      </w:tr>
    </w:tbl>
    <w:p w14:paraId="68C5717C">
      <w:pPr>
        <w:spacing w:after="120"/>
      </w:pPr>
    </w:p>
    <w:p w14:paraId="11792928">
      <w:pPr>
        <w:spacing w:before="60" w:after="120"/>
      </w:pPr>
      <w:r>
        <w:rPr>
          <w:rFonts w:ascii="Arial" w:hAnsi="Arial" w:eastAsia="Arial" w:cs="Arial"/>
          <w:color w:val="1C2833"/>
          <w:sz w:val="22"/>
          <w:szCs w:val="22"/>
        </w:rPr>
        <w:t>Week 16 is not a final exam — it is a professional milestone. The activities of this week are designed not to test participants but to consolidate their growth, celebrate their development, and send them forward with a clear professional identity and a concrete plan for what comes next. The portfolio presentation, philosophy revisit, and commitment ceremony are all designed to make the transition from program participant to independent professional trainer-supervisor explicit and honourable.</w:t>
      </w:r>
    </w:p>
    <w:p w14:paraId="64DBD4A1">
      <w:pPr>
        <w:spacing w:after="120"/>
      </w:pPr>
    </w:p>
    <w:p w14:paraId="59857428">
      <w:pPr>
        <w:pStyle w:val="5"/>
      </w:pPr>
      <w:r>
        <w:rPr>
          <w:rFonts w:ascii="Arial" w:hAnsi="Arial" w:eastAsia="Arial" w:cs="Arial"/>
          <w:b/>
          <w:bCs/>
          <w:color w:val="0E6655"/>
          <w:sz w:val="22"/>
          <w:szCs w:val="22"/>
        </w:rPr>
        <w:t>Topic 1: Practicum Review &amp; Reflection</w:t>
      </w:r>
    </w:p>
    <w:p w14:paraId="3828A5E3">
      <w:pPr>
        <w:spacing w:before="60" w:after="120"/>
      </w:pPr>
      <w:r>
        <w:rPr>
          <w:rFonts w:ascii="Arial" w:hAnsi="Arial" w:eastAsia="Arial" w:cs="Arial"/>
          <w:color w:val="1C2833"/>
          <w:sz w:val="22"/>
          <w:szCs w:val="22"/>
        </w:rPr>
        <w:t>Across the program, participants have conducted supervised observation cycles, delivered training demonstrations, facilitated conferences, and engaged in peer coaching. Week 16 begins with a structured review of these practicum experiences: What were the significant moments? What changed between the first and the most recent observation cycle? What is the arc of growth that the practicum documents? Participants prepare a structured practicum reflection narrative that connects their practical experiences to the theoretical frameworks encountered across the program.</w:t>
      </w:r>
    </w:p>
    <w:p w14:paraId="673AEB6D">
      <w:pPr>
        <w:spacing w:after="120"/>
      </w:pPr>
    </w:p>
    <w:p w14:paraId="641D5A9C">
      <w:pPr>
        <w:pStyle w:val="5"/>
      </w:pPr>
      <w:r>
        <w:rPr>
          <w:rFonts w:ascii="Arial" w:hAnsi="Arial" w:eastAsia="Arial" w:cs="Arial"/>
          <w:b/>
          <w:bCs/>
          <w:color w:val="0E6655"/>
          <w:sz w:val="22"/>
          <w:szCs w:val="22"/>
        </w:rPr>
        <w:t>Topic 2: Portfolio Completion &amp; Presentation</w:t>
      </w:r>
    </w:p>
    <w:p w14:paraId="00656B49">
      <w:pPr>
        <w:spacing w:before="60" w:after="120"/>
      </w:pPr>
      <w:r>
        <w:rPr>
          <w:rFonts w:ascii="Arial" w:hAnsi="Arial" w:eastAsia="Arial" w:cs="Arial"/>
          <w:color w:val="1C2833"/>
          <w:sz w:val="22"/>
          <w:szCs w:val="22"/>
        </w:rPr>
        <w:t>The professional portfolio is the program's primary summative artefact. It is not a folder of completed tasks: it is a curated, reflective account of professional development across the four months. The portfolio includes a revised personal philosophy statement, selected and annotated examples of designed artefacts (session plans, observation tools, rubrics), practicum documentation, reflective journal excerpts, and a final reflective synthesis that maps portfolio evidence against the five competency domains. Each participant presents a 15-minute portfolio presentation in a structured gallery format.</w:t>
      </w:r>
    </w:p>
    <w:p w14:paraId="5D11F0F4">
      <w:pPr>
        <w:spacing w:after="120"/>
      </w:pPr>
    </w:p>
    <w:p w14:paraId="3BD4365C">
      <w:pPr>
        <w:pStyle w:val="5"/>
      </w:pPr>
      <w:r>
        <w:rPr>
          <w:rFonts w:ascii="Arial" w:hAnsi="Arial" w:eastAsia="Arial" w:cs="Arial"/>
          <w:b/>
          <w:bCs/>
          <w:color w:val="0E6655"/>
          <w:sz w:val="22"/>
          <w:szCs w:val="22"/>
        </w:rPr>
        <w:t>Topic 3: Professional Growth Planning &amp; Program Synthesis</w:t>
      </w:r>
    </w:p>
    <w:p w14:paraId="528ED307">
      <w:pPr>
        <w:spacing w:before="60" w:after="120"/>
      </w:pPr>
      <w:r>
        <w:rPr>
          <w:rFonts w:ascii="Arial" w:hAnsi="Arial" w:eastAsia="Arial" w:cs="Arial"/>
          <w:color w:val="1C2833"/>
          <w:sz w:val="22"/>
          <w:szCs w:val="22"/>
        </w:rPr>
        <w:t>The program ends not with a retrospective but with a prospective: Where does each participant go from here? The 12-month Professional Growth Plan (PGP) is a structured commitment document in which participants identify three to five specific professional growth goals for the year ahead, map them against the program's competency framework, identify the specific activities and resources they will use, name an accountability partner, and set a review date. The program's final activity — the Commitment Ceremony — gives each participant a public moment to name their most significant professional commitment, witnessed and affirmed by the cohort.</w:t>
      </w:r>
    </w:p>
    <w:p w14:paraId="08F0CD72">
      <w:pPr>
        <w:spacing w:after="120"/>
      </w:pPr>
    </w:p>
    <w:p w14:paraId="15586335">
      <w:pPr>
        <w:spacing w:after="120"/>
      </w:pPr>
    </w:p>
    <w:p w14:paraId="026305DF">
      <w:pPr>
        <w:spacing w:after="120"/>
      </w:pPr>
    </w:p>
    <w:p w14:paraId="277BECCD">
      <w:pPr>
        <w:spacing w:after="120"/>
      </w:pPr>
    </w:p>
    <w:p w14:paraId="0B363864">
      <w:pPr>
        <w:spacing w:after="120"/>
      </w:pPr>
    </w:p>
    <w:p w14:paraId="4443D41F">
      <w:pPr>
        <w:spacing w:after="120"/>
      </w:pPr>
    </w:p>
    <w:p w14:paraId="7FD04BBE">
      <w:pPr>
        <w:spacing w:after="120"/>
      </w:pPr>
    </w:p>
    <w:p w14:paraId="25322D6B">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568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0C33430F">
            <w:pPr>
              <w:spacing w:before="80" w:after="100"/>
            </w:pPr>
            <w:r>
              <w:rPr>
                <w:rFonts w:ascii="Arial" w:hAnsi="Arial" w:eastAsia="Arial" w:cs="Arial"/>
                <w:b/>
                <w:bCs/>
                <w:color w:val="1B4F72"/>
                <w:sz w:val="24"/>
                <w:szCs w:val="24"/>
              </w:rPr>
              <w:t>Learning Outcomes — Week 16</w:t>
            </w:r>
          </w:p>
          <w:p w14:paraId="252F5C6C">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Present a professional portfolio that demonstrates coherent competency development across all five program domains with specific, annotated evidence</w:t>
            </w:r>
          </w:p>
          <w:p w14:paraId="1328C879">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Articulate a revised personal philosophy statement that integrates theory and practice drawn from all four months of the program</w:t>
            </w:r>
          </w:p>
          <w:p w14:paraId="33073089">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Develop a 12-month Professional Growth Plan grounded in honest self-assessment against the program competency framework</w:t>
            </w:r>
          </w:p>
          <w:p w14:paraId="0F72085C">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Contribute to and participate in the cohort's professional commitment ceremony, naming a specific, public professional commitment for the year ahead</w:t>
            </w:r>
          </w:p>
        </w:tc>
      </w:tr>
    </w:tbl>
    <w:p w14:paraId="71CB4416">
      <w:pPr>
        <w:spacing w:after="120"/>
      </w:pPr>
    </w:p>
    <w:p w14:paraId="2514E01C">
      <w:pPr>
        <w:pStyle w:val="5"/>
      </w:pPr>
      <w:r>
        <w:rPr>
          <w:rFonts w:ascii="Arial" w:hAnsi="Arial" w:eastAsia="Arial" w:cs="Arial"/>
          <w:b/>
          <w:bCs/>
          <w:color w:val="0E6655"/>
          <w:sz w:val="22"/>
          <w:szCs w:val="22"/>
        </w:rPr>
        <w:t>Week 16 Activities</w:t>
      </w:r>
    </w:p>
    <w:p w14:paraId="36CCD03C">
      <w:pPr>
        <w:pStyle w:val="16"/>
        <w:numPr>
          <w:ilvl w:val="0"/>
          <w:numId w:val="2"/>
        </w:numPr>
      </w:pPr>
      <w:r>
        <w:rPr>
          <w:rFonts w:ascii="Arial" w:hAnsi="Arial" w:eastAsia="Arial" w:cs="Arial"/>
          <w:color w:val="1C2833"/>
          <w:sz w:val="22"/>
          <w:szCs w:val="22"/>
        </w:rPr>
        <w:t>Portfolio Gallery Walk: Participants arrange their portfolios as gallery displays. In a structured 45-minute gallery session, colleagues visit each other's portfolios using a written response protocol: one specific strength noted, one question posed, one connection to their own experience. Portfolio presenters then deliver a 5-minute oral reflection on their most significant growth moment.</w:t>
      </w:r>
    </w:p>
    <w:p w14:paraId="2C0940A8">
      <w:pPr>
        <w:pStyle w:val="16"/>
        <w:numPr>
          <w:ilvl w:val="0"/>
          <w:numId w:val="2"/>
        </w:numPr>
      </w:pPr>
      <w:r>
        <w:rPr>
          <w:rFonts w:ascii="Arial" w:hAnsi="Arial" w:eastAsia="Arial" w:cs="Arial"/>
          <w:color w:val="1C2833"/>
          <w:sz w:val="22"/>
          <w:szCs w:val="22"/>
        </w:rPr>
        <w:t>Philosophy Revisit &amp; Presentation: Each participant compares their original Week 1 philosophy draft with their final revised philosophy statement. In groups of three, they share what changed, what stayed, and what surprised them most about the evolution of their professional thinking. Selected participants share with the full cohort.</w:t>
      </w:r>
    </w:p>
    <w:p w14:paraId="75F4EAAC">
      <w:pPr>
        <w:pStyle w:val="16"/>
        <w:numPr>
          <w:ilvl w:val="0"/>
          <w:numId w:val="2"/>
        </w:numPr>
      </w:pPr>
      <w:r>
        <w:rPr>
          <w:rFonts w:ascii="Arial" w:hAnsi="Arial" w:eastAsia="Arial" w:cs="Arial"/>
          <w:color w:val="1C2833"/>
          <w:sz w:val="22"/>
          <w:szCs w:val="22"/>
        </w:rPr>
        <w:t>Professional Commitment Ceremony: In the final session, each participant reads one professional commitment aloud to the cohort. Commitments are recorded in a shared cohort document. The facilitator closes with a brief, personalised acknowledgement of each participant's growth, and the cohort receives their program certificates.</w:t>
      </w:r>
    </w:p>
    <w:p w14:paraId="02527115">
      <w:pPr>
        <w:spacing w:after="120"/>
      </w:pPr>
    </w:p>
    <w:p w14:paraId="7F6DA260">
      <w:pPr>
        <w:spacing w:after="120"/>
      </w:pPr>
    </w:p>
    <w:p w14:paraId="2278CF42">
      <w:pPr>
        <w:spacing w:after="120"/>
      </w:pPr>
    </w:p>
    <w:p w14:paraId="79EB1379">
      <w:pPr>
        <w:spacing w:after="120"/>
      </w:pPr>
    </w:p>
    <w:p w14:paraId="077780D5">
      <w:pPr>
        <w:spacing w:after="120"/>
      </w:pPr>
    </w:p>
    <w:p w14:paraId="4BF4E628">
      <w:pPr>
        <w:spacing w:after="120"/>
      </w:pPr>
    </w:p>
    <w:p w14:paraId="40EFD9DC">
      <w:pPr>
        <w:spacing w:after="120"/>
      </w:pPr>
    </w:p>
    <w:p w14:paraId="04837253">
      <w:pPr>
        <w:spacing w:after="120"/>
      </w:pPr>
    </w:p>
    <w:p w14:paraId="003B2463">
      <w:pPr>
        <w:spacing w:after="120"/>
      </w:pPr>
    </w:p>
    <w:p w14:paraId="35096181">
      <w:pPr>
        <w:spacing w:after="120"/>
      </w:pPr>
    </w:p>
    <w:p w14:paraId="64CF6F7B">
      <w:pPr>
        <w:spacing w:after="120"/>
      </w:pPr>
    </w:p>
    <w:p w14:paraId="550999AF">
      <w:pPr>
        <w:spacing w:after="120"/>
      </w:pPr>
    </w:p>
    <w:p w14:paraId="53D1F4A1">
      <w:pPr>
        <w:spacing w:after="120"/>
      </w:pPr>
    </w:p>
    <w:p w14:paraId="4197111B">
      <w:pPr>
        <w:spacing w:after="120"/>
      </w:pPr>
    </w:p>
    <w:p w14:paraId="63944F45">
      <w:pPr>
        <w:spacing w:after="120"/>
      </w:pPr>
    </w:p>
    <w:p w14:paraId="27EC9C3F">
      <w:pPr>
        <w:spacing w:after="120"/>
      </w:pPr>
    </w:p>
    <w:p w14:paraId="10FE6E00">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36A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0E6655" w:sz="4" w:space="0"/>
              <w:left w:val="single" w:color="0E6655" w:sz="18" w:space="0"/>
              <w:bottom w:val="single" w:color="0E6655" w:sz="4" w:space="0"/>
              <w:right w:val="single" w:color="0E6655" w:sz="4" w:space="0"/>
            </w:tcBorders>
            <w:shd w:val="clear" w:color="auto" w:fill="D1F2EB"/>
            <w:tcMar>
              <w:top w:w="120" w:type="dxa"/>
              <w:left w:w="220" w:type="dxa"/>
              <w:bottom w:w="120" w:type="dxa"/>
              <w:right w:w="200" w:type="dxa"/>
            </w:tcMar>
          </w:tcPr>
          <w:p w14:paraId="7509C811">
            <w:pPr>
              <w:spacing w:before="80" w:after="100"/>
            </w:pPr>
            <w:r>
              <w:rPr>
                <w:rFonts w:ascii="Arial" w:hAnsi="Arial" w:eastAsia="Arial" w:cs="Arial"/>
                <w:b/>
                <w:bCs/>
                <w:color w:val="0E6655"/>
                <w:sz w:val="24"/>
                <w:szCs w:val="24"/>
              </w:rPr>
              <w:t>Month 4 — Hands-on Practice Tasks</w:t>
            </w:r>
          </w:p>
          <w:p w14:paraId="5C1392E7">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GROW Coaching Sequence: </w:t>
            </w:r>
            <w:r>
              <w:rPr>
                <w:rFonts w:ascii="Arial" w:hAnsi="Arial" w:eastAsia="Arial" w:cs="Arial"/>
                <w:color w:val="1C2833"/>
                <w:sz w:val="22"/>
                <w:szCs w:val="22"/>
              </w:rPr>
              <w:t>Each participant conducts a sustained four-session GROW coaching sequence with a peer partner across the month. In sessions 1 and 2, they act as coach; in sessions 3 and 4, as coachee. Each session is documented (structured notes) and followed by a reflective entry. The complete sequence is submitted as a portfolio artefact.</w:t>
            </w:r>
          </w:p>
          <w:p w14:paraId="640B2910">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Practicum Portfolio Development: </w:t>
            </w:r>
            <w:r>
              <w:rPr>
                <w:rFonts w:ascii="Arial" w:hAnsi="Arial" w:eastAsia="Arial" w:cs="Arial"/>
                <w:color w:val="1C2833"/>
                <w:sz w:val="22"/>
                <w:szCs w:val="22"/>
              </w:rPr>
              <w:t>The entire month is framed by ongoing portfolio development. Guided checkpoint sessions with the facilitator at the end of each week ensure quality and completeness. Portfolio components submitted progressively prevent last-minute scrambles.</w:t>
            </w:r>
          </w:p>
          <w:p w14:paraId="34906A29">
            <w:pPr>
              <w:spacing w:before="60" w:after="6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PLC Pilot Experience: </w:t>
            </w:r>
            <w:r>
              <w:rPr>
                <w:rFonts w:ascii="Arial" w:hAnsi="Arial" w:eastAsia="Arial" w:cs="Arial"/>
                <w:color w:val="1C2833"/>
                <w:sz w:val="22"/>
                <w:szCs w:val="22"/>
              </w:rPr>
              <w:t>The cohort itself operates as a PLC for Month 4: using the structures participants have designed, they experience the model from the inside — setting a shared inquiry question, gathering data from their practicum experiences, and presenting findings in the final week.</w:t>
            </w:r>
          </w:p>
          <w:p w14:paraId="31401C55">
            <w:pPr>
              <w:spacing w:before="60" w:after="80"/>
              <w:ind w:left="160"/>
            </w:pPr>
            <w:r>
              <w:rPr>
                <w:rFonts w:ascii="Arial" w:hAnsi="Arial" w:eastAsia="Arial" w:cs="Arial"/>
                <w:b/>
                <w:bCs/>
                <w:color w:val="0E6655"/>
                <w:sz w:val="22"/>
                <w:szCs w:val="22"/>
              </w:rPr>
              <w:t xml:space="preserve">— </w:t>
            </w:r>
            <w:r>
              <w:rPr>
                <w:rFonts w:ascii="Arial" w:hAnsi="Arial" w:eastAsia="Arial" w:cs="Arial"/>
                <w:b/>
                <w:bCs/>
                <w:color w:val="1C2833"/>
                <w:sz w:val="22"/>
                <w:szCs w:val="22"/>
              </w:rPr>
              <w:t xml:space="preserve">Capstone Training or Supervision Demonstration: </w:t>
            </w:r>
            <w:r>
              <w:rPr>
                <w:rFonts w:ascii="Arial" w:hAnsi="Arial" w:eastAsia="Arial" w:cs="Arial"/>
                <w:color w:val="1C2833"/>
                <w:sz w:val="22"/>
                <w:szCs w:val="22"/>
              </w:rPr>
              <w:t>Each participant designs and delivers either a 30-minute training session or a complete observation cycle (including pre- and post-conference) as their summative practical demonstration. The demonstration is observed and assessed by the facilitator using the program's competency rubric.</w:t>
            </w:r>
          </w:p>
        </w:tc>
      </w:tr>
    </w:tbl>
    <w:p w14:paraId="2532FF7B">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89B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CA6F1E" w:sz="4" w:space="0"/>
              <w:left w:val="single" w:color="CA6F1E" w:sz="18" w:space="0"/>
              <w:bottom w:val="single" w:color="CA6F1E" w:sz="4" w:space="0"/>
              <w:right w:val="single" w:color="CA6F1E" w:sz="4" w:space="0"/>
            </w:tcBorders>
            <w:shd w:val="clear" w:color="auto" w:fill="FDEBD0"/>
            <w:tcMar>
              <w:top w:w="120" w:type="dxa"/>
              <w:left w:w="220" w:type="dxa"/>
              <w:bottom w:w="120" w:type="dxa"/>
              <w:right w:w="200" w:type="dxa"/>
            </w:tcMar>
          </w:tcPr>
          <w:p w14:paraId="36A488EF">
            <w:pPr>
              <w:spacing w:before="80" w:after="100"/>
            </w:pPr>
            <w:r>
              <w:rPr>
                <w:rFonts w:ascii="Arial" w:hAnsi="Arial" w:eastAsia="Arial" w:cs="Arial"/>
                <w:b/>
                <w:bCs/>
                <w:color w:val="CA6F1E"/>
                <w:sz w:val="24"/>
                <w:szCs w:val="24"/>
              </w:rPr>
              <w:t>Month 4 — Common Challenges</w:t>
            </w:r>
          </w:p>
          <w:p w14:paraId="4B8C9735">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Coaching vs. Advising Slippage: </w:t>
            </w:r>
            <w:r>
              <w:rPr>
                <w:rFonts w:ascii="Arial" w:hAnsi="Arial" w:eastAsia="Arial" w:cs="Arial"/>
                <w:color w:val="1C2833"/>
                <w:sz w:val="22"/>
                <w:szCs w:val="22"/>
              </w:rPr>
              <w:t>The hardest habit to break in Month 4 is slipping from coaching questions back into direct advice. Build in explicit coaching stance reminders at the start of every GROW practice session.</w:t>
            </w:r>
          </w:p>
          <w:p w14:paraId="7CD23210">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Portfolio Anxiety: </w:t>
            </w:r>
            <w:r>
              <w:rPr>
                <w:rFonts w:ascii="Arial" w:hAnsi="Arial" w:eastAsia="Arial" w:cs="Arial"/>
                <w:color w:val="1C2833"/>
                <w:sz w:val="22"/>
                <w:szCs w:val="22"/>
              </w:rPr>
              <w:t>Participants who have not kept up with portfolio contributions throughout the program face significant anxiety in Week 16. Monthly checkpoint reviews and progressive portfolio submission requirements prevent this.</w:t>
            </w:r>
          </w:p>
          <w:p w14:paraId="4D477916">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Sustaining Learning in Resistant Contexts: </w:t>
            </w:r>
            <w:r>
              <w:rPr>
                <w:rFonts w:ascii="Arial" w:hAnsi="Arial" w:eastAsia="Arial" w:cs="Arial"/>
                <w:color w:val="1C2833"/>
                <w:sz w:val="22"/>
                <w:szCs w:val="22"/>
              </w:rPr>
              <w:t>Participants often leave programs energised but unsure how to apply what they have learned in difficult institutional contexts. Week 15's change leadership work and Week 16's PGP are both directly responsive to this concern.</w:t>
            </w:r>
          </w:p>
          <w:p w14:paraId="2A9F371F">
            <w:pPr>
              <w:spacing w:before="60" w:after="6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Theory-Practice Connection in Reflections: </w:t>
            </w:r>
            <w:r>
              <w:rPr>
                <w:rFonts w:ascii="Arial" w:hAnsi="Arial" w:eastAsia="Arial" w:cs="Arial"/>
                <w:color w:val="1C2833"/>
                <w:sz w:val="22"/>
                <w:szCs w:val="22"/>
              </w:rPr>
              <w:t>In practicum reflections, participants sometimes describe experiences without connecting them to theory. The practicum reflection narrative framework includes explicit prompts that require theoretical connection at each stage.</w:t>
            </w:r>
          </w:p>
          <w:p w14:paraId="3A457EE5">
            <w:pPr>
              <w:spacing w:before="60" w:after="80"/>
              <w:ind w:left="160"/>
            </w:pPr>
            <w:r>
              <w:rPr>
                <w:rFonts w:ascii="Arial" w:hAnsi="Arial" w:eastAsia="Arial" w:cs="Arial"/>
                <w:b/>
                <w:bCs/>
                <w:color w:val="CA6F1E"/>
                <w:sz w:val="22"/>
                <w:szCs w:val="22"/>
              </w:rPr>
              <w:t xml:space="preserve">— </w:t>
            </w:r>
            <w:r>
              <w:rPr>
                <w:rFonts w:ascii="Arial" w:hAnsi="Arial" w:eastAsia="Arial" w:cs="Arial"/>
                <w:b/>
                <w:bCs/>
                <w:color w:val="1C2833"/>
                <w:sz w:val="22"/>
                <w:szCs w:val="22"/>
              </w:rPr>
              <w:t xml:space="preserve">Ending the Program Well: </w:t>
            </w:r>
            <w:r>
              <w:rPr>
                <w:rFonts w:ascii="Arial" w:hAnsi="Arial" w:eastAsia="Arial" w:cs="Arial"/>
                <w:color w:val="1C2833"/>
                <w:sz w:val="22"/>
                <w:szCs w:val="22"/>
              </w:rPr>
              <w:t>The transition from program participant to independent practitioner is emotionally significant. The Commitment Ceremony and personalised facilitator acknowledgements in Week 16 are intentionally designed to honour this transition meaningfully.</w:t>
            </w:r>
          </w:p>
        </w:tc>
      </w:tr>
    </w:tbl>
    <w:p w14:paraId="41F0EEAD">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1AF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B7950B" w:sz="4" w:space="0"/>
              <w:left w:val="single" w:color="B7950B" w:sz="18" w:space="0"/>
              <w:bottom w:val="single" w:color="B7950B" w:sz="4" w:space="0"/>
              <w:right w:val="single" w:color="B7950B" w:sz="4" w:space="0"/>
            </w:tcBorders>
            <w:shd w:val="clear" w:color="auto" w:fill="FEF9E7"/>
            <w:tcMar>
              <w:top w:w="120" w:type="dxa"/>
              <w:left w:w="220" w:type="dxa"/>
              <w:bottom w:w="120" w:type="dxa"/>
              <w:right w:w="200" w:type="dxa"/>
            </w:tcMar>
          </w:tcPr>
          <w:p w14:paraId="39F290D6">
            <w:pPr>
              <w:spacing w:before="80" w:after="100"/>
            </w:pPr>
            <w:r>
              <w:rPr>
                <w:rFonts w:ascii="Arial" w:hAnsi="Arial" w:eastAsia="Arial" w:cs="Arial"/>
                <w:b/>
                <w:bCs/>
                <w:color w:val="B7950B"/>
                <w:sz w:val="24"/>
                <w:szCs w:val="24"/>
              </w:rPr>
              <w:t>Month 4 — Trainer Tips</w:t>
            </w:r>
          </w:p>
          <w:p w14:paraId="51B31A66">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Use real practicum contexts wherever possible. If participants are already in trainer-supervisor roles, their practicum happens in their actual work. If not, arrange partnership agreements with local schools or language institutes.</w:t>
            </w:r>
          </w:p>
          <w:p w14:paraId="7787C6AF">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Make portfolio work visible and ongoing throughout the month. Weekly check-ins and low-stakes portfolio submissions prevent the last-week scramble and substantially improve final portfolio quality.</w:t>
            </w:r>
          </w:p>
          <w:p w14:paraId="7E4EA218">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Build the cohort into a lasting professional community. The final weeks should explicitly establish the cohort as an ongoing peer network. Suggest continued PLC structures, peer observation partnerships, and shared online professional spaces.</w:t>
            </w:r>
          </w:p>
          <w:p w14:paraId="461C2FEC">
            <w:pPr>
              <w:spacing w:before="60" w:after="60"/>
              <w:ind w:left="160"/>
            </w:pPr>
            <w:r>
              <w:rPr>
                <w:rFonts w:ascii="Arial" w:hAnsi="Arial" w:eastAsia="Arial" w:cs="Arial"/>
                <w:b/>
                <w:bCs/>
                <w:color w:val="B7950B"/>
                <w:sz w:val="22"/>
                <w:szCs w:val="22"/>
              </w:rPr>
              <w:t xml:space="preserve">— </w:t>
            </w:r>
            <w:r>
              <w:rPr>
                <w:rFonts w:ascii="Arial" w:hAnsi="Arial" w:eastAsia="Arial" w:cs="Arial"/>
                <w:color w:val="1C2833"/>
                <w:sz w:val="22"/>
                <w:szCs w:val="22"/>
              </w:rPr>
              <w:t>Celebrate growth, not just performance. The Week 16 synthesis is as much about recognising how far each participant has come as about assessing final product quality. Design the ceremony to be genuinely affirming.</w:t>
            </w:r>
          </w:p>
          <w:p w14:paraId="51E2B406">
            <w:pPr>
              <w:spacing w:before="60" w:after="80"/>
              <w:ind w:left="160"/>
            </w:pPr>
            <w:r>
              <w:rPr>
                <w:rFonts w:ascii="Arial" w:hAnsi="Arial" w:eastAsia="Arial" w:cs="Arial"/>
                <w:b/>
                <w:bCs/>
                <w:color w:val="B7950B"/>
                <w:sz w:val="22"/>
                <w:szCs w:val="22"/>
              </w:rPr>
              <w:t xml:space="preserve">— </w:t>
            </w:r>
            <w:r>
              <w:rPr>
                <w:rFonts w:ascii="Arial" w:hAnsi="Arial" w:eastAsia="Arial" w:cs="Arial"/>
                <w:color w:val="1C2833"/>
                <w:sz w:val="22"/>
                <w:szCs w:val="22"/>
              </w:rPr>
              <w:t>Give participants a clear 'you are now' moment. Many people need a ritual transition to claim a new professional identity. The Commitment Ceremony is that moment — protect it and invest in it.</w:t>
            </w:r>
          </w:p>
        </w:tc>
      </w:tr>
    </w:tbl>
    <w:p w14:paraId="450EB101">
      <w:r>
        <w:br w:type="page"/>
      </w:r>
    </w:p>
    <w:p w14:paraId="6B0ED54C">
      <w:pPr>
        <w:pStyle w:val="2"/>
        <w:shd w:val="clear" w:fill="E36C09" w:themeFill="accent6" w:themeFillShade="BF"/>
        <w:spacing w:before="0" w:after="200"/>
        <w:ind w:right="240"/>
      </w:pPr>
      <w:r>
        <w:rPr>
          <w:rFonts w:ascii="Arial" w:hAnsi="Arial" w:eastAsia="Arial" w:cs="Arial"/>
          <w:b/>
          <w:bCs/>
          <w:color w:val="FFFFFF"/>
          <w:sz w:val="38"/>
          <w:szCs w:val="38"/>
        </w:rPr>
        <w:t>MASTER SYLLABUS — 16-WEEK PROGRAM OVERVIEW</w:t>
      </w:r>
    </w:p>
    <w:p w14:paraId="013F95A3">
      <w:pPr>
        <w:spacing w:after="120"/>
      </w:pPr>
    </w:p>
    <w:p w14:paraId="52CF5753">
      <w:pPr>
        <w:spacing w:before="60" w:after="120"/>
      </w:pPr>
      <w:r>
        <w:rPr>
          <w:rFonts w:ascii="Arial" w:hAnsi="Arial" w:eastAsia="Arial" w:cs="Arial"/>
          <w:color w:val="1C2833"/>
          <w:sz w:val="22"/>
          <w:szCs w:val="22"/>
        </w:rPr>
        <w:t>The following table provides a consolidated view of the complete 16-week program. Each entry represents one week of study comprising three 90-minute contact sessions plus approximately four hours of independent study. Assessments marked 'Portfolio' contribute to the ongoing portfolio artefact collection. The 'Capstone' assessment in Week 16 is the final summative demonstration.</w:t>
      </w:r>
    </w:p>
    <w:p w14:paraId="7717CE31">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5"/>
        <w:gridCol w:w="980"/>
        <w:gridCol w:w="1667"/>
        <w:gridCol w:w="2174"/>
        <w:gridCol w:w="1876"/>
        <w:gridCol w:w="1694"/>
      </w:tblGrid>
      <w:tr w14:paraId="6135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1F517002">
            <w:r>
              <w:rPr>
                <w:rFonts w:ascii="Arial" w:hAnsi="Arial" w:eastAsia="Arial" w:cs="Arial"/>
                <w:b/>
                <w:bCs/>
                <w:color w:val="FFFFFF"/>
                <w:sz w:val="22"/>
                <w:szCs w:val="22"/>
              </w:rPr>
              <w:t>Wk</w:t>
            </w:r>
          </w:p>
        </w:tc>
        <w:tc>
          <w:tcPr>
            <w:tcW w:w="72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083B0B0A">
            <w:r>
              <w:rPr>
                <w:rFonts w:ascii="Arial" w:hAnsi="Arial" w:eastAsia="Arial" w:cs="Arial"/>
                <w:b/>
                <w:bCs/>
                <w:color w:val="FFFFFF"/>
                <w:sz w:val="22"/>
                <w:szCs w:val="22"/>
              </w:rPr>
              <w:t>Month</w:t>
            </w:r>
          </w:p>
        </w:tc>
        <w:tc>
          <w:tcPr>
            <w:tcW w:w="16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24BABB9B">
            <w:r>
              <w:rPr>
                <w:rFonts w:ascii="Arial" w:hAnsi="Arial" w:eastAsia="Arial" w:cs="Arial"/>
                <w:b/>
                <w:bCs/>
                <w:color w:val="FFFFFF"/>
                <w:sz w:val="22"/>
                <w:szCs w:val="22"/>
              </w:rPr>
              <w:t>Title</w:t>
            </w:r>
          </w:p>
        </w:tc>
        <w:tc>
          <w:tcPr>
            <w:tcW w:w="2086"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5EA93AD7">
            <w:r>
              <w:rPr>
                <w:rFonts w:ascii="Arial" w:hAnsi="Arial" w:eastAsia="Arial" w:cs="Arial"/>
                <w:b/>
                <w:bCs/>
                <w:color w:val="FFFFFF"/>
                <w:sz w:val="22"/>
                <w:szCs w:val="22"/>
              </w:rPr>
              <w:t>Core Topics</w:t>
            </w:r>
          </w:p>
        </w:tc>
        <w:tc>
          <w:tcPr>
            <w:tcW w:w="18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2B0ECC31">
            <w:r>
              <w:rPr>
                <w:rFonts w:ascii="Arial" w:hAnsi="Arial" w:eastAsia="Arial" w:cs="Arial"/>
                <w:b/>
                <w:bCs/>
                <w:color w:val="FFFFFF"/>
                <w:sz w:val="22"/>
                <w:szCs w:val="22"/>
              </w:rPr>
              <w:t>Key Activities</w:t>
            </w:r>
          </w:p>
        </w:tc>
        <w:tc>
          <w:tcPr>
            <w:tcW w:w="14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0C00AEED">
            <w:r>
              <w:rPr>
                <w:rFonts w:ascii="Arial" w:hAnsi="Arial" w:eastAsia="Arial" w:cs="Arial"/>
                <w:b/>
                <w:bCs/>
                <w:color w:val="FFFFFF"/>
                <w:sz w:val="22"/>
                <w:szCs w:val="22"/>
              </w:rPr>
              <w:t>Assessment</w:t>
            </w:r>
          </w:p>
        </w:tc>
      </w:tr>
      <w:tr w14:paraId="2CFFC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E900D29">
            <w:r>
              <w:rPr>
                <w:rFonts w:ascii="Arial" w:hAnsi="Arial" w:eastAsia="Arial" w:cs="Arial"/>
                <w:b w:val="0"/>
                <w:bCs w:val="0"/>
                <w:color w:val="1C2833"/>
                <w:sz w:val="20"/>
                <w:szCs w:val="20"/>
              </w:rPr>
              <w:t>1</w:t>
            </w:r>
          </w:p>
        </w:tc>
        <w:tc>
          <w:tcPr>
            <w:tcW w:w="7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D462C04">
            <w:r>
              <w:rPr>
                <w:rFonts w:ascii="Arial" w:hAnsi="Arial" w:eastAsia="Arial" w:cs="Arial"/>
                <w:b w:val="0"/>
                <w:bCs w:val="0"/>
                <w:color w:val="1C2833"/>
                <w:sz w:val="20"/>
                <w:szCs w:val="20"/>
              </w:rPr>
              <w:t>Month 1</w:t>
            </w:r>
          </w:p>
        </w:tc>
        <w:tc>
          <w:tcPr>
            <w:tcW w:w="16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ED647BA">
            <w:r>
              <w:rPr>
                <w:rFonts w:ascii="Arial" w:hAnsi="Arial" w:eastAsia="Arial" w:cs="Arial"/>
                <w:b w:val="0"/>
                <w:bCs w:val="0"/>
                <w:color w:val="1C2833"/>
                <w:sz w:val="20"/>
                <w:szCs w:val="20"/>
              </w:rPr>
              <w:t>Trainer-Supervisor Identity</w:t>
            </w:r>
          </w:p>
        </w:tc>
        <w:tc>
          <w:tcPr>
            <w:tcW w:w="208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B118577">
            <w:r>
              <w:rPr>
                <w:rFonts w:ascii="Arial" w:hAnsi="Arial" w:eastAsia="Arial" w:cs="Arial"/>
                <w:b w:val="0"/>
                <w:bCs w:val="0"/>
                <w:color w:val="1C2833"/>
                <w:sz w:val="20"/>
                <w:szCs w:val="20"/>
              </w:rPr>
              <w:t>Role distinctions; identity shift; ethics; Schön's reflective practitioner</w:t>
            </w:r>
          </w:p>
        </w:tc>
        <w:tc>
          <w:tcPr>
            <w:tcW w:w="1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55C657A">
            <w:r>
              <w:rPr>
                <w:rFonts w:ascii="Arial" w:hAnsi="Arial" w:eastAsia="Arial" w:cs="Arial"/>
                <w:b w:val="0"/>
                <w:bCs w:val="0"/>
                <w:color w:val="1C2833"/>
                <w:sz w:val="20"/>
                <w:szCs w:val="20"/>
              </w:rPr>
              <w:t>Identity Profile; Philosophy Draft; Role Mapping</w:t>
            </w:r>
          </w:p>
        </w:tc>
        <w:tc>
          <w:tcPr>
            <w:tcW w:w="14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695A154">
            <w:r>
              <w:rPr>
                <w:rFonts w:ascii="Arial" w:hAnsi="Arial" w:eastAsia="Arial" w:cs="Arial"/>
                <w:b w:val="0"/>
                <w:bCs w:val="0"/>
                <w:color w:val="1C2833"/>
                <w:sz w:val="20"/>
                <w:szCs w:val="20"/>
              </w:rPr>
              <w:t>Baseline Self-Assessment; Portfolio: Journal #1</w:t>
            </w:r>
          </w:p>
        </w:tc>
      </w:tr>
      <w:tr w14:paraId="6A49F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D2BE07E">
            <w:r>
              <w:rPr>
                <w:rFonts w:ascii="Arial" w:hAnsi="Arial" w:eastAsia="Arial" w:cs="Arial"/>
                <w:b w:val="0"/>
                <w:bCs w:val="0"/>
                <w:color w:val="1C2833"/>
                <w:sz w:val="20"/>
                <w:szCs w:val="20"/>
              </w:rPr>
              <w:t>2</w:t>
            </w:r>
          </w:p>
        </w:tc>
        <w:tc>
          <w:tcPr>
            <w:tcW w:w="7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EBBFE9F">
            <w:r>
              <w:rPr>
                <w:rFonts w:ascii="Arial" w:hAnsi="Arial" w:eastAsia="Arial" w:cs="Arial"/>
                <w:b w:val="0"/>
                <w:bCs w:val="0"/>
                <w:color w:val="1C2833"/>
                <w:sz w:val="20"/>
                <w:szCs w:val="20"/>
              </w:rPr>
              <w:t>Month 1</w:t>
            </w:r>
          </w:p>
        </w:tc>
        <w:tc>
          <w:tcPr>
            <w:tcW w:w="16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DFC0F5E">
            <w:r>
              <w:rPr>
                <w:rFonts w:ascii="Arial" w:hAnsi="Arial" w:eastAsia="Arial" w:cs="Arial"/>
                <w:b w:val="0"/>
                <w:bCs w:val="0"/>
                <w:color w:val="1C2833"/>
                <w:sz w:val="20"/>
                <w:szCs w:val="20"/>
              </w:rPr>
              <w:t>Adult Learning Theory</w:t>
            </w:r>
          </w:p>
        </w:tc>
        <w:tc>
          <w:tcPr>
            <w:tcW w:w="208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A769A91">
            <w:r>
              <w:rPr>
                <w:rFonts w:ascii="Arial" w:hAnsi="Arial" w:eastAsia="Arial" w:cs="Arial"/>
                <w:b w:val="0"/>
                <w:bCs w:val="0"/>
                <w:color w:val="1C2833"/>
                <w:sz w:val="20"/>
                <w:szCs w:val="20"/>
              </w:rPr>
              <w:t>Andragogy; constructivism; cognitive load; Kolb's cycle; motivation (SDT)</w:t>
            </w:r>
          </w:p>
        </w:tc>
        <w:tc>
          <w:tcPr>
            <w:tcW w:w="1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6663A3C">
            <w:r>
              <w:rPr>
                <w:rFonts w:ascii="Arial" w:hAnsi="Arial" w:eastAsia="Arial" w:cs="Arial"/>
                <w:b w:val="0"/>
                <w:bCs w:val="0"/>
                <w:color w:val="1C2833"/>
                <w:sz w:val="20"/>
                <w:szCs w:val="20"/>
              </w:rPr>
              <w:t>Theory Application Cards; Andragogy Audit; Motivation Analysis</w:t>
            </w:r>
          </w:p>
        </w:tc>
        <w:tc>
          <w:tcPr>
            <w:tcW w:w="14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388C424">
            <w:r>
              <w:rPr>
                <w:rFonts w:ascii="Arial" w:hAnsi="Arial" w:eastAsia="Arial" w:cs="Arial"/>
                <w:b w:val="0"/>
                <w:bCs w:val="0"/>
                <w:color w:val="1C2833"/>
                <w:sz w:val="20"/>
                <w:szCs w:val="20"/>
              </w:rPr>
              <w:t>Portfolio: Theory Reflection</w:t>
            </w:r>
          </w:p>
        </w:tc>
      </w:tr>
      <w:tr w14:paraId="006B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7E706EA">
            <w:r>
              <w:rPr>
                <w:rFonts w:ascii="Arial" w:hAnsi="Arial" w:eastAsia="Arial" w:cs="Arial"/>
                <w:b w:val="0"/>
                <w:bCs w:val="0"/>
                <w:color w:val="1C2833"/>
                <w:sz w:val="20"/>
                <w:szCs w:val="20"/>
              </w:rPr>
              <w:t>3</w:t>
            </w:r>
          </w:p>
        </w:tc>
        <w:tc>
          <w:tcPr>
            <w:tcW w:w="7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BF871F5">
            <w:r>
              <w:rPr>
                <w:rFonts w:ascii="Arial" w:hAnsi="Arial" w:eastAsia="Arial" w:cs="Arial"/>
                <w:b w:val="0"/>
                <w:bCs w:val="0"/>
                <w:color w:val="1C2833"/>
                <w:sz w:val="20"/>
                <w:szCs w:val="20"/>
              </w:rPr>
              <w:t>Month 1</w:t>
            </w:r>
          </w:p>
        </w:tc>
        <w:tc>
          <w:tcPr>
            <w:tcW w:w="16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F347D29">
            <w:r>
              <w:rPr>
                <w:rFonts w:ascii="Arial" w:hAnsi="Arial" w:eastAsia="Arial" w:cs="Arial"/>
                <w:b w:val="0"/>
                <w:bCs w:val="0"/>
                <w:color w:val="1C2833"/>
                <w:sz w:val="20"/>
                <w:szCs w:val="20"/>
              </w:rPr>
              <w:t>Needs Analysis</w:t>
            </w:r>
          </w:p>
        </w:tc>
        <w:tc>
          <w:tcPr>
            <w:tcW w:w="208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6453D10">
            <w:r>
              <w:rPr>
                <w:rFonts w:ascii="Arial" w:hAnsi="Arial" w:eastAsia="Arial" w:cs="Arial"/>
                <w:b w:val="0"/>
                <w:bCs w:val="0"/>
                <w:color w:val="1C2833"/>
                <w:sz w:val="20"/>
                <w:szCs w:val="20"/>
              </w:rPr>
              <w:t>Org/task/individual NA; data tools; gap types; problem statements</w:t>
            </w:r>
          </w:p>
        </w:tc>
        <w:tc>
          <w:tcPr>
            <w:tcW w:w="1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5E0208D">
            <w:r>
              <w:rPr>
                <w:rFonts w:ascii="Arial" w:hAnsi="Arial" w:eastAsia="Arial" w:cs="Arial"/>
                <w:b w:val="0"/>
                <w:bCs w:val="0"/>
                <w:color w:val="1C2833"/>
                <w:sz w:val="20"/>
                <w:szCs w:val="20"/>
              </w:rPr>
              <w:t>NA Simulation; Interview Design Lab; Gap Sorting</w:t>
            </w:r>
          </w:p>
        </w:tc>
        <w:tc>
          <w:tcPr>
            <w:tcW w:w="14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D315B4C">
            <w:r>
              <w:rPr>
                <w:rFonts w:ascii="Arial" w:hAnsi="Arial" w:eastAsia="Arial" w:cs="Arial"/>
                <w:b w:val="0"/>
                <w:bCs w:val="0"/>
                <w:color w:val="1C2833"/>
                <w:sz w:val="20"/>
                <w:szCs w:val="20"/>
              </w:rPr>
              <w:t>Portfolio: Mini NA Report</w:t>
            </w:r>
          </w:p>
        </w:tc>
      </w:tr>
      <w:tr w14:paraId="67307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D8D3E3A">
            <w:r>
              <w:rPr>
                <w:rFonts w:ascii="Arial" w:hAnsi="Arial" w:eastAsia="Arial" w:cs="Arial"/>
                <w:b w:val="0"/>
                <w:bCs w:val="0"/>
                <w:color w:val="1C2833"/>
                <w:sz w:val="20"/>
                <w:szCs w:val="20"/>
              </w:rPr>
              <w:t>4</w:t>
            </w:r>
          </w:p>
        </w:tc>
        <w:tc>
          <w:tcPr>
            <w:tcW w:w="7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EA8C0BF">
            <w:r>
              <w:rPr>
                <w:rFonts w:ascii="Arial" w:hAnsi="Arial" w:eastAsia="Arial" w:cs="Arial"/>
                <w:b w:val="0"/>
                <w:bCs w:val="0"/>
                <w:color w:val="1C2833"/>
                <w:sz w:val="20"/>
                <w:szCs w:val="20"/>
              </w:rPr>
              <w:t>Month 1</w:t>
            </w:r>
          </w:p>
        </w:tc>
        <w:tc>
          <w:tcPr>
            <w:tcW w:w="16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E9895A3">
            <w:r>
              <w:rPr>
                <w:rFonts w:ascii="Arial" w:hAnsi="Arial" w:eastAsia="Arial" w:cs="Arial"/>
                <w:b w:val="0"/>
                <w:bCs w:val="0"/>
                <w:color w:val="1C2833"/>
                <w:sz w:val="20"/>
                <w:szCs w:val="20"/>
              </w:rPr>
              <w:t>Instructional Planning</w:t>
            </w:r>
          </w:p>
        </w:tc>
        <w:tc>
          <w:tcPr>
            <w:tcW w:w="208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2D4A3B9">
            <w:r>
              <w:rPr>
                <w:rFonts w:ascii="Arial" w:hAnsi="Arial" w:eastAsia="Arial" w:cs="Arial"/>
                <w:b w:val="0"/>
                <w:bCs w:val="0"/>
                <w:color w:val="1C2833"/>
                <w:sz w:val="20"/>
                <w:szCs w:val="20"/>
              </w:rPr>
              <w:t>SMART objectives; Bloom's taxonomy; scaffolding; session architecture</w:t>
            </w:r>
          </w:p>
        </w:tc>
        <w:tc>
          <w:tcPr>
            <w:tcW w:w="1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547931D">
            <w:r>
              <w:rPr>
                <w:rFonts w:ascii="Arial" w:hAnsi="Arial" w:eastAsia="Arial" w:cs="Arial"/>
                <w:b w:val="0"/>
                <w:bCs w:val="0"/>
                <w:color w:val="1C2833"/>
                <w:sz w:val="20"/>
                <w:szCs w:val="20"/>
              </w:rPr>
              <w:t>Objectives Rewrite Lab; Session Blueprint; Design Critique</w:t>
            </w:r>
          </w:p>
        </w:tc>
        <w:tc>
          <w:tcPr>
            <w:tcW w:w="14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C759A14">
            <w:r>
              <w:rPr>
                <w:rFonts w:ascii="Arial" w:hAnsi="Arial" w:eastAsia="Arial" w:cs="Arial"/>
                <w:b w:val="0"/>
                <w:bCs w:val="0"/>
                <w:color w:val="1C2833"/>
                <w:sz w:val="20"/>
                <w:szCs w:val="20"/>
              </w:rPr>
              <w:t>Portfolio: Session Plan v1</w:t>
            </w:r>
          </w:p>
        </w:tc>
      </w:tr>
      <w:tr w14:paraId="47969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77E4AA3">
            <w:r>
              <w:rPr>
                <w:rFonts w:ascii="Arial" w:hAnsi="Arial" w:eastAsia="Arial" w:cs="Arial"/>
                <w:b w:val="0"/>
                <w:bCs w:val="0"/>
                <w:color w:val="1C2833"/>
                <w:sz w:val="20"/>
                <w:szCs w:val="20"/>
              </w:rPr>
              <w:t>5</w:t>
            </w:r>
          </w:p>
        </w:tc>
        <w:tc>
          <w:tcPr>
            <w:tcW w:w="7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0E23780">
            <w:r>
              <w:rPr>
                <w:rFonts w:ascii="Arial" w:hAnsi="Arial" w:eastAsia="Arial" w:cs="Arial"/>
                <w:b w:val="0"/>
                <w:bCs w:val="0"/>
                <w:color w:val="1C2833"/>
                <w:sz w:val="20"/>
                <w:szCs w:val="20"/>
              </w:rPr>
              <w:t>Month 2</w:t>
            </w:r>
          </w:p>
        </w:tc>
        <w:tc>
          <w:tcPr>
            <w:tcW w:w="16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190EBA2">
            <w:r>
              <w:rPr>
                <w:rFonts w:ascii="Arial" w:hAnsi="Arial" w:eastAsia="Arial" w:cs="Arial"/>
                <w:b w:val="0"/>
                <w:bCs w:val="0"/>
                <w:color w:val="1C2833"/>
                <w:sz w:val="20"/>
                <w:szCs w:val="20"/>
              </w:rPr>
              <w:t>Delivery Methods &amp; Facilitation</w:t>
            </w:r>
          </w:p>
        </w:tc>
        <w:tc>
          <w:tcPr>
            <w:tcW w:w="208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D80AD63">
            <w:r>
              <w:rPr>
                <w:rFonts w:ascii="Arial" w:hAnsi="Arial" w:eastAsia="Arial" w:cs="Arial"/>
                <w:b w:val="0"/>
                <w:bCs w:val="0"/>
                <w:color w:val="1C2833"/>
                <w:sz w:val="20"/>
                <w:szCs w:val="20"/>
              </w:rPr>
              <w:t>Method repertoire; instruction vs facilitation; multi-modal design</w:t>
            </w:r>
          </w:p>
        </w:tc>
        <w:tc>
          <w:tcPr>
            <w:tcW w:w="1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CF69AE8">
            <w:r>
              <w:rPr>
                <w:rFonts w:ascii="Arial" w:hAnsi="Arial" w:eastAsia="Arial" w:cs="Arial"/>
                <w:b w:val="0"/>
                <w:bCs w:val="0"/>
                <w:color w:val="1C2833"/>
                <w:sz w:val="20"/>
                <w:szCs w:val="20"/>
              </w:rPr>
              <w:t>Method Carousel; Facilitation Fishbowl; Delivery Matrix</w:t>
            </w:r>
          </w:p>
        </w:tc>
        <w:tc>
          <w:tcPr>
            <w:tcW w:w="14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8E13052">
            <w:r>
              <w:rPr>
                <w:rFonts w:ascii="Arial" w:hAnsi="Arial" w:eastAsia="Arial" w:cs="Arial"/>
                <w:b w:val="0"/>
                <w:bCs w:val="0"/>
                <w:color w:val="1C2833"/>
                <w:sz w:val="20"/>
                <w:szCs w:val="20"/>
              </w:rPr>
              <w:t>15-min Teaching Demo</w:t>
            </w:r>
          </w:p>
        </w:tc>
      </w:tr>
      <w:tr w14:paraId="2F71F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B7ECE2E">
            <w:r>
              <w:rPr>
                <w:rFonts w:ascii="Arial" w:hAnsi="Arial" w:eastAsia="Arial" w:cs="Arial"/>
                <w:b w:val="0"/>
                <w:bCs w:val="0"/>
                <w:color w:val="1C2833"/>
                <w:sz w:val="20"/>
                <w:szCs w:val="20"/>
              </w:rPr>
              <w:t>6</w:t>
            </w:r>
          </w:p>
        </w:tc>
        <w:tc>
          <w:tcPr>
            <w:tcW w:w="7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46F557E">
            <w:r>
              <w:rPr>
                <w:rFonts w:ascii="Arial" w:hAnsi="Arial" w:eastAsia="Arial" w:cs="Arial"/>
                <w:b w:val="0"/>
                <w:bCs w:val="0"/>
                <w:color w:val="1C2833"/>
                <w:sz w:val="20"/>
                <w:szCs w:val="20"/>
              </w:rPr>
              <w:t>Month 2</w:t>
            </w:r>
          </w:p>
        </w:tc>
        <w:tc>
          <w:tcPr>
            <w:tcW w:w="16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F1F3EB2">
            <w:r>
              <w:rPr>
                <w:rFonts w:ascii="Arial" w:hAnsi="Arial" w:eastAsia="Arial" w:cs="Arial"/>
                <w:b w:val="0"/>
                <w:bCs w:val="0"/>
                <w:color w:val="1C2833"/>
                <w:sz w:val="20"/>
                <w:szCs w:val="20"/>
              </w:rPr>
              <w:t>Questioning Techniques</w:t>
            </w:r>
          </w:p>
        </w:tc>
        <w:tc>
          <w:tcPr>
            <w:tcW w:w="208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BD80A87">
            <w:r>
              <w:rPr>
                <w:rFonts w:ascii="Arial" w:hAnsi="Arial" w:eastAsia="Arial" w:cs="Arial"/>
                <w:b w:val="0"/>
                <w:bCs w:val="0"/>
                <w:color w:val="1C2833"/>
                <w:sz w:val="20"/>
                <w:szCs w:val="20"/>
              </w:rPr>
              <w:t>Question taxonomy; Socratic questioning; CCQs &amp; ICQs</w:t>
            </w:r>
          </w:p>
        </w:tc>
        <w:tc>
          <w:tcPr>
            <w:tcW w:w="1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EEA9424">
            <w:r>
              <w:rPr>
                <w:rFonts w:ascii="Arial" w:hAnsi="Arial" w:eastAsia="Arial" w:cs="Arial"/>
                <w:b w:val="0"/>
                <w:bCs w:val="0"/>
                <w:color w:val="1C2833"/>
                <w:sz w:val="20"/>
                <w:szCs w:val="20"/>
              </w:rPr>
              <w:t>Question Sort; Socratic Triads; CCQ/ICQ Workshop</w:t>
            </w:r>
          </w:p>
        </w:tc>
        <w:tc>
          <w:tcPr>
            <w:tcW w:w="14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EEBDE6D">
            <w:r>
              <w:rPr>
                <w:rFonts w:ascii="Arial" w:hAnsi="Arial" w:eastAsia="Arial" w:cs="Arial"/>
                <w:b w:val="0"/>
                <w:bCs w:val="0"/>
                <w:color w:val="1C2833"/>
                <w:sz w:val="20"/>
                <w:szCs w:val="20"/>
              </w:rPr>
              <w:t>Portfolio: Question Bank</w:t>
            </w:r>
          </w:p>
        </w:tc>
      </w:tr>
      <w:tr w14:paraId="70F6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00A04D4">
            <w:r>
              <w:rPr>
                <w:rFonts w:ascii="Arial" w:hAnsi="Arial" w:eastAsia="Arial" w:cs="Arial"/>
                <w:b w:val="0"/>
                <w:bCs w:val="0"/>
                <w:color w:val="1C2833"/>
                <w:sz w:val="20"/>
                <w:szCs w:val="20"/>
              </w:rPr>
              <w:t>7</w:t>
            </w:r>
          </w:p>
        </w:tc>
        <w:tc>
          <w:tcPr>
            <w:tcW w:w="7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F06B839">
            <w:r>
              <w:rPr>
                <w:rFonts w:ascii="Arial" w:hAnsi="Arial" w:eastAsia="Arial" w:cs="Arial"/>
                <w:b w:val="0"/>
                <w:bCs w:val="0"/>
                <w:color w:val="1C2833"/>
                <w:sz w:val="20"/>
                <w:szCs w:val="20"/>
              </w:rPr>
              <w:t>Month 2</w:t>
            </w:r>
          </w:p>
        </w:tc>
        <w:tc>
          <w:tcPr>
            <w:tcW w:w="16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249FF07">
            <w:r>
              <w:rPr>
                <w:rFonts w:ascii="Arial" w:hAnsi="Arial" w:eastAsia="Arial" w:cs="Arial"/>
                <w:b w:val="0"/>
                <w:bCs w:val="0"/>
                <w:color w:val="1C2833"/>
                <w:sz w:val="20"/>
                <w:szCs w:val="20"/>
              </w:rPr>
              <w:t>Feedback Frameworks</w:t>
            </w:r>
          </w:p>
        </w:tc>
        <w:tc>
          <w:tcPr>
            <w:tcW w:w="208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79B2A4D">
            <w:r>
              <w:rPr>
                <w:rFonts w:ascii="Arial" w:hAnsi="Arial" w:eastAsia="Arial" w:cs="Arial"/>
                <w:b w:val="0"/>
                <w:bCs w:val="0"/>
                <w:color w:val="1C2833"/>
                <w:sz w:val="20"/>
                <w:szCs w:val="20"/>
              </w:rPr>
              <w:t>Feedback architecture; BET/GROW/DESC models; written reports</w:t>
            </w:r>
          </w:p>
        </w:tc>
        <w:tc>
          <w:tcPr>
            <w:tcW w:w="1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9DB73F0">
            <w:r>
              <w:rPr>
                <w:rFonts w:ascii="Arial" w:hAnsi="Arial" w:eastAsia="Arial" w:cs="Arial"/>
                <w:b w:val="0"/>
                <w:bCs w:val="0"/>
                <w:color w:val="1C2833"/>
                <w:sz w:val="20"/>
                <w:szCs w:val="20"/>
              </w:rPr>
              <w:t>Feedback Makeover; Live Feedback Triads; Observation Report Draft</w:t>
            </w:r>
          </w:p>
        </w:tc>
        <w:tc>
          <w:tcPr>
            <w:tcW w:w="14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0AE5EF4">
            <w:r>
              <w:rPr>
                <w:rFonts w:ascii="Arial" w:hAnsi="Arial" w:eastAsia="Arial" w:cs="Arial"/>
                <w:b w:val="0"/>
                <w:bCs w:val="0"/>
                <w:color w:val="1C2833"/>
                <w:sz w:val="20"/>
                <w:szCs w:val="20"/>
              </w:rPr>
              <w:t>Portfolio: Feedback Report</w:t>
            </w:r>
          </w:p>
        </w:tc>
      </w:tr>
      <w:tr w14:paraId="1A86A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DD4A61A">
            <w:r>
              <w:rPr>
                <w:rFonts w:ascii="Arial" w:hAnsi="Arial" w:eastAsia="Arial" w:cs="Arial"/>
                <w:b w:val="0"/>
                <w:bCs w:val="0"/>
                <w:color w:val="1C2833"/>
                <w:sz w:val="20"/>
                <w:szCs w:val="20"/>
              </w:rPr>
              <w:t>8</w:t>
            </w:r>
          </w:p>
        </w:tc>
        <w:tc>
          <w:tcPr>
            <w:tcW w:w="7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73F3024">
            <w:r>
              <w:rPr>
                <w:rFonts w:ascii="Arial" w:hAnsi="Arial" w:eastAsia="Arial" w:cs="Arial"/>
                <w:b w:val="0"/>
                <w:bCs w:val="0"/>
                <w:color w:val="1C2833"/>
                <w:sz w:val="20"/>
                <w:szCs w:val="20"/>
              </w:rPr>
              <w:t>Month 2</w:t>
            </w:r>
          </w:p>
        </w:tc>
        <w:tc>
          <w:tcPr>
            <w:tcW w:w="16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24C2B99">
            <w:r>
              <w:rPr>
                <w:rFonts w:ascii="Arial" w:hAnsi="Arial" w:eastAsia="Arial" w:cs="Arial"/>
                <w:b w:val="0"/>
                <w:bCs w:val="0"/>
                <w:color w:val="1C2833"/>
                <w:sz w:val="20"/>
                <w:szCs w:val="20"/>
              </w:rPr>
              <w:t>Differentiation</w:t>
            </w:r>
          </w:p>
        </w:tc>
        <w:tc>
          <w:tcPr>
            <w:tcW w:w="208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4B196FC">
            <w:r>
              <w:rPr>
                <w:rFonts w:ascii="Arial" w:hAnsi="Arial" w:eastAsia="Arial" w:cs="Arial"/>
                <w:b w:val="0"/>
                <w:bCs w:val="0"/>
                <w:color w:val="1C2833"/>
                <w:sz w:val="20"/>
                <w:szCs w:val="20"/>
              </w:rPr>
              <w:t>Learner profiles; scaffolding; gradual release; extension tasks</w:t>
            </w:r>
          </w:p>
        </w:tc>
        <w:tc>
          <w:tcPr>
            <w:tcW w:w="1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6B09A4D">
            <w:r>
              <w:rPr>
                <w:rFonts w:ascii="Arial" w:hAnsi="Arial" w:eastAsia="Arial" w:cs="Arial"/>
                <w:b w:val="0"/>
                <w:bCs w:val="0"/>
                <w:color w:val="1C2833"/>
                <w:sz w:val="20"/>
                <w:szCs w:val="20"/>
              </w:rPr>
              <w:t>Persona Workshop; Tiered Task Design; Case Study Analysis</w:t>
            </w:r>
          </w:p>
        </w:tc>
        <w:tc>
          <w:tcPr>
            <w:tcW w:w="14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CFF01DB">
            <w:r>
              <w:rPr>
                <w:rFonts w:ascii="Arial" w:hAnsi="Arial" w:eastAsia="Arial" w:cs="Arial"/>
                <w:b w:val="0"/>
                <w:bCs w:val="0"/>
                <w:color w:val="1C2833"/>
                <w:sz w:val="20"/>
                <w:szCs w:val="20"/>
              </w:rPr>
              <w:t>Portfolio: Differentiated Plan</w:t>
            </w:r>
          </w:p>
        </w:tc>
      </w:tr>
      <w:tr w14:paraId="7209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591F1E2">
            <w:r>
              <w:rPr>
                <w:rFonts w:ascii="Arial" w:hAnsi="Arial" w:eastAsia="Arial" w:cs="Arial"/>
                <w:b w:val="0"/>
                <w:bCs w:val="0"/>
                <w:color w:val="1C2833"/>
                <w:sz w:val="20"/>
                <w:szCs w:val="20"/>
              </w:rPr>
              <w:t>9</w:t>
            </w:r>
          </w:p>
        </w:tc>
        <w:tc>
          <w:tcPr>
            <w:tcW w:w="7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56AC3B1">
            <w:r>
              <w:rPr>
                <w:rFonts w:ascii="Arial" w:hAnsi="Arial" w:eastAsia="Arial" w:cs="Arial"/>
                <w:b w:val="0"/>
                <w:bCs w:val="0"/>
                <w:color w:val="1C2833"/>
                <w:sz w:val="20"/>
                <w:szCs w:val="20"/>
              </w:rPr>
              <w:t>Month 3</w:t>
            </w:r>
          </w:p>
        </w:tc>
        <w:tc>
          <w:tcPr>
            <w:tcW w:w="16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A611708">
            <w:r>
              <w:rPr>
                <w:rFonts w:ascii="Arial" w:hAnsi="Arial" w:eastAsia="Arial" w:cs="Arial"/>
                <w:b w:val="0"/>
                <w:bCs w:val="0"/>
                <w:color w:val="1C2833"/>
                <w:sz w:val="20"/>
                <w:szCs w:val="20"/>
              </w:rPr>
              <w:t>Supervision Models</w:t>
            </w:r>
          </w:p>
        </w:tc>
        <w:tc>
          <w:tcPr>
            <w:tcW w:w="208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BC9FA56">
            <w:r>
              <w:rPr>
                <w:rFonts w:ascii="Arial" w:hAnsi="Arial" w:eastAsia="Arial" w:cs="Arial"/>
                <w:b w:val="0"/>
                <w:bCs w:val="0"/>
                <w:color w:val="1C2833"/>
                <w:sz w:val="20"/>
                <w:szCs w:val="20"/>
              </w:rPr>
              <w:t>Clinical; cognitive coaching; developmental; peer supervision</w:t>
            </w:r>
          </w:p>
        </w:tc>
        <w:tc>
          <w:tcPr>
            <w:tcW w:w="1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7E7B580">
            <w:r>
              <w:rPr>
                <w:rFonts w:ascii="Arial" w:hAnsi="Arial" w:eastAsia="Arial" w:cs="Arial"/>
                <w:b w:val="0"/>
                <w:bCs w:val="0"/>
                <w:color w:val="1C2833"/>
                <w:sz w:val="20"/>
                <w:szCs w:val="20"/>
              </w:rPr>
              <w:t>Model Profiles; Developmental Roleplay; Peer Protocol Design</w:t>
            </w:r>
          </w:p>
        </w:tc>
        <w:tc>
          <w:tcPr>
            <w:tcW w:w="14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92A436E">
            <w:r>
              <w:rPr>
                <w:rFonts w:ascii="Arial" w:hAnsi="Arial" w:eastAsia="Arial" w:cs="Arial"/>
                <w:b w:val="0"/>
                <w:bCs w:val="0"/>
                <w:color w:val="1C2833"/>
                <w:sz w:val="20"/>
                <w:szCs w:val="20"/>
              </w:rPr>
              <w:t>Portfolio: Supervision Stance Statement</w:t>
            </w:r>
          </w:p>
        </w:tc>
      </w:tr>
      <w:tr w14:paraId="464E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80473BF">
            <w:r>
              <w:rPr>
                <w:rFonts w:ascii="Arial" w:hAnsi="Arial" w:eastAsia="Arial" w:cs="Arial"/>
                <w:b w:val="0"/>
                <w:bCs w:val="0"/>
                <w:color w:val="1C2833"/>
                <w:sz w:val="20"/>
                <w:szCs w:val="20"/>
              </w:rPr>
              <w:t>10</w:t>
            </w:r>
          </w:p>
        </w:tc>
        <w:tc>
          <w:tcPr>
            <w:tcW w:w="7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D75B34F">
            <w:r>
              <w:rPr>
                <w:rFonts w:ascii="Arial" w:hAnsi="Arial" w:eastAsia="Arial" w:cs="Arial"/>
                <w:b w:val="0"/>
                <w:bCs w:val="0"/>
                <w:color w:val="1C2833"/>
                <w:sz w:val="20"/>
                <w:szCs w:val="20"/>
              </w:rPr>
              <w:t>Month 3</w:t>
            </w:r>
          </w:p>
        </w:tc>
        <w:tc>
          <w:tcPr>
            <w:tcW w:w="16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ECEA04E">
            <w:r>
              <w:rPr>
                <w:rFonts w:ascii="Arial" w:hAnsi="Arial" w:eastAsia="Arial" w:cs="Arial"/>
                <w:b w:val="0"/>
                <w:bCs w:val="0"/>
                <w:color w:val="1C2833"/>
                <w:sz w:val="20"/>
                <w:szCs w:val="20"/>
              </w:rPr>
              <w:t>Classroom Observation</w:t>
            </w:r>
          </w:p>
        </w:tc>
        <w:tc>
          <w:tcPr>
            <w:tcW w:w="208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FB153F8">
            <w:r>
              <w:rPr>
                <w:rFonts w:ascii="Arial" w:hAnsi="Arial" w:eastAsia="Arial" w:cs="Arial"/>
                <w:b w:val="0"/>
                <w:bCs w:val="0"/>
                <w:color w:val="1C2833"/>
                <w:sz w:val="20"/>
                <w:szCs w:val="20"/>
              </w:rPr>
              <w:t>Observation types; low/high-inference tools; observer ethics</w:t>
            </w:r>
          </w:p>
        </w:tc>
        <w:tc>
          <w:tcPr>
            <w:tcW w:w="1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2CDA40D">
            <w:r>
              <w:rPr>
                <w:rFonts w:ascii="Arial" w:hAnsi="Arial" w:eastAsia="Arial" w:cs="Arial"/>
                <w:b w:val="0"/>
                <w:bCs w:val="0"/>
                <w:color w:val="1C2833"/>
                <w:sz w:val="20"/>
                <w:szCs w:val="20"/>
              </w:rPr>
              <w:t>Tool Design Lab; Video Observation Practice; Ethics Dilemmas</w:t>
            </w:r>
          </w:p>
        </w:tc>
        <w:tc>
          <w:tcPr>
            <w:tcW w:w="14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BB2E8B3">
            <w:r>
              <w:rPr>
                <w:rFonts w:ascii="Arial" w:hAnsi="Arial" w:eastAsia="Arial" w:cs="Arial"/>
                <w:b w:val="0"/>
                <w:bCs w:val="0"/>
                <w:color w:val="1C2833"/>
                <w:sz w:val="20"/>
                <w:szCs w:val="20"/>
              </w:rPr>
              <w:t>Portfolio: Observation Tool + Data</w:t>
            </w:r>
          </w:p>
        </w:tc>
      </w:tr>
      <w:tr w14:paraId="3D59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96E8A85">
            <w:r>
              <w:rPr>
                <w:rFonts w:ascii="Arial" w:hAnsi="Arial" w:eastAsia="Arial" w:cs="Arial"/>
                <w:b w:val="0"/>
                <w:bCs w:val="0"/>
                <w:color w:val="1C2833"/>
                <w:sz w:val="20"/>
                <w:szCs w:val="20"/>
              </w:rPr>
              <w:t>11</w:t>
            </w:r>
          </w:p>
        </w:tc>
        <w:tc>
          <w:tcPr>
            <w:tcW w:w="7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84130D9">
            <w:r>
              <w:rPr>
                <w:rFonts w:ascii="Arial" w:hAnsi="Arial" w:eastAsia="Arial" w:cs="Arial"/>
                <w:b w:val="0"/>
                <w:bCs w:val="0"/>
                <w:color w:val="1C2833"/>
                <w:sz w:val="20"/>
                <w:szCs w:val="20"/>
              </w:rPr>
              <w:t>Month 3</w:t>
            </w:r>
          </w:p>
        </w:tc>
        <w:tc>
          <w:tcPr>
            <w:tcW w:w="16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0C61DF8">
            <w:r>
              <w:rPr>
                <w:rFonts w:ascii="Arial" w:hAnsi="Arial" w:eastAsia="Arial" w:cs="Arial"/>
                <w:b w:val="0"/>
                <w:bCs w:val="0"/>
                <w:color w:val="1C2833"/>
                <w:sz w:val="20"/>
                <w:szCs w:val="20"/>
              </w:rPr>
              <w:t>Observation Conferences</w:t>
            </w:r>
          </w:p>
        </w:tc>
        <w:tc>
          <w:tcPr>
            <w:tcW w:w="208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CC170F9">
            <w:r>
              <w:rPr>
                <w:rFonts w:ascii="Arial" w:hAnsi="Arial" w:eastAsia="Arial" w:cs="Arial"/>
                <w:b w:val="0"/>
                <w:bCs w:val="0"/>
                <w:color w:val="1C2833"/>
                <w:sz w:val="20"/>
                <w:szCs w:val="20"/>
              </w:rPr>
              <w:t>Pre-conference; post-conference; active listening; documentation</w:t>
            </w:r>
          </w:p>
        </w:tc>
        <w:tc>
          <w:tcPr>
            <w:tcW w:w="1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0B29FA5">
            <w:r>
              <w:rPr>
                <w:rFonts w:ascii="Arial" w:hAnsi="Arial" w:eastAsia="Arial" w:cs="Arial"/>
                <w:b w:val="0"/>
                <w:bCs w:val="0"/>
                <w:color w:val="1C2833"/>
                <w:sz w:val="20"/>
                <w:szCs w:val="20"/>
              </w:rPr>
              <w:t>Transcript Analysis; Full Conference Roleplay; Phrase Bank</w:t>
            </w:r>
          </w:p>
        </w:tc>
        <w:tc>
          <w:tcPr>
            <w:tcW w:w="14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B6867B5">
            <w:r>
              <w:rPr>
                <w:rFonts w:ascii="Arial" w:hAnsi="Arial" w:eastAsia="Arial" w:cs="Arial"/>
                <w:b w:val="0"/>
                <w:bCs w:val="0"/>
                <w:color w:val="1C2833"/>
                <w:sz w:val="20"/>
                <w:szCs w:val="20"/>
              </w:rPr>
              <w:t>Portfolio: Conference Transcript</w:t>
            </w:r>
          </w:p>
        </w:tc>
      </w:tr>
      <w:tr w14:paraId="2DA6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2AE3CF4">
            <w:r>
              <w:rPr>
                <w:rFonts w:ascii="Arial" w:hAnsi="Arial" w:eastAsia="Arial" w:cs="Arial"/>
                <w:b w:val="0"/>
                <w:bCs w:val="0"/>
                <w:color w:val="1C2833"/>
                <w:sz w:val="20"/>
                <w:szCs w:val="20"/>
              </w:rPr>
              <w:t>12</w:t>
            </w:r>
          </w:p>
        </w:tc>
        <w:tc>
          <w:tcPr>
            <w:tcW w:w="7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4FD6DA0">
            <w:r>
              <w:rPr>
                <w:rFonts w:ascii="Arial" w:hAnsi="Arial" w:eastAsia="Arial" w:cs="Arial"/>
                <w:b w:val="0"/>
                <w:bCs w:val="0"/>
                <w:color w:val="1C2833"/>
                <w:sz w:val="20"/>
                <w:szCs w:val="20"/>
              </w:rPr>
              <w:t>Month 3</w:t>
            </w:r>
          </w:p>
        </w:tc>
        <w:tc>
          <w:tcPr>
            <w:tcW w:w="16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77114D3">
            <w:r>
              <w:rPr>
                <w:rFonts w:ascii="Arial" w:hAnsi="Arial" w:eastAsia="Arial" w:cs="Arial"/>
                <w:b w:val="0"/>
                <w:bCs w:val="0"/>
                <w:color w:val="1C2833"/>
                <w:sz w:val="20"/>
                <w:szCs w:val="20"/>
              </w:rPr>
              <w:t>Performance Evaluation</w:t>
            </w:r>
          </w:p>
        </w:tc>
        <w:tc>
          <w:tcPr>
            <w:tcW w:w="208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22BEB28">
            <w:r>
              <w:rPr>
                <w:rFonts w:ascii="Arial" w:hAnsi="Arial" w:eastAsia="Arial" w:cs="Arial"/>
                <w:b w:val="0"/>
                <w:bCs w:val="0"/>
                <w:color w:val="1C2833"/>
                <w:sz w:val="20"/>
                <w:szCs w:val="20"/>
              </w:rPr>
              <w:t>Formative vs summative; rubric design; inter-rater reliability; difficult conversations</w:t>
            </w:r>
          </w:p>
        </w:tc>
        <w:tc>
          <w:tcPr>
            <w:tcW w:w="1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59DC194">
            <w:r>
              <w:rPr>
                <w:rFonts w:ascii="Arial" w:hAnsi="Arial" w:eastAsia="Arial" w:cs="Arial"/>
                <w:b w:val="0"/>
                <w:bCs w:val="0"/>
                <w:color w:val="1C2833"/>
                <w:sz w:val="20"/>
                <w:szCs w:val="20"/>
              </w:rPr>
              <w:t>Rubric Design + Calibration; Difficult Conv. Simulation; Intervention Plan</w:t>
            </w:r>
          </w:p>
        </w:tc>
        <w:tc>
          <w:tcPr>
            <w:tcW w:w="14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BD97645">
            <w:r>
              <w:rPr>
                <w:rFonts w:ascii="Arial" w:hAnsi="Arial" w:eastAsia="Arial" w:cs="Arial"/>
                <w:b w:val="0"/>
                <w:bCs w:val="0"/>
                <w:color w:val="1C2833"/>
                <w:sz w:val="20"/>
                <w:szCs w:val="20"/>
              </w:rPr>
              <w:t>Portfolio: Eval Rubric + Plan</w:t>
            </w:r>
          </w:p>
        </w:tc>
      </w:tr>
      <w:tr w14:paraId="379E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C26C203">
            <w:r>
              <w:rPr>
                <w:rFonts w:ascii="Arial" w:hAnsi="Arial" w:eastAsia="Arial" w:cs="Arial"/>
                <w:b w:val="0"/>
                <w:bCs w:val="0"/>
                <w:color w:val="1C2833"/>
                <w:sz w:val="20"/>
                <w:szCs w:val="20"/>
              </w:rPr>
              <w:t>13</w:t>
            </w:r>
          </w:p>
        </w:tc>
        <w:tc>
          <w:tcPr>
            <w:tcW w:w="7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F407A40">
            <w:r>
              <w:rPr>
                <w:rFonts w:ascii="Arial" w:hAnsi="Arial" w:eastAsia="Arial" w:cs="Arial"/>
                <w:b w:val="0"/>
                <w:bCs w:val="0"/>
                <w:color w:val="1C2833"/>
                <w:sz w:val="20"/>
                <w:szCs w:val="20"/>
              </w:rPr>
              <w:t>Month 4</w:t>
            </w:r>
          </w:p>
        </w:tc>
        <w:tc>
          <w:tcPr>
            <w:tcW w:w="16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669A1A0">
            <w:r>
              <w:rPr>
                <w:rFonts w:ascii="Arial" w:hAnsi="Arial" w:eastAsia="Arial" w:cs="Arial"/>
                <w:b w:val="0"/>
                <w:bCs w:val="0"/>
                <w:color w:val="1C2833"/>
                <w:sz w:val="20"/>
                <w:szCs w:val="20"/>
              </w:rPr>
              <w:t>Coaching &amp; Mentoring</w:t>
            </w:r>
          </w:p>
        </w:tc>
        <w:tc>
          <w:tcPr>
            <w:tcW w:w="208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EECA987">
            <w:r>
              <w:rPr>
                <w:rFonts w:ascii="Arial" w:hAnsi="Arial" w:eastAsia="Arial" w:cs="Arial"/>
                <w:b w:val="0"/>
                <w:bCs w:val="0"/>
                <w:color w:val="1C2833"/>
                <w:sz w:val="20"/>
                <w:szCs w:val="20"/>
              </w:rPr>
              <w:t>Coaching vs mentoring vs supervision; GROW model; new teacher mentoring</w:t>
            </w:r>
          </w:p>
        </w:tc>
        <w:tc>
          <w:tcPr>
            <w:tcW w:w="1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1B85A8B">
            <w:r>
              <w:rPr>
                <w:rFonts w:ascii="Arial" w:hAnsi="Arial" w:eastAsia="Arial" w:cs="Arial"/>
                <w:b w:val="0"/>
                <w:bCs w:val="0"/>
                <w:color w:val="1C2833"/>
                <w:sz w:val="20"/>
                <w:szCs w:val="20"/>
              </w:rPr>
              <w:t>Role Clarity Cards; GROW Practice; Mentoring Program Design</w:t>
            </w:r>
          </w:p>
        </w:tc>
        <w:tc>
          <w:tcPr>
            <w:tcW w:w="14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310B570">
            <w:r>
              <w:rPr>
                <w:rFonts w:ascii="Arial" w:hAnsi="Arial" w:eastAsia="Arial" w:cs="Arial"/>
                <w:b w:val="0"/>
                <w:bCs w:val="0"/>
                <w:color w:val="1C2833"/>
                <w:sz w:val="20"/>
                <w:szCs w:val="20"/>
              </w:rPr>
              <w:t>GROW Session Documentation</w:t>
            </w:r>
          </w:p>
        </w:tc>
      </w:tr>
      <w:tr w14:paraId="2EB7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225CBC2">
            <w:r>
              <w:rPr>
                <w:rFonts w:ascii="Arial" w:hAnsi="Arial" w:eastAsia="Arial" w:cs="Arial"/>
                <w:b w:val="0"/>
                <w:bCs w:val="0"/>
                <w:color w:val="1C2833"/>
                <w:sz w:val="20"/>
                <w:szCs w:val="20"/>
              </w:rPr>
              <w:t>14</w:t>
            </w:r>
          </w:p>
        </w:tc>
        <w:tc>
          <w:tcPr>
            <w:tcW w:w="7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48DD647">
            <w:r>
              <w:rPr>
                <w:rFonts w:ascii="Arial" w:hAnsi="Arial" w:eastAsia="Arial" w:cs="Arial"/>
                <w:b w:val="0"/>
                <w:bCs w:val="0"/>
                <w:color w:val="1C2833"/>
                <w:sz w:val="20"/>
                <w:szCs w:val="20"/>
              </w:rPr>
              <w:t>Month 4</w:t>
            </w:r>
          </w:p>
        </w:tc>
        <w:tc>
          <w:tcPr>
            <w:tcW w:w="16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006FB5C">
            <w:r>
              <w:rPr>
                <w:rFonts w:ascii="Arial" w:hAnsi="Arial" w:eastAsia="Arial" w:cs="Arial"/>
                <w:b w:val="0"/>
                <w:bCs w:val="0"/>
                <w:color w:val="1C2833"/>
                <w:sz w:val="20"/>
                <w:szCs w:val="20"/>
              </w:rPr>
              <w:t>Navigating Challenges</w:t>
            </w:r>
          </w:p>
        </w:tc>
        <w:tc>
          <w:tcPr>
            <w:tcW w:w="208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AFA0C9F">
            <w:r>
              <w:rPr>
                <w:rFonts w:ascii="Arial" w:hAnsi="Arial" w:eastAsia="Arial" w:cs="Arial"/>
                <w:b w:val="0"/>
                <w:bCs w:val="0"/>
                <w:color w:val="1C2833"/>
                <w:sz w:val="20"/>
                <w:szCs w:val="20"/>
              </w:rPr>
              <w:t>Resistance; cross-cultural supervision; trainer burnout &amp; resilience</w:t>
            </w:r>
          </w:p>
        </w:tc>
        <w:tc>
          <w:tcPr>
            <w:tcW w:w="1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0EA9A83">
            <w:r>
              <w:rPr>
                <w:rFonts w:ascii="Arial" w:hAnsi="Arial" w:eastAsia="Arial" w:cs="Arial"/>
                <w:b w:val="0"/>
                <w:bCs w:val="0"/>
                <w:color w:val="1C2833"/>
                <w:sz w:val="20"/>
                <w:szCs w:val="20"/>
              </w:rPr>
              <w:t>Resistance Gallery Walk; Cross-Cultural Cases; Resilience Plan</w:t>
            </w:r>
          </w:p>
        </w:tc>
        <w:tc>
          <w:tcPr>
            <w:tcW w:w="14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C44D665">
            <w:r>
              <w:rPr>
                <w:rFonts w:ascii="Arial" w:hAnsi="Arial" w:eastAsia="Arial" w:cs="Arial"/>
                <w:b w:val="0"/>
                <w:bCs w:val="0"/>
                <w:color w:val="1C2833"/>
                <w:sz w:val="20"/>
                <w:szCs w:val="20"/>
              </w:rPr>
              <w:t>Portfolio: Resilience Plan</w:t>
            </w:r>
          </w:p>
        </w:tc>
      </w:tr>
      <w:tr w14:paraId="7C44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587F92E">
            <w:r>
              <w:rPr>
                <w:rFonts w:ascii="Arial" w:hAnsi="Arial" w:eastAsia="Arial" w:cs="Arial"/>
                <w:b w:val="0"/>
                <w:bCs w:val="0"/>
                <w:color w:val="1C2833"/>
                <w:sz w:val="20"/>
                <w:szCs w:val="20"/>
              </w:rPr>
              <w:t>15</w:t>
            </w:r>
          </w:p>
        </w:tc>
        <w:tc>
          <w:tcPr>
            <w:tcW w:w="72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7534810">
            <w:r>
              <w:rPr>
                <w:rFonts w:ascii="Arial" w:hAnsi="Arial" w:eastAsia="Arial" w:cs="Arial"/>
                <w:b w:val="0"/>
                <w:bCs w:val="0"/>
                <w:color w:val="1C2833"/>
                <w:sz w:val="20"/>
                <w:szCs w:val="20"/>
              </w:rPr>
              <w:t>Month 4</w:t>
            </w:r>
          </w:p>
        </w:tc>
        <w:tc>
          <w:tcPr>
            <w:tcW w:w="16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E404731">
            <w:r>
              <w:rPr>
                <w:rFonts w:ascii="Arial" w:hAnsi="Arial" w:eastAsia="Arial" w:cs="Arial"/>
                <w:b w:val="0"/>
                <w:bCs w:val="0"/>
                <w:color w:val="1C2833"/>
                <w:sz w:val="20"/>
                <w:szCs w:val="20"/>
              </w:rPr>
              <w:t>Training Culture &amp; Leadership</w:t>
            </w:r>
          </w:p>
        </w:tc>
        <w:tc>
          <w:tcPr>
            <w:tcW w:w="208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E9DCAFB">
            <w:r>
              <w:rPr>
                <w:rFonts w:ascii="Arial" w:hAnsi="Arial" w:eastAsia="Arial" w:cs="Arial"/>
                <w:b w:val="0"/>
                <w:bCs w:val="0"/>
                <w:color w:val="1C2833"/>
                <w:sz w:val="20"/>
                <w:szCs w:val="20"/>
              </w:rPr>
              <w:t>PLCs; data-driven decisions; Kotter's change model</w:t>
            </w:r>
          </w:p>
        </w:tc>
        <w:tc>
          <w:tcPr>
            <w:tcW w:w="18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BA16322">
            <w:r>
              <w:rPr>
                <w:rFonts w:ascii="Arial" w:hAnsi="Arial" w:eastAsia="Arial" w:cs="Arial"/>
                <w:b w:val="0"/>
                <w:bCs w:val="0"/>
                <w:color w:val="1C2833"/>
                <w:sz w:val="20"/>
                <w:szCs w:val="20"/>
              </w:rPr>
              <w:t>PLC Design; Data Interpretation Workshop; Change Map</w:t>
            </w:r>
          </w:p>
        </w:tc>
        <w:tc>
          <w:tcPr>
            <w:tcW w:w="14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6C91761">
            <w:r>
              <w:rPr>
                <w:rFonts w:ascii="Arial" w:hAnsi="Arial" w:eastAsia="Arial" w:cs="Arial"/>
                <w:b w:val="0"/>
                <w:bCs w:val="0"/>
                <w:color w:val="1C2833"/>
                <w:sz w:val="20"/>
                <w:szCs w:val="20"/>
              </w:rPr>
              <w:t>Portfolio: PLC Design + Change Map</w:t>
            </w:r>
          </w:p>
        </w:tc>
      </w:tr>
      <w:tr w14:paraId="60FB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0B510DE">
            <w:r>
              <w:rPr>
                <w:rFonts w:ascii="Arial" w:hAnsi="Arial" w:eastAsia="Arial" w:cs="Arial"/>
                <w:b w:val="0"/>
                <w:bCs w:val="0"/>
                <w:color w:val="1C2833"/>
                <w:sz w:val="20"/>
                <w:szCs w:val="20"/>
              </w:rPr>
              <w:t>16</w:t>
            </w:r>
          </w:p>
        </w:tc>
        <w:tc>
          <w:tcPr>
            <w:tcW w:w="72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F755BB4">
            <w:r>
              <w:rPr>
                <w:rFonts w:ascii="Arial" w:hAnsi="Arial" w:eastAsia="Arial" w:cs="Arial"/>
                <w:b w:val="0"/>
                <w:bCs w:val="0"/>
                <w:color w:val="1C2833"/>
                <w:sz w:val="20"/>
                <w:szCs w:val="20"/>
              </w:rPr>
              <w:t>Month 4</w:t>
            </w:r>
          </w:p>
        </w:tc>
        <w:tc>
          <w:tcPr>
            <w:tcW w:w="16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C11E15E">
            <w:r>
              <w:rPr>
                <w:rFonts w:ascii="Arial" w:hAnsi="Arial" w:eastAsia="Arial" w:cs="Arial"/>
                <w:b w:val="0"/>
                <w:bCs w:val="0"/>
                <w:color w:val="1C2833"/>
                <w:sz w:val="20"/>
                <w:szCs w:val="20"/>
              </w:rPr>
              <w:t>Practicum, Portfolio &amp; Commitment</w:t>
            </w:r>
          </w:p>
        </w:tc>
        <w:tc>
          <w:tcPr>
            <w:tcW w:w="208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6298416">
            <w:r>
              <w:rPr>
                <w:rFonts w:ascii="Arial" w:hAnsi="Arial" w:eastAsia="Arial" w:cs="Arial"/>
                <w:b w:val="0"/>
                <w:bCs w:val="0"/>
                <w:color w:val="1C2833"/>
                <w:sz w:val="20"/>
                <w:szCs w:val="20"/>
              </w:rPr>
              <w:t>Practicum review; portfolio presentation; PGP; Commitment Ceremony</w:t>
            </w:r>
          </w:p>
        </w:tc>
        <w:tc>
          <w:tcPr>
            <w:tcW w:w="18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AA08031">
            <w:r>
              <w:rPr>
                <w:rFonts w:ascii="Arial" w:hAnsi="Arial" w:eastAsia="Arial" w:cs="Arial"/>
                <w:b w:val="0"/>
                <w:bCs w:val="0"/>
                <w:color w:val="1C2833"/>
                <w:sz w:val="20"/>
                <w:szCs w:val="20"/>
              </w:rPr>
              <w:t>Portfolio Gallery; Philosophy Revisit; Commitment Ceremony</w:t>
            </w:r>
          </w:p>
        </w:tc>
        <w:tc>
          <w:tcPr>
            <w:tcW w:w="14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C3184CD">
            <w:r>
              <w:rPr>
                <w:rFonts w:ascii="Arial" w:hAnsi="Arial" w:eastAsia="Arial" w:cs="Arial"/>
                <w:b w:val="0"/>
                <w:bCs w:val="0"/>
                <w:color w:val="1C2833"/>
                <w:sz w:val="20"/>
                <w:szCs w:val="20"/>
              </w:rPr>
              <w:t>CAPSTONE: Portfolio + 30-min Demonstration</w:t>
            </w:r>
          </w:p>
        </w:tc>
      </w:tr>
    </w:tbl>
    <w:p w14:paraId="22ABF539">
      <w:pPr>
        <w:spacing w:after="120"/>
      </w:pPr>
    </w:p>
    <w:p w14:paraId="1C309A65">
      <w:pPr>
        <w:spacing w:after="120"/>
      </w:pPr>
    </w:p>
    <w:p w14:paraId="0457BFEC">
      <w:pPr>
        <w:spacing w:after="120"/>
      </w:pPr>
    </w:p>
    <w:p w14:paraId="2ED86D09">
      <w:pPr>
        <w:spacing w:after="120"/>
      </w:pPr>
    </w:p>
    <w:p w14:paraId="4D557563">
      <w:pPr>
        <w:spacing w:after="120"/>
      </w:pPr>
    </w:p>
    <w:p w14:paraId="17E4C745">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B05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26" w:type="dxa"/>
            <w:tcBorders>
              <w:top w:val="single" w:color="1B4F72" w:sz="4" w:space="0"/>
              <w:left w:val="single" w:color="1B4F72" w:sz="18" w:space="0"/>
              <w:bottom w:val="single" w:color="1B4F72" w:sz="4" w:space="0"/>
              <w:right w:val="single" w:color="1B4F72" w:sz="4" w:space="0"/>
            </w:tcBorders>
            <w:shd w:val="clear" w:color="auto" w:fill="EAF4FB"/>
            <w:tcMar>
              <w:top w:w="120" w:type="dxa"/>
              <w:left w:w="220" w:type="dxa"/>
              <w:bottom w:w="120" w:type="dxa"/>
              <w:right w:w="200" w:type="dxa"/>
            </w:tcMar>
          </w:tcPr>
          <w:p w14:paraId="0C775BCE">
            <w:pPr>
              <w:spacing w:before="80" w:after="100"/>
            </w:pPr>
            <w:r>
              <w:rPr>
                <w:rFonts w:ascii="Arial" w:hAnsi="Arial" w:eastAsia="Arial" w:cs="Arial"/>
                <w:b/>
                <w:bCs/>
                <w:color w:val="1B4F72"/>
                <w:sz w:val="24"/>
                <w:szCs w:val="24"/>
              </w:rPr>
              <w:t>Program Hours Breakdown</w:t>
            </w:r>
          </w:p>
          <w:p w14:paraId="42A414F0">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Contact Hours: 16 weeks × 3 sessions × 90 minutes = 72 hours direct workshop time</w:t>
            </w:r>
          </w:p>
          <w:p w14:paraId="22214A55">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Facilitated Group Sessions (check-ins, cohort activities, debriefs): approx. 24 additional hours</w:t>
            </w:r>
          </w:p>
          <w:p w14:paraId="41EB1B02">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Independent Study (readings, reflective journals, portfolio tasks): approx. 64 hours</w:t>
            </w:r>
          </w:p>
          <w:p w14:paraId="353DC23D">
            <w:pPr>
              <w:spacing w:before="60" w:after="60"/>
              <w:ind w:left="160"/>
            </w:pPr>
            <w:r>
              <w:rPr>
                <w:rFonts w:ascii="Arial" w:hAnsi="Arial" w:eastAsia="Arial" w:cs="Arial"/>
                <w:b/>
                <w:bCs/>
                <w:color w:val="1B4F72"/>
                <w:sz w:val="22"/>
                <w:szCs w:val="22"/>
              </w:rPr>
              <w:t xml:space="preserve">— </w:t>
            </w:r>
            <w:r>
              <w:rPr>
                <w:rFonts w:ascii="Arial" w:hAnsi="Arial" w:eastAsia="Arial" w:cs="Arial"/>
                <w:color w:val="1C2833"/>
                <w:sz w:val="22"/>
                <w:szCs w:val="22"/>
              </w:rPr>
              <w:t>Practicum (supervised observation cycles, GROW coaching sequences, teaching demonstrations): minimum 20 hours</w:t>
            </w:r>
          </w:p>
          <w:p w14:paraId="3668F41D">
            <w:pPr>
              <w:spacing w:before="60" w:after="80"/>
              <w:ind w:left="160"/>
            </w:pPr>
            <w:r>
              <w:rPr>
                <w:rFonts w:ascii="Arial" w:hAnsi="Arial" w:eastAsia="Arial" w:cs="Arial"/>
                <w:b/>
                <w:bCs/>
                <w:color w:val="1B4F72"/>
                <w:sz w:val="22"/>
                <w:szCs w:val="22"/>
              </w:rPr>
              <w:t xml:space="preserve">— </w:t>
            </w:r>
            <w:r>
              <w:rPr>
                <w:rFonts w:ascii="Arial" w:hAnsi="Arial" w:eastAsia="Arial" w:cs="Arial"/>
                <w:color w:val="1C2833"/>
                <w:sz w:val="22"/>
                <w:szCs w:val="22"/>
              </w:rPr>
              <w:t>Total Program Hours: approximately 180 hours</w:t>
            </w:r>
          </w:p>
        </w:tc>
      </w:tr>
    </w:tbl>
    <w:p w14:paraId="46CA57CC">
      <w:r>
        <w:br w:type="page"/>
      </w:r>
    </w:p>
    <w:p w14:paraId="033A024F">
      <w:pPr>
        <w:pStyle w:val="2"/>
        <w:shd w:val="clear" w:fill="E36C09" w:themeFill="accent6" w:themeFillShade="BF"/>
        <w:spacing w:before="0" w:after="200"/>
        <w:ind w:right="240"/>
      </w:pPr>
      <w:r>
        <w:rPr>
          <w:rFonts w:ascii="Arial" w:hAnsi="Arial" w:eastAsia="Arial" w:cs="Arial"/>
          <w:b/>
          <w:bCs/>
          <w:color w:val="FFFFFF"/>
          <w:sz w:val="38"/>
          <w:szCs w:val="38"/>
        </w:rPr>
        <w:t>ASSESSMENT FRAMEWORK</w:t>
      </w:r>
    </w:p>
    <w:p w14:paraId="1CFC9FA6">
      <w:pPr>
        <w:pStyle w:val="3"/>
        <w:pBdr>
          <w:bottom w:val="single" w:color="2E86C1" w:sz="8" w:space="4"/>
        </w:pBdr>
      </w:pPr>
      <w:r>
        <w:rPr>
          <w:rFonts w:ascii="Arial" w:hAnsi="Arial" w:eastAsia="Arial" w:cs="Arial"/>
          <w:b/>
          <w:bCs/>
          <w:color w:val="1B4F72"/>
          <w:sz w:val="28"/>
          <w:szCs w:val="28"/>
        </w:rPr>
        <w:t>Assessment Philosophy</w:t>
      </w:r>
    </w:p>
    <w:p w14:paraId="6916AF01">
      <w:pPr>
        <w:spacing w:before="60" w:after="120"/>
      </w:pPr>
      <w:r>
        <w:rPr>
          <w:rFonts w:ascii="Arial" w:hAnsi="Arial" w:eastAsia="Arial" w:cs="Arial"/>
          <w:color w:val="1C2833"/>
          <w:sz w:val="22"/>
          <w:szCs w:val="22"/>
        </w:rPr>
        <w:t>Assessment in this program is not a gate to pass — it is a mirror to look into. The program uses portfolio-based, performance assessment as its primary model because trainer-supervisor competency is demonstrated through doing, reflecting, and improving over time, not through a single test administered under pressure. Assessment tasks are authentic: they reflect the real work of training and supervision, not artificial academic exercises. They are cumulative: portfolio artefacts develop and improve across the program. And they are transparent: participants know from Week 1 exactly what will be assessed, how, and why.</w:t>
      </w:r>
    </w:p>
    <w:p w14:paraId="3435582E">
      <w:pPr>
        <w:pStyle w:val="3"/>
        <w:pBdr>
          <w:bottom w:val="single" w:color="2E86C1" w:sz="8" w:space="4"/>
        </w:pBdr>
      </w:pPr>
      <w:r>
        <w:rPr>
          <w:rFonts w:ascii="Arial" w:hAnsi="Arial" w:eastAsia="Arial" w:cs="Arial"/>
          <w:b/>
          <w:bCs/>
          <w:color w:val="1B4F72"/>
          <w:sz w:val="28"/>
          <w:szCs w:val="28"/>
        </w:rPr>
        <w:t>Formative Assessment — Ongoing</w:t>
      </w:r>
    </w:p>
    <w:p w14:paraId="69E126DA">
      <w:pPr>
        <w:spacing w:before="60" w:after="120"/>
      </w:pPr>
      <w:r>
        <w:rPr>
          <w:rFonts w:ascii="Arial" w:hAnsi="Arial" w:eastAsia="Arial" w:cs="Arial"/>
          <w:color w:val="1C2833"/>
          <w:sz w:val="22"/>
          <w:szCs w:val="22"/>
        </w:rPr>
        <w:t>Formative assessment is continuous and woven into every session. Its purpose is to inform and adjust both the participant's learning and the facilitator's teaching — not to produce a grade.</w:t>
      </w:r>
    </w:p>
    <w:p w14:paraId="5E329A09">
      <w:pPr>
        <w:spacing w:after="120"/>
      </w:pPr>
    </w:p>
    <w:p w14:paraId="2D5E6EF7">
      <w:pPr>
        <w:pStyle w:val="16"/>
        <w:numPr>
          <w:ilvl w:val="0"/>
          <w:numId w:val="1"/>
        </w:numPr>
      </w:pPr>
      <w:r>
        <w:rPr>
          <w:rFonts w:ascii="Arial" w:hAnsi="Arial" w:eastAsia="Arial" w:cs="Arial"/>
          <w:b/>
          <w:bCs/>
          <w:color w:val="1C2833"/>
          <w:sz w:val="22"/>
          <w:szCs w:val="22"/>
        </w:rPr>
        <w:t xml:space="preserve">Weekly Reflective Journal Entries: </w:t>
      </w:r>
      <w:r>
        <w:rPr>
          <w:rFonts w:ascii="Arial" w:hAnsi="Arial" w:eastAsia="Arial" w:cs="Arial"/>
          <w:color w:val="1C2833"/>
          <w:sz w:val="22"/>
          <w:szCs w:val="22"/>
        </w:rPr>
        <w:t>One structured reflective journal entry per week, responding to a provided prompt connected to the week's content. Entries are read by the facilitator and returned with written notes (not grades). Cumulative journal forms a significant portfolio artefact.</w:t>
      </w:r>
    </w:p>
    <w:p w14:paraId="33A3B92D">
      <w:pPr>
        <w:pStyle w:val="16"/>
        <w:numPr>
          <w:ilvl w:val="0"/>
          <w:numId w:val="1"/>
        </w:numPr>
      </w:pPr>
      <w:r>
        <w:rPr>
          <w:rFonts w:ascii="Arial" w:hAnsi="Arial" w:eastAsia="Arial" w:cs="Arial"/>
          <w:b/>
          <w:bCs/>
          <w:color w:val="1C2833"/>
          <w:sz w:val="22"/>
          <w:szCs w:val="22"/>
        </w:rPr>
        <w:t xml:space="preserve">Session-Embedded Activities: </w:t>
      </w:r>
      <w:r>
        <w:rPr>
          <w:rFonts w:ascii="Arial" w:hAnsi="Arial" w:eastAsia="Arial" w:cs="Arial"/>
          <w:color w:val="1C2833"/>
          <w:sz w:val="22"/>
          <w:szCs w:val="22"/>
        </w:rPr>
        <w:t>Case studies, role-plays, design tasks, and peer reviews conducted in every session provide real-time evidence of developing competency. These are observed and noted by the facilitator but not formally graded.</w:t>
      </w:r>
    </w:p>
    <w:p w14:paraId="5B43E39B">
      <w:pPr>
        <w:pStyle w:val="16"/>
        <w:numPr>
          <w:ilvl w:val="0"/>
          <w:numId w:val="1"/>
        </w:numPr>
      </w:pPr>
      <w:r>
        <w:rPr>
          <w:rFonts w:ascii="Arial" w:hAnsi="Arial" w:eastAsia="Arial" w:cs="Arial"/>
          <w:b/>
          <w:bCs/>
          <w:color w:val="1C2833"/>
          <w:sz w:val="22"/>
          <w:szCs w:val="22"/>
        </w:rPr>
        <w:t xml:space="preserve">Peer Feedback Protocols: </w:t>
      </w:r>
      <w:r>
        <w:rPr>
          <w:rFonts w:ascii="Arial" w:hAnsi="Arial" w:eastAsia="Arial" w:cs="Arial"/>
          <w:color w:val="1C2833"/>
          <w:sz w:val="22"/>
          <w:szCs w:val="22"/>
        </w:rPr>
        <w:t>Structured peer feedback on teaching demonstrations, observation reports, feedback reports, and conference role-plays develops both the feedback-giver's and the feedback-recipient's competency simultaneously. All peer feedback is written and filed in the portfolio.</w:t>
      </w:r>
    </w:p>
    <w:p w14:paraId="69286E9A">
      <w:pPr>
        <w:pStyle w:val="16"/>
        <w:numPr>
          <w:ilvl w:val="0"/>
          <w:numId w:val="1"/>
        </w:numPr>
      </w:pPr>
      <w:r>
        <w:rPr>
          <w:rFonts w:ascii="Arial" w:hAnsi="Arial" w:eastAsia="Arial" w:cs="Arial"/>
          <w:b/>
          <w:bCs/>
          <w:color w:val="1C2833"/>
          <w:sz w:val="22"/>
          <w:szCs w:val="22"/>
        </w:rPr>
        <w:t xml:space="preserve">Facilitator Observation Notes: </w:t>
      </w:r>
      <w:r>
        <w:rPr>
          <w:rFonts w:ascii="Arial" w:hAnsi="Arial" w:eastAsia="Arial" w:cs="Arial"/>
          <w:color w:val="1C2833"/>
          <w:sz w:val="22"/>
          <w:szCs w:val="22"/>
        </w:rPr>
        <w:t>The facilitator maintains observation notes for each participant across the program, noting specific evidence of competency development against the five domains. These notes inform both portfolio feedback and the facilitator's final competency assessment.</w:t>
      </w:r>
    </w:p>
    <w:p w14:paraId="1E443536">
      <w:pPr>
        <w:pStyle w:val="16"/>
        <w:numPr>
          <w:numId w:val="0"/>
        </w:numPr>
        <w:rPr>
          <w:rFonts w:ascii="Arial" w:hAnsi="Arial" w:eastAsia="Arial" w:cs="Arial"/>
          <w:color w:val="1C2833"/>
          <w:sz w:val="22"/>
          <w:szCs w:val="22"/>
        </w:rPr>
      </w:pPr>
    </w:p>
    <w:p w14:paraId="7A5C53DD">
      <w:pPr>
        <w:pStyle w:val="16"/>
        <w:numPr>
          <w:numId w:val="0"/>
        </w:numPr>
        <w:rPr>
          <w:rFonts w:ascii="Arial" w:hAnsi="Arial" w:eastAsia="Arial" w:cs="Arial"/>
          <w:color w:val="1C2833"/>
          <w:sz w:val="22"/>
          <w:szCs w:val="22"/>
        </w:rPr>
      </w:pPr>
    </w:p>
    <w:p w14:paraId="277AF9D1">
      <w:pPr>
        <w:pStyle w:val="16"/>
        <w:numPr>
          <w:numId w:val="0"/>
        </w:numPr>
        <w:rPr>
          <w:rFonts w:ascii="Arial" w:hAnsi="Arial" w:eastAsia="Arial" w:cs="Arial"/>
          <w:color w:val="1C2833"/>
          <w:sz w:val="22"/>
          <w:szCs w:val="22"/>
        </w:rPr>
      </w:pPr>
    </w:p>
    <w:p w14:paraId="2D4A48EF">
      <w:pPr>
        <w:pStyle w:val="16"/>
        <w:numPr>
          <w:numId w:val="0"/>
        </w:numPr>
        <w:rPr>
          <w:rFonts w:ascii="Arial" w:hAnsi="Arial" w:eastAsia="Arial" w:cs="Arial"/>
          <w:color w:val="1C2833"/>
          <w:sz w:val="22"/>
          <w:szCs w:val="22"/>
        </w:rPr>
      </w:pPr>
    </w:p>
    <w:p w14:paraId="59471A24">
      <w:pPr>
        <w:pStyle w:val="16"/>
        <w:numPr>
          <w:numId w:val="0"/>
        </w:numPr>
        <w:rPr>
          <w:rFonts w:ascii="Arial" w:hAnsi="Arial" w:eastAsia="Arial" w:cs="Arial"/>
          <w:color w:val="1C2833"/>
          <w:sz w:val="22"/>
          <w:szCs w:val="22"/>
        </w:rPr>
      </w:pPr>
    </w:p>
    <w:p w14:paraId="6D2FEB94">
      <w:pPr>
        <w:pStyle w:val="16"/>
        <w:numPr>
          <w:numId w:val="0"/>
        </w:numPr>
        <w:rPr>
          <w:rFonts w:ascii="Arial" w:hAnsi="Arial" w:eastAsia="Arial" w:cs="Arial"/>
          <w:color w:val="1C2833"/>
          <w:sz w:val="22"/>
          <w:szCs w:val="22"/>
        </w:rPr>
      </w:pPr>
    </w:p>
    <w:p w14:paraId="6FE1D734">
      <w:pPr>
        <w:pStyle w:val="16"/>
        <w:numPr>
          <w:numId w:val="0"/>
        </w:numPr>
        <w:rPr>
          <w:rFonts w:ascii="Arial" w:hAnsi="Arial" w:eastAsia="Arial" w:cs="Arial"/>
          <w:color w:val="1C2833"/>
          <w:sz w:val="22"/>
          <w:szCs w:val="22"/>
        </w:rPr>
      </w:pPr>
    </w:p>
    <w:p w14:paraId="429AA076">
      <w:pPr>
        <w:pStyle w:val="16"/>
        <w:numPr>
          <w:numId w:val="0"/>
        </w:numPr>
        <w:rPr>
          <w:rFonts w:ascii="Arial" w:hAnsi="Arial" w:eastAsia="Arial" w:cs="Arial"/>
          <w:color w:val="1C2833"/>
          <w:sz w:val="22"/>
          <w:szCs w:val="22"/>
        </w:rPr>
      </w:pPr>
    </w:p>
    <w:p w14:paraId="5D6E7183">
      <w:pPr>
        <w:pStyle w:val="16"/>
        <w:numPr>
          <w:numId w:val="0"/>
        </w:numPr>
        <w:rPr>
          <w:rFonts w:ascii="Arial" w:hAnsi="Arial" w:eastAsia="Arial" w:cs="Arial"/>
          <w:color w:val="1C2833"/>
          <w:sz w:val="22"/>
          <w:szCs w:val="22"/>
        </w:rPr>
      </w:pPr>
    </w:p>
    <w:p w14:paraId="10E81BBE">
      <w:pPr>
        <w:pStyle w:val="16"/>
        <w:numPr>
          <w:numId w:val="0"/>
        </w:numPr>
        <w:rPr>
          <w:rFonts w:ascii="Arial" w:hAnsi="Arial" w:eastAsia="Arial" w:cs="Arial"/>
          <w:color w:val="1C2833"/>
          <w:sz w:val="22"/>
          <w:szCs w:val="22"/>
        </w:rPr>
      </w:pPr>
    </w:p>
    <w:p w14:paraId="28CC5015">
      <w:pPr>
        <w:pStyle w:val="16"/>
        <w:numPr>
          <w:numId w:val="0"/>
        </w:numPr>
        <w:rPr>
          <w:rFonts w:ascii="Arial" w:hAnsi="Arial" w:eastAsia="Arial" w:cs="Arial"/>
          <w:color w:val="1C2833"/>
          <w:sz w:val="22"/>
          <w:szCs w:val="22"/>
        </w:rPr>
      </w:pPr>
    </w:p>
    <w:p w14:paraId="3B4C64A8">
      <w:pPr>
        <w:pStyle w:val="16"/>
        <w:numPr>
          <w:numId w:val="0"/>
        </w:numPr>
        <w:rPr>
          <w:rFonts w:ascii="Arial" w:hAnsi="Arial" w:eastAsia="Arial" w:cs="Arial"/>
          <w:color w:val="1C2833"/>
          <w:sz w:val="22"/>
          <w:szCs w:val="22"/>
        </w:rPr>
      </w:pPr>
    </w:p>
    <w:p w14:paraId="361E6FE4">
      <w:pPr>
        <w:pStyle w:val="16"/>
        <w:numPr>
          <w:numId w:val="0"/>
        </w:numPr>
        <w:rPr>
          <w:rFonts w:ascii="Arial" w:hAnsi="Arial" w:eastAsia="Arial" w:cs="Arial"/>
          <w:color w:val="1C2833"/>
          <w:sz w:val="22"/>
          <w:szCs w:val="22"/>
        </w:rPr>
      </w:pPr>
    </w:p>
    <w:p w14:paraId="72BC7A8E">
      <w:pPr>
        <w:pStyle w:val="16"/>
        <w:numPr>
          <w:numId w:val="0"/>
        </w:numPr>
        <w:rPr>
          <w:rFonts w:ascii="Arial" w:hAnsi="Arial" w:eastAsia="Arial" w:cs="Arial"/>
          <w:color w:val="1C2833"/>
          <w:sz w:val="22"/>
          <w:szCs w:val="22"/>
        </w:rPr>
      </w:pPr>
    </w:p>
    <w:p w14:paraId="2D015CA4">
      <w:pPr>
        <w:pStyle w:val="16"/>
        <w:numPr>
          <w:numId w:val="0"/>
        </w:numPr>
        <w:rPr>
          <w:rFonts w:ascii="Arial" w:hAnsi="Arial" w:eastAsia="Arial" w:cs="Arial"/>
          <w:color w:val="1C2833"/>
          <w:sz w:val="22"/>
          <w:szCs w:val="22"/>
        </w:rPr>
      </w:pPr>
    </w:p>
    <w:p w14:paraId="6C9AB395">
      <w:pPr>
        <w:pStyle w:val="16"/>
        <w:numPr>
          <w:numId w:val="0"/>
        </w:numPr>
        <w:rPr>
          <w:rFonts w:ascii="Arial" w:hAnsi="Arial" w:eastAsia="Arial" w:cs="Arial"/>
          <w:color w:val="1C2833"/>
          <w:sz w:val="22"/>
          <w:szCs w:val="22"/>
        </w:rPr>
      </w:pPr>
    </w:p>
    <w:p w14:paraId="23D2B0EF">
      <w:pPr>
        <w:pStyle w:val="16"/>
        <w:numPr>
          <w:numId w:val="0"/>
        </w:numPr>
        <w:rPr>
          <w:rFonts w:ascii="Arial" w:hAnsi="Arial" w:eastAsia="Arial" w:cs="Arial"/>
          <w:color w:val="1C2833"/>
          <w:sz w:val="22"/>
          <w:szCs w:val="22"/>
        </w:rPr>
      </w:pPr>
    </w:p>
    <w:p w14:paraId="43E822B2">
      <w:pPr>
        <w:pStyle w:val="3"/>
        <w:pBdr>
          <w:bottom w:val="single" w:color="2E86C1" w:sz="8" w:space="4"/>
        </w:pBdr>
      </w:pPr>
      <w:r>
        <w:rPr>
          <w:rFonts w:ascii="Arial" w:hAnsi="Arial" w:eastAsia="Arial" w:cs="Arial"/>
          <w:b/>
          <w:bCs/>
          <w:color w:val="1B4F72"/>
          <w:sz w:val="28"/>
          <w:szCs w:val="28"/>
        </w:rPr>
        <w:t>Portfolio Requirements — Summative</w:t>
      </w:r>
    </w:p>
    <w:p w14:paraId="34A562D5">
      <w:pPr>
        <w:spacing w:before="60" w:after="120"/>
      </w:pPr>
      <w:r>
        <w:rPr>
          <w:rFonts w:ascii="Arial" w:hAnsi="Arial" w:eastAsia="Arial" w:cs="Arial"/>
          <w:color w:val="1C2833"/>
          <w:sz w:val="22"/>
          <w:szCs w:val="22"/>
        </w:rPr>
        <w:t>The professional portfolio is submitted at the end of Week 16 and is the primary summative assessment instrument. A complete portfolio includes:</w:t>
      </w:r>
    </w:p>
    <w:p w14:paraId="74E6DCB0">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226"/>
        <w:gridCol w:w="2300"/>
      </w:tblGrid>
      <w:tr w14:paraId="2759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06C9CD53">
            <w:r>
              <w:rPr>
                <w:rFonts w:ascii="Arial" w:hAnsi="Arial" w:eastAsia="Arial" w:cs="Arial"/>
                <w:b/>
                <w:bCs/>
                <w:color w:val="FFFFFF"/>
                <w:sz w:val="22"/>
                <w:szCs w:val="22"/>
              </w:rPr>
              <w:t>Portfolio Component</w:t>
            </w:r>
          </w:p>
        </w:tc>
        <w:tc>
          <w:tcPr>
            <w:tcW w:w="4226"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2054F290">
            <w:r>
              <w:rPr>
                <w:rFonts w:ascii="Arial" w:hAnsi="Arial" w:eastAsia="Arial" w:cs="Arial"/>
                <w:b/>
                <w:bCs/>
                <w:color w:val="FFFFFF"/>
                <w:sz w:val="22"/>
                <w:szCs w:val="22"/>
              </w:rPr>
              <w:t>Description</w:t>
            </w:r>
          </w:p>
        </w:tc>
        <w:tc>
          <w:tcPr>
            <w:tcW w:w="23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6A4605F0">
            <w:r>
              <w:rPr>
                <w:rFonts w:ascii="Arial" w:hAnsi="Arial" w:eastAsia="Arial" w:cs="Arial"/>
                <w:b/>
                <w:bCs/>
                <w:color w:val="FFFFFF"/>
                <w:sz w:val="22"/>
                <w:szCs w:val="22"/>
              </w:rPr>
              <w:t>Domain(s)</w:t>
            </w:r>
          </w:p>
        </w:tc>
      </w:tr>
      <w:tr w14:paraId="475CC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52FCF09">
            <w:r>
              <w:rPr>
                <w:rFonts w:ascii="Arial" w:hAnsi="Arial" w:eastAsia="Arial" w:cs="Arial"/>
                <w:b w:val="0"/>
                <w:bCs w:val="0"/>
                <w:color w:val="1C2833"/>
                <w:sz w:val="20"/>
                <w:szCs w:val="20"/>
              </w:rPr>
              <w:t>Personal Philosophy Statement (Revised)</w:t>
            </w:r>
          </w:p>
        </w:tc>
        <w:tc>
          <w:tcPr>
            <w:tcW w:w="42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519F665">
            <w:r>
              <w:rPr>
                <w:rFonts w:ascii="Arial" w:hAnsi="Arial" w:eastAsia="Arial" w:cs="Arial"/>
                <w:b w:val="0"/>
                <w:bCs w:val="0"/>
                <w:color w:val="1C2833"/>
                <w:sz w:val="20"/>
                <w:szCs w:val="20"/>
              </w:rPr>
              <w:t>Final version of the philosophy statement written in Week 1; must show clear evidence of development from the original draft</w:t>
            </w:r>
          </w:p>
        </w:tc>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9A90DF2">
            <w:r>
              <w:rPr>
                <w:rFonts w:ascii="Arial" w:hAnsi="Arial" w:eastAsia="Arial" w:cs="Arial"/>
                <w:b w:val="0"/>
                <w:bCs w:val="0"/>
                <w:color w:val="1C2833"/>
                <w:sz w:val="20"/>
                <w:szCs w:val="20"/>
              </w:rPr>
              <w:t>Domain 1</w:t>
            </w:r>
          </w:p>
        </w:tc>
      </w:tr>
      <w:tr w14:paraId="5D9D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EACCD4F">
            <w:r>
              <w:rPr>
                <w:rFonts w:ascii="Arial" w:hAnsi="Arial" w:eastAsia="Arial" w:cs="Arial"/>
                <w:b w:val="0"/>
                <w:bCs w:val="0"/>
                <w:color w:val="1C2833"/>
                <w:sz w:val="20"/>
                <w:szCs w:val="20"/>
              </w:rPr>
              <w:t>Training Session Plan (Annotated)</w:t>
            </w:r>
          </w:p>
        </w:tc>
        <w:tc>
          <w:tcPr>
            <w:tcW w:w="42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CF14E62">
            <w:r>
              <w:rPr>
                <w:rFonts w:ascii="Arial" w:hAnsi="Arial" w:eastAsia="Arial" w:cs="Arial"/>
                <w:b w:val="0"/>
                <w:bCs w:val="0"/>
                <w:color w:val="1C2833"/>
                <w:sz w:val="20"/>
                <w:szCs w:val="20"/>
              </w:rPr>
              <w:t>A complete session plan with a written design rationale connecting every key decision to specific learning theories and principles</w:t>
            </w:r>
          </w:p>
        </w:tc>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7A08C78">
            <w:r>
              <w:rPr>
                <w:rFonts w:ascii="Arial" w:hAnsi="Arial" w:eastAsia="Arial" w:cs="Arial"/>
                <w:b w:val="0"/>
                <w:bCs w:val="0"/>
                <w:color w:val="1C2833"/>
                <w:sz w:val="20"/>
                <w:szCs w:val="20"/>
              </w:rPr>
              <w:t>Domain 2</w:t>
            </w:r>
          </w:p>
        </w:tc>
      </w:tr>
      <w:tr w14:paraId="74C67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C40D08A">
            <w:r>
              <w:rPr>
                <w:rFonts w:ascii="Arial" w:hAnsi="Arial" w:eastAsia="Arial" w:cs="Arial"/>
                <w:b w:val="0"/>
                <w:bCs w:val="0"/>
                <w:color w:val="1C2833"/>
                <w:sz w:val="20"/>
                <w:szCs w:val="20"/>
              </w:rPr>
              <w:t>Needs Analysis Report</w:t>
            </w:r>
          </w:p>
        </w:tc>
        <w:tc>
          <w:tcPr>
            <w:tcW w:w="42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D46ED70">
            <w:r>
              <w:rPr>
                <w:rFonts w:ascii="Arial" w:hAnsi="Arial" w:eastAsia="Arial" w:cs="Arial"/>
                <w:b w:val="0"/>
                <w:bCs w:val="0"/>
                <w:color w:val="1C2833"/>
                <w:sz w:val="20"/>
                <w:szCs w:val="20"/>
              </w:rPr>
              <w:t>Written report from the Month 1 field project or simulation; includes gap analysis and training recommendations</w:t>
            </w:r>
          </w:p>
        </w:tc>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4B6D53F">
            <w:r>
              <w:rPr>
                <w:rFonts w:ascii="Arial" w:hAnsi="Arial" w:eastAsia="Arial" w:cs="Arial"/>
                <w:b w:val="0"/>
                <w:bCs w:val="0"/>
                <w:color w:val="1C2833"/>
                <w:sz w:val="20"/>
                <w:szCs w:val="20"/>
              </w:rPr>
              <w:t>Domain 2</w:t>
            </w:r>
          </w:p>
        </w:tc>
      </w:tr>
      <w:tr w14:paraId="78439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77820F3">
            <w:r>
              <w:rPr>
                <w:rFonts w:ascii="Arial" w:hAnsi="Arial" w:eastAsia="Arial" w:cs="Arial"/>
                <w:b w:val="0"/>
                <w:bCs w:val="0"/>
                <w:color w:val="1C2833"/>
                <w:sz w:val="20"/>
                <w:szCs w:val="20"/>
              </w:rPr>
              <w:t>Question Bank (50 questions)</w:t>
            </w:r>
          </w:p>
        </w:tc>
        <w:tc>
          <w:tcPr>
            <w:tcW w:w="42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812853A">
            <w:r>
              <w:rPr>
                <w:rFonts w:ascii="Arial" w:hAnsi="Arial" w:eastAsia="Arial" w:cs="Arial"/>
                <w:b w:val="0"/>
                <w:bCs w:val="0"/>
                <w:color w:val="1C2833"/>
                <w:sz w:val="20"/>
                <w:szCs w:val="20"/>
              </w:rPr>
              <w:t>Completed question bank organised by type and function; includes a brief reflective note on how it has been used in practice</w:t>
            </w:r>
          </w:p>
        </w:tc>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CEC6F76">
            <w:r>
              <w:rPr>
                <w:rFonts w:ascii="Arial" w:hAnsi="Arial" w:eastAsia="Arial" w:cs="Arial"/>
                <w:b w:val="0"/>
                <w:bCs w:val="0"/>
                <w:color w:val="1C2833"/>
                <w:sz w:val="20"/>
                <w:szCs w:val="20"/>
              </w:rPr>
              <w:t>Domain 3</w:t>
            </w:r>
          </w:p>
        </w:tc>
      </w:tr>
      <w:tr w14:paraId="120C1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9D560DE">
            <w:r>
              <w:rPr>
                <w:rFonts w:ascii="Arial" w:hAnsi="Arial" w:eastAsia="Arial" w:cs="Arial"/>
                <w:b w:val="0"/>
                <w:bCs w:val="0"/>
                <w:color w:val="1C2833"/>
                <w:sz w:val="20"/>
                <w:szCs w:val="20"/>
              </w:rPr>
              <w:t>Feedback Report (Observation)</w:t>
            </w:r>
          </w:p>
        </w:tc>
        <w:tc>
          <w:tcPr>
            <w:tcW w:w="42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A053194">
            <w:r>
              <w:rPr>
                <w:rFonts w:ascii="Arial" w:hAnsi="Arial" w:eastAsia="Arial" w:cs="Arial"/>
                <w:b w:val="0"/>
                <w:bCs w:val="0"/>
                <w:color w:val="1C2833"/>
                <w:sz w:val="20"/>
                <w:szCs w:val="20"/>
              </w:rPr>
              <w:t>A complete written post-observation feedback report demonstrating evidence-based, BET-aligned professional writing</w:t>
            </w:r>
          </w:p>
        </w:tc>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5CA298A">
            <w:r>
              <w:rPr>
                <w:rFonts w:ascii="Arial" w:hAnsi="Arial" w:eastAsia="Arial" w:cs="Arial"/>
                <w:b w:val="0"/>
                <w:bCs w:val="0"/>
                <w:color w:val="1C2833"/>
                <w:sz w:val="20"/>
                <w:szCs w:val="20"/>
              </w:rPr>
              <w:t>Domain 3</w:t>
            </w:r>
          </w:p>
        </w:tc>
      </w:tr>
      <w:tr w14:paraId="36011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173AB47">
            <w:r>
              <w:rPr>
                <w:rFonts w:ascii="Arial" w:hAnsi="Arial" w:eastAsia="Arial" w:cs="Arial"/>
                <w:b w:val="0"/>
                <w:bCs w:val="0"/>
                <w:color w:val="1C2833"/>
                <w:sz w:val="20"/>
                <w:szCs w:val="20"/>
              </w:rPr>
              <w:t>Observation Tool + Data</w:t>
            </w:r>
          </w:p>
        </w:tc>
        <w:tc>
          <w:tcPr>
            <w:tcW w:w="42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FFEFD58">
            <w:r>
              <w:rPr>
                <w:rFonts w:ascii="Arial" w:hAnsi="Arial" w:eastAsia="Arial" w:cs="Arial"/>
                <w:b w:val="0"/>
                <w:bCs w:val="0"/>
                <w:color w:val="1C2833"/>
                <w:sz w:val="20"/>
                <w:szCs w:val="20"/>
              </w:rPr>
              <w:t>Original or adapted observation tool; completed observation data from a live or video observation; analysis of the data</w:t>
            </w:r>
          </w:p>
        </w:tc>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375C3E9">
            <w:r>
              <w:rPr>
                <w:rFonts w:ascii="Arial" w:hAnsi="Arial" w:eastAsia="Arial" w:cs="Arial"/>
                <w:b w:val="0"/>
                <w:bCs w:val="0"/>
                <w:color w:val="1C2833"/>
                <w:sz w:val="20"/>
                <w:szCs w:val="20"/>
              </w:rPr>
              <w:t>Domain 4</w:t>
            </w:r>
          </w:p>
        </w:tc>
      </w:tr>
      <w:tr w14:paraId="7A64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710B96B">
            <w:r>
              <w:rPr>
                <w:rFonts w:ascii="Arial" w:hAnsi="Arial" w:eastAsia="Arial" w:cs="Arial"/>
                <w:b w:val="0"/>
                <w:bCs w:val="0"/>
                <w:color w:val="1C2833"/>
                <w:sz w:val="20"/>
                <w:szCs w:val="20"/>
              </w:rPr>
              <w:t>Post-Observation Conference Artefact</w:t>
            </w:r>
          </w:p>
        </w:tc>
        <w:tc>
          <w:tcPr>
            <w:tcW w:w="42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F8DE76D">
            <w:r>
              <w:rPr>
                <w:rFonts w:ascii="Arial" w:hAnsi="Arial" w:eastAsia="Arial" w:cs="Arial"/>
                <w:b w:val="0"/>
                <w:bCs w:val="0"/>
                <w:color w:val="1C2833"/>
                <w:sz w:val="20"/>
                <w:szCs w:val="20"/>
              </w:rPr>
              <w:t>Conference transcript, roleplay documentation, or recorded summary demonstrating conference facilitation skill</w:t>
            </w:r>
          </w:p>
        </w:tc>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1EB9F3B">
            <w:r>
              <w:rPr>
                <w:rFonts w:ascii="Arial" w:hAnsi="Arial" w:eastAsia="Arial" w:cs="Arial"/>
                <w:b w:val="0"/>
                <w:bCs w:val="0"/>
                <w:color w:val="1C2833"/>
                <w:sz w:val="20"/>
                <w:szCs w:val="20"/>
              </w:rPr>
              <w:t>Domain 4</w:t>
            </w:r>
          </w:p>
        </w:tc>
      </w:tr>
      <w:tr w14:paraId="67FA8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D982827">
            <w:r>
              <w:rPr>
                <w:rFonts w:ascii="Arial" w:hAnsi="Arial" w:eastAsia="Arial" w:cs="Arial"/>
                <w:b w:val="0"/>
                <w:bCs w:val="0"/>
                <w:color w:val="1C2833"/>
                <w:sz w:val="20"/>
                <w:szCs w:val="20"/>
              </w:rPr>
              <w:t>Evaluation Rubric</w:t>
            </w:r>
          </w:p>
        </w:tc>
        <w:tc>
          <w:tcPr>
            <w:tcW w:w="42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D4239EC">
            <w:r>
              <w:rPr>
                <w:rFonts w:ascii="Arial" w:hAnsi="Arial" w:eastAsia="Arial" w:cs="Arial"/>
                <w:b w:val="0"/>
                <w:bCs w:val="0"/>
                <w:color w:val="1C2833"/>
                <w:sz w:val="20"/>
                <w:szCs w:val="20"/>
              </w:rPr>
              <w:t>Designed evaluation rubric with written rationale; includes calibration reflection from inter-rater reliability exercise</w:t>
            </w:r>
          </w:p>
        </w:tc>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E7AE004">
            <w:r>
              <w:rPr>
                <w:rFonts w:ascii="Arial" w:hAnsi="Arial" w:eastAsia="Arial" w:cs="Arial"/>
                <w:b w:val="0"/>
                <w:bCs w:val="0"/>
                <w:color w:val="1C2833"/>
                <w:sz w:val="20"/>
                <w:szCs w:val="20"/>
              </w:rPr>
              <w:t>Domain 4</w:t>
            </w:r>
          </w:p>
        </w:tc>
      </w:tr>
      <w:tr w14:paraId="60181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1D5F5FB">
            <w:r>
              <w:rPr>
                <w:rFonts w:ascii="Arial" w:hAnsi="Arial" w:eastAsia="Arial" w:cs="Arial"/>
                <w:b w:val="0"/>
                <w:bCs w:val="0"/>
                <w:color w:val="1C2833"/>
                <w:sz w:val="20"/>
                <w:szCs w:val="20"/>
              </w:rPr>
              <w:t>GROW Coaching Session Documentation</w:t>
            </w:r>
          </w:p>
        </w:tc>
        <w:tc>
          <w:tcPr>
            <w:tcW w:w="42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76140C1">
            <w:r>
              <w:rPr>
                <w:rFonts w:ascii="Arial" w:hAnsi="Arial" w:eastAsia="Arial" w:cs="Arial"/>
                <w:b w:val="0"/>
                <w:bCs w:val="0"/>
                <w:color w:val="1C2833"/>
                <w:sz w:val="20"/>
                <w:szCs w:val="20"/>
              </w:rPr>
              <w:t>Structured notes from at least two GROW coaching sessions conducted as coach, with reflective commentary</w:t>
            </w:r>
          </w:p>
        </w:tc>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AA2E8AB">
            <w:r>
              <w:rPr>
                <w:rFonts w:ascii="Arial" w:hAnsi="Arial" w:eastAsia="Arial" w:cs="Arial"/>
                <w:b w:val="0"/>
                <w:bCs w:val="0"/>
                <w:color w:val="1C2833"/>
                <w:sz w:val="20"/>
                <w:szCs w:val="20"/>
              </w:rPr>
              <w:t>Domain 5</w:t>
            </w:r>
          </w:p>
        </w:tc>
      </w:tr>
      <w:tr w14:paraId="552A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4CC24E9">
            <w:r>
              <w:rPr>
                <w:rFonts w:ascii="Arial" w:hAnsi="Arial" w:eastAsia="Arial" w:cs="Arial"/>
                <w:b w:val="0"/>
                <w:bCs w:val="0"/>
                <w:color w:val="1C2833"/>
                <w:sz w:val="20"/>
                <w:szCs w:val="20"/>
              </w:rPr>
              <w:t>Professional Resilience Plan</w:t>
            </w:r>
          </w:p>
        </w:tc>
        <w:tc>
          <w:tcPr>
            <w:tcW w:w="42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2285ADF">
            <w:r>
              <w:rPr>
                <w:rFonts w:ascii="Arial" w:hAnsi="Arial" w:eastAsia="Arial" w:cs="Arial"/>
                <w:b w:val="0"/>
                <w:bCs w:val="0"/>
                <w:color w:val="1C2833"/>
                <w:sz w:val="20"/>
                <w:szCs w:val="20"/>
              </w:rPr>
              <w:t>Completed personal resilience plan from Week 14 with evidence of reflection and concrete commitments</w:t>
            </w:r>
          </w:p>
        </w:tc>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70FD697">
            <w:r>
              <w:rPr>
                <w:rFonts w:ascii="Arial" w:hAnsi="Arial" w:eastAsia="Arial" w:cs="Arial"/>
                <w:b w:val="0"/>
                <w:bCs w:val="0"/>
                <w:color w:val="1C2833"/>
                <w:sz w:val="20"/>
                <w:szCs w:val="20"/>
              </w:rPr>
              <w:t>Domain 5</w:t>
            </w:r>
          </w:p>
        </w:tc>
      </w:tr>
      <w:tr w14:paraId="09CF3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0066A9A">
            <w:r>
              <w:rPr>
                <w:rFonts w:ascii="Arial" w:hAnsi="Arial" w:eastAsia="Arial" w:cs="Arial"/>
                <w:b w:val="0"/>
                <w:bCs w:val="0"/>
                <w:color w:val="1C2833"/>
                <w:sz w:val="20"/>
                <w:szCs w:val="20"/>
              </w:rPr>
              <w:t>12-Month Professional Growth Plan</w:t>
            </w:r>
          </w:p>
        </w:tc>
        <w:tc>
          <w:tcPr>
            <w:tcW w:w="42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EAA9421">
            <w:r>
              <w:rPr>
                <w:rFonts w:ascii="Arial" w:hAnsi="Arial" w:eastAsia="Arial" w:cs="Arial"/>
                <w:b w:val="0"/>
                <w:bCs w:val="0"/>
                <w:color w:val="1C2833"/>
                <w:sz w:val="20"/>
                <w:szCs w:val="20"/>
              </w:rPr>
              <w:t>Structured PGP with goals, activities, resources, accountability partner, and review dates mapped to competency domains</w:t>
            </w:r>
          </w:p>
        </w:tc>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1004652">
            <w:r>
              <w:rPr>
                <w:rFonts w:ascii="Arial" w:hAnsi="Arial" w:eastAsia="Arial" w:cs="Arial"/>
                <w:b w:val="0"/>
                <w:bCs w:val="0"/>
                <w:color w:val="1C2833"/>
                <w:sz w:val="20"/>
                <w:szCs w:val="20"/>
              </w:rPr>
              <w:t>All Domains</w:t>
            </w:r>
          </w:p>
        </w:tc>
      </w:tr>
      <w:tr w14:paraId="0CE3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4957787">
            <w:r>
              <w:rPr>
                <w:rFonts w:ascii="Arial" w:hAnsi="Arial" w:eastAsia="Arial" w:cs="Arial"/>
                <w:b w:val="0"/>
                <w:bCs w:val="0"/>
                <w:color w:val="1C2833"/>
                <w:sz w:val="20"/>
                <w:szCs w:val="20"/>
              </w:rPr>
              <w:t>Reflective Portfolio Synthesis</w:t>
            </w:r>
          </w:p>
        </w:tc>
        <w:tc>
          <w:tcPr>
            <w:tcW w:w="42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4EDA6FA">
            <w:r>
              <w:rPr>
                <w:rFonts w:ascii="Arial" w:hAnsi="Arial" w:eastAsia="Arial" w:cs="Arial"/>
                <w:b w:val="0"/>
                <w:bCs w:val="0"/>
                <w:color w:val="1C2833"/>
                <w:sz w:val="20"/>
                <w:szCs w:val="20"/>
              </w:rPr>
              <w:t>A 600–800 word reflective synthesis that maps portfolio evidence to the five competency domains and articulates the participant's overall arc of development</w:t>
            </w:r>
          </w:p>
        </w:tc>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EB167E3">
            <w:r>
              <w:rPr>
                <w:rFonts w:ascii="Arial" w:hAnsi="Arial" w:eastAsia="Arial" w:cs="Arial"/>
                <w:b w:val="0"/>
                <w:bCs w:val="0"/>
                <w:color w:val="1C2833"/>
                <w:sz w:val="20"/>
                <w:szCs w:val="20"/>
              </w:rPr>
              <w:t>All Domains</w:t>
            </w:r>
          </w:p>
        </w:tc>
      </w:tr>
    </w:tbl>
    <w:p w14:paraId="30F85AD9">
      <w:pPr>
        <w:pStyle w:val="3"/>
        <w:pBdr>
          <w:bottom w:val="single" w:color="2E86C1" w:sz="8" w:space="4"/>
        </w:pBdr>
      </w:pPr>
      <w:r>
        <w:rPr>
          <w:rFonts w:ascii="Arial" w:hAnsi="Arial" w:eastAsia="Arial" w:cs="Arial"/>
          <w:b/>
          <w:bCs/>
          <w:color w:val="1B4F72"/>
          <w:sz w:val="28"/>
          <w:szCs w:val="28"/>
        </w:rPr>
        <w:t>Capstone Demonstration — Summative</w:t>
      </w:r>
    </w:p>
    <w:p w14:paraId="6457A824">
      <w:pPr>
        <w:spacing w:before="60" w:after="120"/>
      </w:pPr>
      <w:r>
        <w:rPr>
          <w:rFonts w:ascii="Arial" w:hAnsi="Arial" w:eastAsia="Arial" w:cs="Arial"/>
          <w:color w:val="1C2833"/>
          <w:sz w:val="22"/>
          <w:szCs w:val="22"/>
        </w:rPr>
        <w:t>In addition to the portfolio, each participant delivers a 30-minute Capstone Demonstration in Week 16. Participants choose either: (a) delivering a complete training session segment (30 minutes) on a topic of their choice, designed and delivered to the cohort; or (b) facilitating a complete observation conference sequence (pre-conference + abbreviated post-conference + handover to action plan) using a provided teacher profile and observation dataset.</w:t>
      </w:r>
    </w:p>
    <w:p w14:paraId="35C76AE3">
      <w:pPr>
        <w:spacing w:after="120"/>
      </w:pP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4326"/>
        <w:gridCol w:w="1200"/>
      </w:tblGrid>
      <w:tr w14:paraId="153F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5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594D43AE">
            <w:r>
              <w:rPr>
                <w:rFonts w:ascii="Arial" w:hAnsi="Arial" w:eastAsia="Arial" w:cs="Arial"/>
                <w:b/>
                <w:bCs/>
                <w:color w:val="FFFFFF"/>
                <w:sz w:val="22"/>
                <w:szCs w:val="22"/>
              </w:rPr>
              <w:t>Criterion</w:t>
            </w:r>
          </w:p>
        </w:tc>
        <w:tc>
          <w:tcPr>
            <w:tcW w:w="4326"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0E648C90">
            <w:r>
              <w:rPr>
                <w:rFonts w:ascii="Arial" w:hAnsi="Arial" w:eastAsia="Arial" w:cs="Arial"/>
                <w:b/>
                <w:bCs/>
                <w:color w:val="FFFFFF"/>
                <w:sz w:val="22"/>
                <w:szCs w:val="22"/>
              </w:rPr>
              <w:t>Indicators of Competence</w:t>
            </w:r>
          </w:p>
        </w:tc>
        <w:tc>
          <w:tcPr>
            <w:tcW w:w="12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0B1468F6">
            <w:r>
              <w:rPr>
                <w:rFonts w:ascii="Arial" w:hAnsi="Arial" w:eastAsia="Arial" w:cs="Arial"/>
                <w:b/>
                <w:bCs/>
                <w:color w:val="FFFFFF"/>
                <w:sz w:val="22"/>
                <w:szCs w:val="22"/>
              </w:rPr>
              <w:t>Weight</w:t>
            </w:r>
          </w:p>
        </w:tc>
      </w:tr>
      <w:tr w14:paraId="58C12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C8E4B09">
            <w:r>
              <w:rPr>
                <w:rFonts w:ascii="Arial" w:hAnsi="Arial" w:eastAsia="Arial" w:cs="Arial"/>
                <w:b w:val="0"/>
                <w:bCs w:val="0"/>
                <w:color w:val="1C2833"/>
                <w:sz w:val="20"/>
                <w:szCs w:val="20"/>
              </w:rPr>
              <w:t>Objective Clarity</w:t>
            </w:r>
          </w:p>
        </w:tc>
        <w:tc>
          <w:tcPr>
            <w:tcW w:w="43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FBA9611">
            <w:r>
              <w:rPr>
                <w:rFonts w:ascii="Arial" w:hAnsi="Arial" w:eastAsia="Arial" w:cs="Arial"/>
                <w:b w:val="0"/>
                <w:bCs w:val="0"/>
                <w:color w:val="1C2833"/>
                <w:sz w:val="20"/>
                <w:szCs w:val="20"/>
              </w:rPr>
              <w:t>Learning objectives are explicitly stated, SMART-compliant, and pitched at appropriate Bloom's level</w:t>
            </w:r>
          </w:p>
        </w:tc>
        <w:tc>
          <w:tcPr>
            <w:tcW w:w="12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54B79DC">
            <w:r>
              <w:rPr>
                <w:rFonts w:ascii="Arial" w:hAnsi="Arial" w:eastAsia="Arial" w:cs="Arial"/>
                <w:b w:val="0"/>
                <w:bCs w:val="0"/>
                <w:color w:val="1C2833"/>
                <w:sz w:val="20"/>
                <w:szCs w:val="20"/>
              </w:rPr>
              <w:t>10%</w:t>
            </w:r>
          </w:p>
        </w:tc>
      </w:tr>
      <w:tr w14:paraId="1DFC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60DC74E">
            <w:r>
              <w:rPr>
                <w:rFonts w:ascii="Arial" w:hAnsi="Arial" w:eastAsia="Arial" w:cs="Arial"/>
                <w:b w:val="0"/>
                <w:bCs w:val="0"/>
                <w:color w:val="1C2833"/>
                <w:sz w:val="20"/>
                <w:szCs w:val="20"/>
              </w:rPr>
              <w:t>Design Quality</w:t>
            </w:r>
          </w:p>
        </w:tc>
        <w:tc>
          <w:tcPr>
            <w:tcW w:w="43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C0BC41A">
            <w:r>
              <w:rPr>
                <w:rFonts w:ascii="Arial" w:hAnsi="Arial" w:eastAsia="Arial" w:cs="Arial"/>
                <w:b w:val="0"/>
                <w:bCs w:val="0"/>
                <w:color w:val="1C2833"/>
                <w:sz w:val="20"/>
                <w:szCs w:val="20"/>
              </w:rPr>
              <w:t>Session is logically sequenced, well-scaffolded, and demonstrably aligned to adult learning principles</w:t>
            </w:r>
          </w:p>
        </w:tc>
        <w:tc>
          <w:tcPr>
            <w:tcW w:w="12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9F16680">
            <w:r>
              <w:rPr>
                <w:rFonts w:ascii="Arial" w:hAnsi="Arial" w:eastAsia="Arial" w:cs="Arial"/>
                <w:b w:val="0"/>
                <w:bCs w:val="0"/>
                <w:color w:val="1C2833"/>
                <w:sz w:val="20"/>
                <w:szCs w:val="20"/>
              </w:rPr>
              <w:t>20%</w:t>
            </w:r>
          </w:p>
        </w:tc>
      </w:tr>
      <w:tr w14:paraId="5552A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8287E25">
            <w:r>
              <w:rPr>
                <w:rFonts w:ascii="Arial" w:hAnsi="Arial" w:eastAsia="Arial" w:cs="Arial"/>
                <w:b w:val="0"/>
                <w:bCs w:val="0"/>
                <w:color w:val="1C2833"/>
                <w:sz w:val="20"/>
                <w:szCs w:val="20"/>
              </w:rPr>
              <w:t>Facilitation / Conference Skill</w:t>
            </w:r>
          </w:p>
        </w:tc>
        <w:tc>
          <w:tcPr>
            <w:tcW w:w="43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0818F26">
            <w:r>
              <w:rPr>
                <w:rFonts w:ascii="Arial" w:hAnsi="Arial" w:eastAsia="Arial" w:cs="Arial"/>
                <w:b w:val="0"/>
                <w:bCs w:val="0"/>
                <w:color w:val="1C2833"/>
                <w:sz w:val="20"/>
                <w:szCs w:val="20"/>
              </w:rPr>
              <w:t>Participant demonstrates skilled facilitation or conference leadership; uses questions strategically; manages time effectively</w:t>
            </w:r>
          </w:p>
        </w:tc>
        <w:tc>
          <w:tcPr>
            <w:tcW w:w="12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98D8E51">
            <w:r>
              <w:rPr>
                <w:rFonts w:ascii="Arial" w:hAnsi="Arial" w:eastAsia="Arial" w:cs="Arial"/>
                <w:b w:val="0"/>
                <w:bCs w:val="0"/>
                <w:color w:val="1C2833"/>
                <w:sz w:val="20"/>
                <w:szCs w:val="20"/>
              </w:rPr>
              <w:t>25%</w:t>
            </w:r>
          </w:p>
        </w:tc>
      </w:tr>
      <w:tr w14:paraId="3CE4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43F7D88">
            <w:r>
              <w:rPr>
                <w:rFonts w:ascii="Arial" w:hAnsi="Arial" w:eastAsia="Arial" w:cs="Arial"/>
                <w:b w:val="0"/>
                <w:bCs w:val="0"/>
                <w:color w:val="1C2833"/>
                <w:sz w:val="20"/>
                <w:szCs w:val="20"/>
              </w:rPr>
              <w:t>Feedback &amp; Communication</w:t>
            </w:r>
          </w:p>
        </w:tc>
        <w:tc>
          <w:tcPr>
            <w:tcW w:w="43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CF2E32F">
            <w:r>
              <w:rPr>
                <w:rFonts w:ascii="Arial" w:hAnsi="Arial" w:eastAsia="Arial" w:cs="Arial"/>
                <w:b w:val="0"/>
                <w:bCs w:val="0"/>
                <w:color w:val="1C2833"/>
                <w:sz w:val="20"/>
                <w:szCs w:val="20"/>
              </w:rPr>
              <w:t>Verbal and non-verbal communication is professional, warm, clear, and evidence-based</w:t>
            </w:r>
          </w:p>
        </w:tc>
        <w:tc>
          <w:tcPr>
            <w:tcW w:w="12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1FC0302">
            <w:r>
              <w:rPr>
                <w:rFonts w:ascii="Arial" w:hAnsi="Arial" w:eastAsia="Arial" w:cs="Arial"/>
                <w:b w:val="0"/>
                <w:bCs w:val="0"/>
                <w:color w:val="1C2833"/>
                <w:sz w:val="20"/>
                <w:szCs w:val="20"/>
              </w:rPr>
              <w:t>20%</w:t>
            </w:r>
          </w:p>
        </w:tc>
      </w:tr>
      <w:tr w14:paraId="1622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18B8F42">
            <w:r>
              <w:rPr>
                <w:rFonts w:ascii="Arial" w:hAnsi="Arial" w:eastAsia="Arial" w:cs="Arial"/>
                <w:b w:val="0"/>
                <w:bCs w:val="0"/>
                <w:color w:val="1C2833"/>
                <w:sz w:val="20"/>
                <w:szCs w:val="20"/>
              </w:rPr>
              <w:t>Supervisory Competency</w:t>
            </w:r>
          </w:p>
        </w:tc>
        <w:tc>
          <w:tcPr>
            <w:tcW w:w="43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BB758C5">
            <w:r>
              <w:rPr>
                <w:rFonts w:ascii="Arial" w:hAnsi="Arial" w:eastAsia="Arial" w:cs="Arial"/>
                <w:b w:val="0"/>
                <w:bCs w:val="0"/>
                <w:color w:val="1C2833"/>
                <w:sz w:val="20"/>
                <w:szCs w:val="20"/>
              </w:rPr>
              <w:t>Participant demonstrates the appropriate supervision model for the context and manages the relationship with skill</w:t>
            </w:r>
          </w:p>
        </w:tc>
        <w:tc>
          <w:tcPr>
            <w:tcW w:w="12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A9CCFA6">
            <w:r>
              <w:rPr>
                <w:rFonts w:ascii="Arial" w:hAnsi="Arial" w:eastAsia="Arial" w:cs="Arial"/>
                <w:b w:val="0"/>
                <w:bCs w:val="0"/>
                <w:color w:val="1C2833"/>
                <w:sz w:val="20"/>
                <w:szCs w:val="20"/>
              </w:rPr>
              <w:t>15%</w:t>
            </w:r>
          </w:p>
        </w:tc>
      </w:tr>
      <w:tr w14:paraId="2DDFF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06DD22D">
            <w:r>
              <w:rPr>
                <w:rFonts w:ascii="Arial" w:hAnsi="Arial" w:eastAsia="Arial" w:cs="Arial"/>
                <w:b w:val="0"/>
                <w:bCs w:val="0"/>
                <w:color w:val="1C2833"/>
                <w:sz w:val="20"/>
                <w:szCs w:val="20"/>
              </w:rPr>
              <w:t>Reflective Practice</w:t>
            </w:r>
          </w:p>
        </w:tc>
        <w:tc>
          <w:tcPr>
            <w:tcW w:w="43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FBD46EE">
            <w:r>
              <w:rPr>
                <w:rFonts w:ascii="Arial" w:hAnsi="Arial" w:eastAsia="Arial" w:cs="Arial"/>
                <w:b w:val="0"/>
                <w:bCs w:val="0"/>
                <w:color w:val="1C2833"/>
                <w:sz w:val="20"/>
                <w:szCs w:val="20"/>
              </w:rPr>
              <w:t>Participant demonstrates genuine self-awareness in post-demonstration reflection and connects experience to theory</w:t>
            </w:r>
          </w:p>
        </w:tc>
        <w:tc>
          <w:tcPr>
            <w:tcW w:w="12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E6A60DD">
            <w:r>
              <w:rPr>
                <w:rFonts w:ascii="Arial" w:hAnsi="Arial" w:eastAsia="Arial" w:cs="Arial"/>
                <w:b w:val="0"/>
                <w:bCs w:val="0"/>
                <w:color w:val="1C2833"/>
                <w:sz w:val="20"/>
                <w:szCs w:val="20"/>
              </w:rPr>
              <w:t>10%</w:t>
            </w:r>
          </w:p>
        </w:tc>
      </w:tr>
    </w:tbl>
    <w:p w14:paraId="244C0E1F">
      <w:pPr>
        <w:spacing w:after="120"/>
      </w:pPr>
    </w:p>
    <w:p w14:paraId="473EA679">
      <w:pPr>
        <w:pStyle w:val="3"/>
        <w:pBdr>
          <w:bottom w:val="single" w:color="2E86C1" w:sz="8" w:space="4"/>
        </w:pBdr>
      </w:pPr>
      <w:r>
        <w:rPr>
          <w:rFonts w:ascii="Arial" w:hAnsi="Arial" w:eastAsia="Arial" w:cs="Arial"/>
          <w:b/>
          <w:bCs/>
          <w:color w:val="1B4F72"/>
          <w:sz w:val="28"/>
          <w:szCs w:val="28"/>
        </w:rPr>
        <w:t>Competency Assessment — Final Ratings</w:t>
      </w:r>
    </w:p>
    <w:p w14:paraId="1B9A2F1C">
      <w:pPr>
        <w:spacing w:before="60" w:after="120"/>
      </w:pPr>
      <w:r>
        <w:rPr>
          <w:rFonts w:ascii="Arial" w:hAnsi="Arial" w:eastAsia="Arial" w:cs="Arial"/>
          <w:color w:val="1C2833"/>
          <w:sz w:val="22"/>
          <w:szCs w:val="22"/>
        </w:rPr>
        <w:t>At the end of the program, the facilitator produces a final Competency Assessment for each participant, rating performance against each of the five program domains on a four-level scale: Emerging (competency is developing but not yet consistently demonstrated), Developing (competency is evident in supported contexts), Proficient (competency is consistently demonstrated in most contexts), and Advanced (competency is demonstrated fluently across all contexts and extended to support others' development).</w:t>
      </w:r>
    </w:p>
    <w:p w14:paraId="7998EED6">
      <w:pPr>
        <w:spacing w:before="60" w:after="120"/>
      </w:pPr>
      <w:r>
        <w:rPr>
          <w:rFonts w:ascii="Arial" w:hAnsi="Arial" w:eastAsia="Arial" w:cs="Arial"/>
          <w:color w:val="1C2833"/>
          <w:sz w:val="22"/>
          <w:szCs w:val="22"/>
        </w:rPr>
        <w:t>Participants must achieve a minimum Proficient rating in all five domains to receive the program certificate of completion.</w:t>
      </w:r>
    </w:p>
    <w:p w14:paraId="22151857">
      <w:r>
        <w:br w:type="page"/>
      </w:r>
    </w:p>
    <w:p w14:paraId="1D7F50AB">
      <w:pPr>
        <w:pStyle w:val="2"/>
        <w:shd w:val="clear" w:fill="E36C09" w:themeFill="accent6" w:themeFillShade="BF"/>
        <w:spacing w:before="0" w:after="200"/>
        <w:ind w:right="240"/>
      </w:pPr>
      <w:r>
        <w:rPr>
          <w:rFonts w:ascii="Arial" w:hAnsi="Arial" w:eastAsia="Arial" w:cs="Arial"/>
          <w:b/>
          <w:bCs/>
          <w:color w:val="FFFFFF"/>
          <w:sz w:val="38"/>
          <w:szCs w:val="38"/>
        </w:rPr>
        <w:t>APPENDICES</w:t>
      </w:r>
    </w:p>
    <w:p w14:paraId="0E2C150E">
      <w:pPr>
        <w:pStyle w:val="3"/>
        <w:pBdr>
          <w:bottom w:val="single" w:color="2E86C1" w:sz="8" w:space="4"/>
        </w:pBdr>
      </w:pPr>
      <w:r>
        <w:rPr>
          <w:rFonts w:ascii="Arial" w:hAnsi="Arial" w:eastAsia="Arial" w:cs="Arial"/>
          <w:b/>
          <w:bCs/>
          <w:color w:val="1B4F72"/>
          <w:sz w:val="28"/>
          <w:szCs w:val="28"/>
        </w:rPr>
        <w:t>Appendix A: Glossary of Key Terms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2381477D">
        <w:tblPrEx>
          <w:tblCellMar>
            <w:top w:w="0" w:type="dxa"/>
            <w:left w:w="10" w:type="dxa"/>
            <w:bottom w:w="0" w:type="dxa"/>
            <w:right w:w="10" w:type="dxa"/>
          </w:tblCellMar>
        </w:tblPrEx>
        <w:trPr>
          <w:tblHeade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3D30E38F">
            <w:r>
              <w:rPr>
                <w:rFonts w:ascii="Arial" w:hAnsi="Arial" w:eastAsia="Arial" w:cs="Arial"/>
                <w:b/>
                <w:bCs/>
                <w:color w:val="FFFFFF"/>
                <w:sz w:val="22"/>
                <w:szCs w:val="22"/>
              </w:rPr>
              <w:t>Term</w:t>
            </w:r>
          </w:p>
        </w:tc>
        <w:tc>
          <w:tcPr>
            <w:tcW w:w="6726"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2F4E59AC">
            <w:r>
              <w:rPr>
                <w:rFonts w:ascii="Arial" w:hAnsi="Arial" w:eastAsia="Arial" w:cs="Arial"/>
                <w:b/>
                <w:bCs/>
                <w:color w:val="FFFFFF"/>
                <w:sz w:val="22"/>
                <w:szCs w:val="22"/>
              </w:rPr>
              <w:t>Definition</w:t>
            </w:r>
          </w:p>
        </w:tc>
      </w:tr>
      <w:tr w14:paraId="57E9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CD3B61C">
            <w:r>
              <w:rPr>
                <w:rFonts w:ascii="Arial" w:hAnsi="Arial" w:eastAsia="Arial" w:cs="Arial"/>
                <w:b w:val="0"/>
                <w:bCs w:val="0"/>
                <w:color w:val="1C2833"/>
                <w:sz w:val="20"/>
                <w:szCs w:val="20"/>
              </w:rPr>
              <w:t>Andragogy</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478DCE8">
            <w:r>
              <w:rPr>
                <w:rFonts w:ascii="Arial" w:hAnsi="Arial" w:eastAsia="Arial" w:cs="Arial"/>
                <w:b w:val="0"/>
                <w:bCs w:val="0"/>
                <w:color w:val="1C2833"/>
                <w:sz w:val="20"/>
                <w:szCs w:val="20"/>
              </w:rPr>
              <w:t>Malcolm Knowles' term for the theory and practice of adult learning, distinguished from pedagogy by its assumptions about adult learners' self-directedness, experience, and motivation.</w:t>
            </w:r>
          </w:p>
        </w:tc>
      </w:tr>
      <w:tr w14:paraId="27320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0A6114A">
            <w:r>
              <w:rPr>
                <w:rFonts w:ascii="Arial" w:hAnsi="Arial" w:eastAsia="Arial" w:cs="Arial"/>
                <w:b w:val="0"/>
                <w:bCs w:val="0"/>
                <w:color w:val="1C2833"/>
                <w:sz w:val="20"/>
                <w:szCs w:val="20"/>
              </w:rPr>
              <w:t>BET Model</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32A076A">
            <w:r>
              <w:rPr>
                <w:rFonts w:ascii="Arial" w:hAnsi="Arial" w:eastAsia="Arial" w:cs="Arial"/>
                <w:b w:val="0"/>
                <w:bCs w:val="0"/>
                <w:color w:val="1C2833"/>
                <w:sz w:val="20"/>
                <w:szCs w:val="20"/>
              </w:rPr>
              <w:t>A structured feedback framework: Behaviour (what specifically was observed), Evidence (what data supports this), Target (what specifically should change or be maintained).</w:t>
            </w:r>
          </w:p>
        </w:tc>
      </w:tr>
      <w:tr w14:paraId="3F38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98782DA">
            <w:r>
              <w:rPr>
                <w:rFonts w:ascii="Arial" w:hAnsi="Arial" w:eastAsia="Arial" w:cs="Arial"/>
                <w:b w:val="0"/>
                <w:bCs w:val="0"/>
                <w:color w:val="1C2833"/>
                <w:sz w:val="20"/>
                <w:szCs w:val="20"/>
              </w:rPr>
              <w:t>Backward Design (UbD)</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371FDE3">
            <w:r>
              <w:rPr>
                <w:rFonts w:ascii="Arial" w:hAnsi="Arial" w:eastAsia="Arial" w:cs="Arial"/>
                <w:b w:val="0"/>
                <w:bCs w:val="0"/>
                <w:color w:val="1C2833"/>
                <w:sz w:val="20"/>
                <w:szCs w:val="20"/>
              </w:rPr>
              <w:t>Grant Wiggins and Jay McTighe's curriculum design approach that begins with desired learning outcomes, then designs assessment, then plans instruction.</w:t>
            </w:r>
          </w:p>
        </w:tc>
      </w:tr>
      <w:tr w14:paraId="1610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3A5BFA8">
            <w:r>
              <w:rPr>
                <w:rFonts w:ascii="Arial" w:hAnsi="Arial" w:eastAsia="Arial" w:cs="Arial"/>
                <w:b w:val="0"/>
                <w:bCs w:val="0"/>
                <w:color w:val="1C2833"/>
                <w:sz w:val="20"/>
                <w:szCs w:val="20"/>
              </w:rPr>
              <w:t>Bloom's Taxonomy</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10B9711">
            <w:r>
              <w:rPr>
                <w:rFonts w:ascii="Arial" w:hAnsi="Arial" w:eastAsia="Arial" w:cs="Arial"/>
                <w:b w:val="0"/>
                <w:bCs w:val="0"/>
                <w:color w:val="1C2833"/>
                <w:sz w:val="20"/>
                <w:szCs w:val="20"/>
              </w:rPr>
              <w:t>A hierarchical classification of cognitive objectives (Remember, Understand, Apply, Analyse, Evaluate, Create) used to ensure learning objectives address different cognitive levels.</w:t>
            </w:r>
          </w:p>
        </w:tc>
      </w:tr>
      <w:tr w14:paraId="254C0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265DB39">
            <w:r>
              <w:rPr>
                <w:rFonts w:ascii="Arial" w:hAnsi="Arial" w:eastAsia="Arial" w:cs="Arial"/>
                <w:b w:val="0"/>
                <w:bCs w:val="0"/>
                <w:color w:val="1C2833"/>
                <w:sz w:val="20"/>
                <w:szCs w:val="20"/>
              </w:rPr>
              <w:t>CCQ</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FD7E60E">
            <w:r>
              <w:rPr>
                <w:rFonts w:ascii="Arial" w:hAnsi="Arial" w:eastAsia="Arial" w:cs="Arial"/>
                <w:b w:val="0"/>
                <w:bCs w:val="0"/>
                <w:color w:val="1C2833"/>
                <w:sz w:val="20"/>
                <w:szCs w:val="20"/>
              </w:rPr>
              <w:t>Concept Check Question: a question used to verify that a learner has understood a concept or idea before proceeding.</w:t>
            </w:r>
          </w:p>
        </w:tc>
      </w:tr>
      <w:tr w14:paraId="09D86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11F06A1">
            <w:r>
              <w:rPr>
                <w:rFonts w:ascii="Arial" w:hAnsi="Arial" w:eastAsia="Arial" w:cs="Arial"/>
                <w:b w:val="0"/>
                <w:bCs w:val="0"/>
                <w:color w:val="1C2833"/>
                <w:sz w:val="20"/>
                <w:szCs w:val="20"/>
              </w:rPr>
              <w:t>Clinical Supervision</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335A395">
            <w:r>
              <w:rPr>
                <w:rFonts w:ascii="Arial" w:hAnsi="Arial" w:eastAsia="Arial" w:cs="Arial"/>
                <w:b w:val="0"/>
                <w:bCs w:val="0"/>
                <w:color w:val="1C2833"/>
                <w:sz w:val="20"/>
                <w:szCs w:val="20"/>
              </w:rPr>
              <w:t>A supervision model (Goldhammer, 1969) structured around a formal pre-observation conference, lesson observation, data analysis, and post-observation conference.</w:t>
            </w:r>
          </w:p>
        </w:tc>
      </w:tr>
      <w:tr w14:paraId="6F46F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1EF8B75">
            <w:r>
              <w:rPr>
                <w:rFonts w:ascii="Arial" w:hAnsi="Arial" w:eastAsia="Arial" w:cs="Arial"/>
                <w:b w:val="0"/>
                <w:bCs w:val="0"/>
                <w:color w:val="1C2833"/>
                <w:sz w:val="20"/>
                <w:szCs w:val="20"/>
              </w:rPr>
              <w:t>Cognitive Coaching</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D61F08B">
            <w:r>
              <w:rPr>
                <w:rFonts w:ascii="Arial" w:hAnsi="Arial" w:eastAsia="Arial" w:cs="Arial"/>
                <w:b w:val="0"/>
                <w:bCs w:val="0"/>
                <w:color w:val="1C2833"/>
                <w:sz w:val="20"/>
                <w:szCs w:val="20"/>
              </w:rPr>
              <w:t>A non-evaluative supervision approach (Costa &amp; Garmston) that uses mediated questioning to activate and expand the supervisee's thinking rather than providing direct feedback or advice.</w:t>
            </w:r>
          </w:p>
        </w:tc>
      </w:tr>
      <w:tr w14:paraId="443B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D5C7E2C">
            <w:r>
              <w:rPr>
                <w:rFonts w:ascii="Arial" w:hAnsi="Arial" w:eastAsia="Arial" w:cs="Arial"/>
                <w:b w:val="0"/>
                <w:bCs w:val="0"/>
                <w:color w:val="1C2833"/>
                <w:sz w:val="20"/>
                <w:szCs w:val="20"/>
              </w:rPr>
              <w:t>Cognitive Load Theory</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D48932A">
            <w:r>
              <w:rPr>
                <w:rFonts w:ascii="Arial" w:hAnsi="Arial" w:eastAsia="Arial" w:cs="Arial"/>
                <w:b w:val="0"/>
                <w:bCs w:val="0"/>
                <w:color w:val="1C2833"/>
                <w:sz w:val="20"/>
                <w:szCs w:val="20"/>
              </w:rPr>
              <w:t>John Sweller's theory that working memory has limited capacity and that effective instruction must manage the total cognitive load placed on the learner.</w:t>
            </w:r>
          </w:p>
        </w:tc>
      </w:tr>
      <w:tr w14:paraId="1267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37C311E">
            <w:r>
              <w:rPr>
                <w:rFonts w:ascii="Arial" w:hAnsi="Arial" w:eastAsia="Arial" w:cs="Arial"/>
                <w:b w:val="0"/>
                <w:bCs w:val="0"/>
                <w:color w:val="1C2833"/>
                <w:sz w:val="20"/>
                <w:szCs w:val="20"/>
              </w:rPr>
              <w:t>Constructivism</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AFD9275">
            <w:r>
              <w:rPr>
                <w:rFonts w:ascii="Arial" w:hAnsi="Arial" w:eastAsia="Arial" w:cs="Arial"/>
                <w:b w:val="0"/>
                <w:bCs w:val="0"/>
                <w:color w:val="1C2833"/>
                <w:sz w:val="20"/>
                <w:szCs w:val="20"/>
              </w:rPr>
              <w:t>A learning theory, associated with Vygotsky and Piaget, holding that learners actively construct knowledge through experience and social interaction rather than passively receiving it.</w:t>
            </w:r>
          </w:p>
        </w:tc>
      </w:tr>
      <w:tr w14:paraId="0E1E2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458B0DB">
            <w:r>
              <w:rPr>
                <w:rFonts w:ascii="Arial" w:hAnsi="Arial" w:eastAsia="Arial" w:cs="Arial"/>
                <w:b w:val="0"/>
                <w:bCs w:val="0"/>
                <w:color w:val="1C2833"/>
                <w:sz w:val="20"/>
                <w:szCs w:val="20"/>
              </w:rPr>
              <w:t>Developmental Supervision</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C89ABAC">
            <w:r>
              <w:rPr>
                <w:rFonts w:ascii="Arial" w:hAnsi="Arial" w:eastAsia="Arial" w:cs="Arial"/>
                <w:b w:val="0"/>
                <w:bCs w:val="0"/>
                <w:color w:val="1C2833"/>
                <w:sz w:val="20"/>
                <w:szCs w:val="20"/>
              </w:rPr>
              <w:t>Carl Glickman's model matching supervisory approaches (directive, collaborative, non-directive) to the teacher's professional development level.</w:t>
            </w:r>
          </w:p>
        </w:tc>
      </w:tr>
      <w:tr w14:paraId="7B08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537408D">
            <w:r>
              <w:rPr>
                <w:rFonts w:ascii="Arial" w:hAnsi="Arial" w:eastAsia="Arial" w:cs="Arial"/>
                <w:b w:val="0"/>
                <w:bCs w:val="0"/>
                <w:color w:val="1C2833"/>
                <w:sz w:val="20"/>
                <w:szCs w:val="20"/>
              </w:rPr>
              <w:t>Differentiation</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B34958D">
            <w:r>
              <w:rPr>
                <w:rFonts w:ascii="Arial" w:hAnsi="Arial" w:eastAsia="Arial" w:cs="Arial"/>
                <w:b w:val="0"/>
                <w:bCs w:val="0"/>
                <w:color w:val="1C2833"/>
                <w:sz w:val="20"/>
                <w:szCs w:val="20"/>
              </w:rPr>
              <w:t>The practice of designing training that addresses a range of learner profiles, experience levels, and needs within a single learning environment.</w:t>
            </w:r>
          </w:p>
        </w:tc>
      </w:tr>
      <w:tr w14:paraId="0235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075A551">
            <w:r>
              <w:rPr>
                <w:rFonts w:ascii="Arial" w:hAnsi="Arial" w:eastAsia="Arial" w:cs="Arial"/>
                <w:b w:val="0"/>
                <w:bCs w:val="0"/>
                <w:color w:val="1C2833"/>
                <w:sz w:val="20"/>
                <w:szCs w:val="20"/>
              </w:rPr>
              <w:t>GROW Model</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7B1DA04">
            <w:r>
              <w:rPr>
                <w:rFonts w:ascii="Arial" w:hAnsi="Arial" w:eastAsia="Arial" w:cs="Arial"/>
                <w:b w:val="0"/>
                <w:bCs w:val="0"/>
                <w:color w:val="1C2833"/>
                <w:sz w:val="20"/>
                <w:szCs w:val="20"/>
              </w:rPr>
              <w:t>A coaching framework: Goal (what do you want to achieve?), Reality (what is happening now?), Options (what could you do?), Will (what will you do?).</w:t>
            </w:r>
          </w:p>
        </w:tc>
      </w:tr>
      <w:tr w14:paraId="4FFFF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CCD7837">
            <w:r>
              <w:rPr>
                <w:rFonts w:ascii="Arial" w:hAnsi="Arial" w:eastAsia="Arial" w:cs="Arial"/>
                <w:b w:val="0"/>
                <w:bCs w:val="0"/>
                <w:color w:val="1C2833"/>
                <w:sz w:val="20"/>
                <w:szCs w:val="20"/>
              </w:rPr>
              <w:t>ICQ</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8661EB5">
            <w:r>
              <w:rPr>
                <w:rFonts w:ascii="Arial" w:hAnsi="Arial" w:eastAsia="Arial" w:cs="Arial"/>
                <w:b w:val="0"/>
                <w:bCs w:val="0"/>
                <w:color w:val="1C2833"/>
                <w:sz w:val="20"/>
                <w:szCs w:val="20"/>
              </w:rPr>
              <w:t>Instruction Check Question: a question used to verify that a learner has understood a task or instruction before attempting it.</w:t>
            </w:r>
          </w:p>
        </w:tc>
      </w:tr>
      <w:tr w14:paraId="53BF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63412D0">
            <w:r>
              <w:rPr>
                <w:rFonts w:ascii="Arial" w:hAnsi="Arial" w:eastAsia="Arial" w:cs="Arial"/>
                <w:b w:val="0"/>
                <w:bCs w:val="0"/>
                <w:color w:val="1C2833"/>
                <w:sz w:val="20"/>
                <w:szCs w:val="20"/>
              </w:rPr>
              <w:t>Inter-rater Reliability</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BE2DF13">
            <w:r>
              <w:rPr>
                <w:rFonts w:ascii="Arial" w:hAnsi="Arial" w:eastAsia="Arial" w:cs="Arial"/>
                <w:b w:val="0"/>
                <w:bCs w:val="0"/>
                <w:color w:val="1C2833"/>
                <w:sz w:val="20"/>
                <w:szCs w:val="20"/>
              </w:rPr>
              <w:t>The degree to which two or more assessors produce consistent scores when evaluating the same performance using the same criteria.</w:t>
            </w:r>
          </w:p>
        </w:tc>
      </w:tr>
      <w:tr w14:paraId="60954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ED662E0">
            <w:r>
              <w:rPr>
                <w:rFonts w:ascii="Arial" w:hAnsi="Arial" w:eastAsia="Arial" w:cs="Arial"/>
                <w:b w:val="0"/>
                <w:bCs w:val="0"/>
                <w:color w:val="1C2833"/>
                <w:sz w:val="20"/>
                <w:szCs w:val="20"/>
              </w:rPr>
              <w:t>Needs Analysis</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6C8227A">
            <w:r>
              <w:rPr>
                <w:rFonts w:ascii="Arial" w:hAnsi="Arial" w:eastAsia="Arial" w:cs="Arial"/>
                <w:b w:val="0"/>
                <w:bCs w:val="0"/>
                <w:color w:val="1C2833"/>
                <w:sz w:val="20"/>
                <w:szCs w:val="20"/>
              </w:rPr>
              <w:t>A systematic process of identifying the gap between current performance and desired performance to inform training design.</w:t>
            </w:r>
          </w:p>
        </w:tc>
      </w:tr>
      <w:tr w14:paraId="2D121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1D73DE5">
            <w:r>
              <w:rPr>
                <w:rFonts w:ascii="Arial" w:hAnsi="Arial" w:eastAsia="Arial" w:cs="Arial"/>
                <w:b w:val="0"/>
                <w:bCs w:val="0"/>
                <w:color w:val="1C2833"/>
                <w:sz w:val="20"/>
                <w:szCs w:val="20"/>
              </w:rPr>
              <w:t>Peer Supervision</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8F37F16">
            <w:r>
              <w:rPr>
                <w:rFonts w:ascii="Arial" w:hAnsi="Arial" w:eastAsia="Arial" w:cs="Arial"/>
                <w:b w:val="0"/>
                <w:bCs w:val="0"/>
                <w:color w:val="1C2833"/>
                <w:sz w:val="20"/>
                <w:szCs w:val="20"/>
              </w:rPr>
              <w:t>A structured professional observation and reflection arrangement between colleagues at similar levels, designed to support mutual professional growth without evaluative power dynamics.</w:t>
            </w:r>
          </w:p>
        </w:tc>
      </w:tr>
      <w:tr w14:paraId="0420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F9A208D">
            <w:r>
              <w:rPr>
                <w:rFonts w:ascii="Arial" w:hAnsi="Arial" w:eastAsia="Arial" w:cs="Arial"/>
                <w:b w:val="0"/>
                <w:bCs w:val="0"/>
                <w:color w:val="1C2833"/>
                <w:sz w:val="20"/>
                <w:szCs w:val="20"/>
              </w:rPr>
              <w:t>PLC</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992F6E8">
            <w:r>
              <w:rPr>
                <w:rFonts w:ascii="Arial" w:hAnsi="Arial" w:eastAsia="Arial" w:cs="Arial"/>
                <w:b w:val="0"/>
                <w:bCs w:val="0"/>
                <w:color w:val="1C2833"/>
                <w:sz w:val="20"/>
                <w:szCs w:val="20"/>
              </w:rPr>
              <w:t>Professional Learning Community: a structured, sustained, collaborative professional learning arrangement in which educators work together to examine and improve practice.</w:t>
            </w:r>
          </w:p>
        </w:tc>
      </w:tr>
      <w:tr w14:paraId="5EB8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302600A">
            <w:r>
              <w:rPr>
                <w:rFonts w:ascii="Arial" w:hAnsi="Arial" w:eastAsia="Arial" w:cs="Arial"/>
                <w:b w:val="0"/>
                <w:bCs w:val="0"/>
                <w:color w:val="1C2833"/>
                <w:sz w:val="20"/>
                <w:szCs w:val="20"/>
              </w:rPr>
              <w:t>Portfolio Assessment</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E43ECDA">
            <w:r>
              <w:rPr>
                <w:rFonts w:ascii="Arial" w:hAnsi="Arial" w:eastAsia="Arial" w:cs="Arial"/>
                <w:b w:val="0"/>
                <w:bCs w:val="0"/>
                <w:color w:val="1C2833"/>
                <w:sz w:val="20"/>
                <w:szCs w:val="20"/>
              </w:rPr>
              <w:t>A form of assessment in which the learner curates a collection of evidence of their learning and development, accompanied by reflective commentary.</w:t>
            </w:r>
          </w:p>
        </w:tc>
      </w:tr>
      <w:tr w14:paraId="6233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2EBF35B">
            <w:r>
              <w:rPr>
                <w:rFonts w:ascii="Arial" w:hAnsi="Arial" w:eastAsia="Arial" w:cs="Arial"/>
                <w:b w:val="0"/>
                <w:bCs w:val="0"/>
                <w:color w:val="1C2833"/>
                <w:sz w:val="20"/>
                <w:szCs w:val="20"/>
              </w:rPr>
              <w:t>Reflective Practice</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9996EB3">
            <w:r>
              <w:rPr>
                <w:rFonts w:ascii="Arial" w:hAnsi="Arial" w:eastAsia="Arial" w:cs="Arial"/>
                <w:b w:val="0"/>
                <w:bCs w:val="0"/>
                <w:color w:val="1C2833"/>
                <w:sz w:val="20"/>
                <w:szCs w:val="20"/>
              </w:rPr>
              <w:t>Donald Schön's framework for professional learning through systematic reflection on professional experience (reflection-in-action and reflection-on-action).</w:t>
            </w:r>
          </w:p>
        </w:tc>
      </w:tr>
      <w:tr w14:paraId="11F7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EC5DFF6">
            <w:r>
              <w:rPr>
                <w:rFonts w:ascii="Arial" w:hAnsi="Arial" w:eastAsia="Arial" w:cs="Arial"/>
                <w:b w:val="0"/>
                <w:bCs w:val="0"/>
                <w:color w:val="1C2833"/>
                <w:sz w:val="20"/>
                <w:szCs w:val="20"/>
              </w:rPr>
              <w:t>Scaffolding</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F0F13E6">
            <w:r>
              <w:rPr>
                <w:rFonts w:ascii="Arial" w:hAnsi="Arial" w:eastAsia="Arial" w:cs="Arial"/>
                <w:b w:val="0"/>
                <w:bCs w:val="0"/>
                <w:color w:val="1C2833"/>
                <w:sz w:val="20"/>
                <w:szCs w:val="20"/>
              </w:rPr>
              <w:t>Temporary instructional support that enables a learner to accomplish a task beyond their current independent capability; based on Vygotsky's Zone of Proximal Development.</w:t>
            </w:r>
          </w:p>
        </w:tc>
      </w:tr>
      <w:tr w14:paraId="3CE77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E0A3CC4">
            <w:r>
              <w:rPr>
                <w:rFonts w:ascii="Arial" w:hAnsi="Arial" w:eastAsia="Arial" w:cs="Arial"/>
                <w:b w:val="0"/>
                <w:bCs w:val="0"/>
                <w:color w:val="1C2833"/>
                <w:sz w:val="20"/>
                <w:szCs w:val="20"/>
              </w:rPr>
              <w:t>Self-Determination Theory</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CE60D0F">
            <w:r>
              <w:rPr>
                <w:rFonts w:ascii="Arial" w:hAnsi="Arial" w:eastAsia="Arial" w:cs="Arial"/>
                <w:b w:val="0"/>
                <w:bCs w:val="0"/>
                <w:color w:val="1C2833"/>
                <w:sz w:val="20"/>
                <w:szCs w:val="20"/>
              </w:rPr>
              <w:t>Deci and Ryan's motivational theory positing that human beings have three core psychological needs: autonomy, competence, and relatedness.</w:t>
            </w:r>
          </w:p>
        </w:tc>
      </w:tr>
      <w:tr w14:paraId="351B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3E30CB0">
            <w:r>
              <w:rPr>
                <w:rFonts w:ascii="Arial" w:hAnsi="Arial" w:eastAsia="Arial" w:cs="Arial"/>
                <w:b w:val="0"/>
                <w:bCs w:val="0"/>
                <w:color w:val="1C2833"/>
                <w:sz w:val="20"/>
                <w:szCs w:val="20"/>
              </w:rPr>
              <w:t>SMART Objectives</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2DAFEAC">
            <w:r>
              <w:rPr>
                <w:rFonts w:ascii="Arial" w:hAnsi="Arial" w:eastAsia="Arial" w:cs="Arial"/>
                <w:b w:val="0"/>
                <w:bCs w:val="0"/>
                <w:color w:val="1C2833"/>
                <w:sz w:val="20"/>
                <w:szCs w:val="20"/>
              </w:rPr>
              <w:t>Learning objectives that are Specific, Measurable, Achievable, Relevant, and Time-bound.</w:t>
            </w:r>
          </w:p>
        </w:tc>
      </w:tr>
      <w:tr w14:paraId="0171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04C1B2E">
            <w:r>
              <w:rPr>
                <w:rFonts w:ascii="Arial" w:hAnsi="Arial" w:eastAsia="Arial" w:cs="Arial"/>
                <w:b w:val="0"/>
                <w:bCs w:val="0"/>
                <w:color w:val="1C2833"/>
                <w:sz w:val="20"/>
                <w:szCs w:val="20"/>
              </w:rPr>
              <w:t>Socratic Questioning</w:t>
            </w:r>
          </w:p>
        </w:tc>
        <w:tc>
          <w:tcPr>
            <w:tcW w:w="67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0009756">
            <w:r>
              <w:rPr>
                <w:rFonts w:ascii="Arial" w:hAnsi="Arial" w:eastAsia="Arial" w:cs="Arial"/>
                <w:b w:val="0"/>
                <w:bCs w:val="0"/>
                <w:color w:val="1C2833"/>
                <w:sz w:val="20"/>
                <w:szCs w:val="20"/>
              </w:rPr>
              <w:t>A questioning method, derived from Socrates, that uses carefully sequenced questions to guide a learner toward understanding rather than directly providing information.</w:t>
            </w:r>
          </w:p>
        </w:tc>
      </w:tr>
      <w:tr w14:paraId="42154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6B6A8A5">
            <w:r>
              <w:rPr>
                <w:rFonts w:ascii="Arial" w:hAnsi="Arial" w:eastAsia="Arial" w:cs="Arial"/>
                <w:b w:val="0"/>
                <w:bCs w:val="0"/>
                <w:color w:val="1C2833"/>
                <w:sz w:val="20"/>
                <w:szCs w:val="20"/>
              </w:rPr>
              <w:t>Zone of Proximal Development (ZPD)</w:t>
            </w:r>
          </w:p>
        </w:tc>
        <w:tc>
          <w:tcPr>
            <w:tcW w:w="67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612ED7E">
            <w:r>
              <w:rPr>
                <w:rFonts w:ascii="Arial" w:hAnsi="Arial" w:eastAsia="Arial" w:cs="Arial"/>
                <w:b w:val="0"/>
                <w:bCs w:val="0"/>
                <w:color w:val="1C2833"/>
                <w:sz w:val="20"/>
                <w:szCs w:val="20"/>
              </w:rPr>
              <w:t>Vygotsky's concept describing the distance between what a learner can accomplish independently and what they can accomplish with support; the optimal target zone for scaffolded learning.</w:t>
            </w:r>
          </w:p>
        </w:tc>
      </w:tr>
    </w:tbl>
    <w:p w14:paraId="398471EB">
      <w:pPr>
        <w:spacing w:after="120"/>
      </w:pPr>
    </w:p>
    <w:p w14:paraId="317B3A1E">
      <w:r>
        <w:br w:type="page"/>
      </w:r>
    </w:p>
    <w:p w14:paraId="004CCB3A">
      <w:pPr>
        <w:pStyle w:val="3"/>
        <w:pBdr>
          <w:bottom w:val="single" w:color="2E86C1" w:sz="8" w:space="4"/>
        </w:pBdr>
      </w:pPr>
      <w:r>
        <w:rPr>
          <w:rFonts w:ascii="Arial" w:hAnsi="Arial" w:eastAsia="Arial" w:cs="Arial"/>
          <w:b/>
          <w:bCs/>
          <w:color w:val="1B4F72"/>
          <w:sz w:val="28"/>
          <w:szCs w:val="28"/>
        </w:rPr>
        <w:t>Appendix B: Recommended Reading List</w:t>
      </w:r>
    </w:p>
    <w:p w14:paraId="3CDB1415">
      <w:pPr>
        <w:spacing w:after="120"/>
      </w:pPr>
    </w:p>
    <w:p w14:paraId="1175C4FC">
      <w:pPr>
        <w:pStyle w:val="5"/>
      </w:pPr>
      <w:r>
        <w:rPr>
          <w:rFonts w:ascii="Arial" w:hAnsi="Arial" w:eastAsia="Arial" w:cs="Arial"/>
          <w:b/>
          <w:bCs/>
          <w:color w:val="0E6655"/>
          <w:sz w:val="22"/>
          <w:szCs w:val="22"/>
        </w:rPr>
        <w:t>Foundations of Supervision &amp; Professional Development</w:t>
      </w:r>
    </w:p>
    <w:p w14:paraId="7EC5E58E">
      <w:pPr>
        <w:pStyle w:val="16"/>
        <w:numPr>
          <w:ilvl w:val="0"/>
          <w:numId w:val="1"/>
        </w:numPr>
      </w:pPr>
      <w:r>
        <w:rPr>
          <w:rFonts w:ascii="Arial" w:hAnsi="Arial" w:eastAsia="Arial" w:cs="Arial"/>
          <w:b w:val="0"/>
          <w:bCs w:val="0"/>
          <w:color w:val="1C2833"/>
          <w:sz w:val="22"/>
          <w:szCs w:val="22"/>
        </w:rPr>
        <w:t>Glickman, C. D., Gordon, S. P., &amp; Ross-Gordon, J. M. (2014). Supervision and Instructional Leadership: A Developmental Approach. Pearson.</w:t>
      </w:r>
    </w:p>
    <w:p w14:paraId="3FB48261">
      <w:pPr>
        <w:pStyle w:val="16"/>
        <w:numPr>
          <w:ilvl w:val="0"/>
          <w:numId w:val="1"/>
        </w:numPr>
      </w:pPr>
      <w:r>
        <w:rPr>
          <w:rFonts w:ascii="Arial" w:hAnsi="Arial" w:eastAsia="Arial" w:cs="Arial"/>
          <w:b w:val="0"/>
          <w:bCs w:val="0"/>
          <w:color w:val="1C2833"/>
          <w:sz w:val="22"/>
          <w:szCs w:val="22"/>
        </w:rPr>
        <w:t>Goldhammer, R. (1969). Clinical Supervision: Special Methods for the Supervision of Teachers. Holt, Rinehart &amp; Winston.</w:t>
      </w:r>
    </w:p>
    <w:p w14:paraId="3D50379F">
      <w:pPr>
        <w:pStyle w:val="16"/>
        <w:numPr>
          <w:ilvl w:val="0"/>
          <w:numId w:val="1"/>
        </w:numPr>
      </w:pPr>
      <w:r>
        <w:rPr>
          <w:rFonts w:ascii="Arial" w:hAnsi="Arial" w:eastAsia="Arial" w:cs="Arial"/>
          <w:b w:val="0"/>
          <w:bCs w:val="0"/>
          <w:color w:val="1C2833"/>
          <w:sz w:val="22"/>
          <w:szCs w:val="22"/>
        </w:rPr>
        <w:t>Schön, D. A. (1983). The Reflective Practitioner: How Professionals Think in Action. Basic Books.</w:t>
      </w:r>
    </w:p>
    <w:p w14:paraId="04B44B73">
      <w:pPr>
        <w:pStyle w:val="16"/>
        <w:numPr>
          <w:ilvl w:val="0"/>
          <w:numId w:val="1"/>
        </w:numPr>
      </w:pPr>
      <w:r>
        <w:rPr>
          <w:rFonts w:ascii="Arial" w:hAnsi="Arial" w:eastAsia="Arial" w:cs="Arial"/>
          <w:b w:val="0"/>
          <w:bCs w:val="0"/>
          <w:color w:val="1C2833"/>
          <w:sz w:val="22"/>
          <w:szCs w:val="22"/>
        </w:rPr>
        <w:t>Sergiovanni, T. J., &amp; Starratt, R. J. (2007). Supervision: A Redefinition. McGraw-Hill.</w:t>
      </w:r>
    </w:p>
    <w:p w14:paraId="0079FD6C">
      <w:pPr>
        <w:spacing w:after="120"/>
      </w:pPr>
    </w:p>
    <w:p w14:paraId="57C5BF41">
      <w:pPr>
        <w:pStyle w:val="5"/>
      </w:pPr>
      <w:r>
        <w:rPr>
          <w:rFonts w:ascii="Arial" w:hAnsi="Arial" w:eastAsia="Arial" w:cs="Arial"/>
          <w:b/>
          <w:bCs/>
          <w:color w:val="0E6655"/>
          <w:sz w:val="22"/>
          <w:szCs w:val="22"/>
        </w:rPr>
        <w:t>Adult Learning &amp; Instructional Design</w:t>
      </w:r>
    </w:p>
    <w:p w14:paraId="3BC1AAEB">
      <w:pPr>
        <w:pStyle w:val="16"/>
        <w:numPr>
          <w:ilvl w:val="0"/>
          <w:numId w:val="1"/>
        </w:numPr>
      </w:pPr>
      <w:r>
        <w:rPr>
          <w:rFonts w:ascii="Arial" w:hAnsi="Arial" w:eastAsia="Arial" w:cs="Arial"/>
          <w:b w:val="0"/>
          <w:bCs w:val="0"/>
          <w:color w:val="1C2833"/>
          <w:sz w:val="22"/>
          <w:szCs w:val="22"/>
        </w:rPr>
        <w:t>Knowles, M. S., Holton, E. F., &amp; Swanson, R. A. (2015). The Adult Learner: The Definitive Classic in Adult Education and Human Resource Development. Routledge.</w:t>
      </w:r>
    </w:p>
    <w:p w14:paraId="3B2C10F1">
      <w:pPr>
        <w:pStyle w:val="16"/>
        <w:numPr>
          <w:ilvl w:val="0"/>
          <w:numId w:val="1"/>
        </w:numPr>
      </w:pPr>
      <w:r>
        <w:rPr>
          <w:rFonts w:ascii="Arial" w:hAnsi="Arial" w:eastAsia="Arial" w:cs="Arial"/>
          <w:b w:val="0"/>
          <w:bCs w:val="0"/>
          <w:color w:val="1C2833"/>
          <w:sz w:val="22"/>
          <w:szCs w:val="22"/>
        </w:rPr>
        <w:t>Kolb, D. A. (1984). Experiential Learning: Experience as the Source of Learning and Development. Prentice Hall.</w:t>
      </w:r>
    </w:p>
    <w:p w14:paraId="4D94AFB7">
      <w:pPr>
        <w:pStyle w:val="16"/>
        <w:numPr>
          <w:ilvl w:val="0"/>
          <w:numId w:val="1"/>
        </w:numPr>
      </w:pPr>
      <w:r>
        <w:rPr>
          <w:rFonts w:ascii="Arial" w:hAnsi="Arial" w:eastAsia="Arial" w:cs="Arial"/>
          <w:b w:val="0"/>
          <w:bCs w:val="0"/>
          <w:color w:val="1C2833"/>
          <w:sz w:val="22"/>
          <w:szCs w:val="22"/>
        </w:rPr>
        <w:t>Wiggins, G., &amp; McTighe, J. (2005). Understanding by Design (Expanded 2nd ed.). ASCD.</w:t>
      </w:r>
    </w:p>
    <w:p w14:paraId="52D04D0B">
      <w:pPr>
        <w:pStyle w:val="16"/>
        <w:numPr>
          <w:ilvl w:val="0"/>
          <w:numId w:val="1"/>
        </w:numPr>
      </w:pPr>
      <w:r>
        <w:rPr>
          <w:rFonts w:ascii="Arial" w:hAnsi="Arial" w:eastAsia="Arial" w:cs="Arial"/>
          <w:b w:val="0"/>
          <w:bCs w:val="0"/>
          <w:color w:val="1C2833"/>
          <w:sz w:val="22"/>
          <w:szCs w:val="22"/>
        </w:rPr>
        <w:t>Gagne, R. M., Briggs, L. J., &amp; Wager, W. W. (1992). Principles of Instructional Design. Harcourt Brace.</w:t>
      </w:r>
    </w:p>
    <w:p w14:paraId="6ACE13DD">
      <w:pPr>
        <w:spacing w:after="120"/>
      </w:pPr>
    </w:p>
    <w:p w14:paraId="26B2F85F">
      <w:pPr>
        <w:pStyle w:val="5"/>
      </w:pPr>
      <w:r>
        <w:rPr>
          <w:rFonts w:ascii="Arial" w:hAnsi="Arial" w:eastAsia="Arial" w:cs="Arial"/>
          <w:b/>
          <w:bCs/>
          <w:color w:val="0E6655"/>
          <w:sz w:val="22"/>
          <w:szCs w:val="22"/>
        </w:rPr>
        <w:t>Feedback, Communication &amp; Coaching</w:t>
      </w:r>
    </w:p>
    <w:p w14:paraId="0967D439">
      <w:pPr>
        <w:pStyle w:val="16"/>
        <w:numPr>
          <w:ilvl w:val="0"/>
          <w:numId w:val="1"/>
        </w:numPr>
      </w:pPr>
      <w:r>
        <w:rPr>
          <w:rFonts w:ascii="Arial" w:hAnsi="Arial" w:eastAsia="Arial" w:cs="Arial"/>
          <w:b w:val="0"/>
          <w:bCs w:val="0"/>
          <w:color w:val="1C2833"/>
          <w:sz w:val="22"/>
          <w:szCs w:val="22"/>
        </w:rPr>
        <w:t>Hattie, J., &amp; Timperley, H. (2007). The Power of Feedback. Review of Educational Research, 77(1), 81–112.</w:t>
      </w:r>
    </w:p>
    <w:p w14:paraId="336DADA5">
      <w:pPr>
        <w:pStyle w:val="16"/>
        <w:numPr>
          <w:ilvl w:val="0"/>
          <w:numId w:val="1"/>
        </w:numPr>
      </w:pPr>
      <w:r>
        <w:rPr>
          <w:rFonts w:ascii="Arial" w:hAnsi="Arial" w:eastAsia="Arial" w:cs="Arial"/>
          <w:b w:val="0"/>
          <w:bCs w:val="0"/>
          <w:color w:val="1C2833"/>
          <w:sz w:val="22"/>
          <w:szCs w:val="22"/>
        </w:rPr>
        <w:t>Whitmore, J. (2017). Coaching for Performance: The Principles and Practice of Coaching and Leadership. Nicholas Brealey.</w:t>
      </w:r>
    </w:p>
    <w:p w14:paraId="5F6C0672">
      <w:pPr>
        <w:pStyle w:val="16"/>
        <w:numPr>
          <w:ilvl w:val="0"/>
          <w:numId w:val="1"/>
        </w:numPr>
      </w:pPr>
      <w:r>
        <w:rPr>
          <w:rFonts w:ascii="Arial" w:hAnsi="Arial" w:eastAsia="Arial" w:cs="Arial"/>
          <w:b w:val="0"/>
          <w:bCs w:val="0"/>
          <w:color w:val="1C2833"/>
          <w:sz w:val="22"/>
          <w:szCs w:val="22"/>
        </w:rPr>
        <w:t>Costa, A. L., &amp; Garmston, R. J. (2016). Cognitive Coaching: Developing Self-Directed Leaders and Learners. Rowman &amp; Littlefield.</w:t>
      </w:r>
    </w:p>
    <w:p w14:paraId="546CB48C">
      <w:pPr>
        <w:spacing w:after="120"/>
      </w:pPr>
    </w:p>
    <w:p w14:paraId="14EC268C">
      <w:pPr>
        <w:pStyle w:val="5"/>
      </w:pPr>
      <w:r>
        <w:rPr>
          <w:rFonts w:ascii="Arial" w:hAnsi="Arial" w:eastAsia="Arial" w:cs="Arial"/>
          <w:b/>
          <w:bCs/>
          <w:color w:val="0E6655"/>
          <w:sz w:val="22"/>
          <w:szCs w:val="22"/>
        </w:rPr>
        <w:t>Leadership &amp; Professional Learning Culture</w:t>
      </w:r>
    </w:p>
    <w:p w14:paraId="7988678F">
      <w:pPr>
        <w:pStyle w:val="16"/>
        <w:numPr>
          <w:ilvl w:val="0"/>
          <w:numId w:val="1"/>
        </w:numPr>
      </w:pPr>
      <w:r>
        <w:rPr>
          <w:rFonts w:ascii="Arial" w:hAnsi="Arial" w:eastAsia="Arial" w:cs="Arial"/>
          <w:b w:val="0"/>
          <w:bCs w:val="0"/>
          <w:color w:val="1C2833"/>
          <w:sz w:val="22"/>
          <w:szCs w:val="22"/>
        </w:rPr>
        <w:t>DuFour, R., DuFour, R., Eaker, R., &amp; Many, T. (2010). Learning by Doing: A Handbook for Professional Learning Communities at Work. Solution Tree.</w:t>
      </w:r>
    </w:p>
    <w:p w14:paraId="711527AD">
      <w:pPr>
        <w:pStyle w:val="16"/>
        <w:numPr>
          <w:ilvl w:val="0"/>
          <w:numId w:val="1"/>
        </w:numPr>
      </w:pPr>
      <w:r>
        <w:rPr>
          <w:rFonts w:ascii="Arial" w:hAnsi="Arial" w:eastAsia="Arial" w:cs="Arial"/>
          <w:b w:val="0"/>
          <w:bCs w:val="0"/>
          <w:color w:val="1C2833"/>
          <w:sz w:val="22"/>
          <w:szCs w:val="22"/>
        </w:rPr>
        <w:t>Kotter, J. P. (2012). Leading Change. Harvard Business Review Press.</w:t>
      </w:r>
    </w:p>
    <w:p w14:paraId="3E4E3FB8">
      <w:pPr>
        <w:pStyle w:val="16"/>
        <w:numPr>
          <w:ilvl w:val="0"/>
          <w:numId w:val="1"/>
        </w:numPr>
      </w:pPr>
      <w:r>
        <w:rPr>
          <w:rFonts w:ascii="Arial" w:hAnsi="Arial" w:eastAsia="Arial" w:cs="Arial"/>
          <w:b w:val="0"/>
          <w:bCs w:val="0"/>
          <w:color w:val="1C2833"/>
          <w:sz w:val="22"/>
          <w:szCs w:val="22"/>
        </w:rPr>
        <w:t>Hargreaves, A., &amp; Fullan, M. (2012). Professional Capital: Transforming Teaching in Every School. Teachers College Press.</w:t>
      </w:r>
    </w:p>
    <w:p w14:paraId="234F8936">
      <w:pPr>
        <w:spacing w:after="120"/>
      </w:pPr>
    </w:p>
    <w:p w14:paraId="53083C7C">
      <w:r>
        <w:br w:type="page"/>
      </w:r>
    </w:p>
    <w:p w14:paraId="39B9F795">
      <w:pPr>
        <w:pStyle w:val="3"/>
        <w:pBdr>
          <w:bottom w:val="single" w:color="2E86C1" w:sz="8" w:space="4"/>
        </w:pBdr>
      </w:pPr>
      <w:r>
        <w:rPr>
          <w:rFonts w:ascii="Arial" w:hAnsi="Arial" w:eastAsia="Arial" w:cs="Arial"/>
          <w:b/>
          <w:bCs/>
          <w:color w:val="1B4F72"/>
          <w:sz w:val="28"/>
          <w:szCs w:val="28"/>
        </w:rPr>
        <w:t>Appendix C: Core Templates</w:t>
      </w:r>
    </w:p>
    <w:p w14:paraId="6D12A7E9">
      <w:pPr>
        <w:spacing w:after="120"/>
      </w:pPr>
    </w:p>
    <w:p w14:paraId="7350A3EE">
      <w:pPr>
        <w:pStyle w:val="5"/>
      </w:pPr>
      <w:r>
        <w:rPr>
          <w:rFonts w:ascii="Arial" w:hAnsi="Arial" w:eastAsia="Arial" w:cs="Arial"/>
          <w:b/>
          <w:bCs/>
          <w:color w:val="0E6655"/>
          <w:sz w:val="22"/>
          <w:szCs w:val="22"/>
        </w:rPr>
        <w:t>Template 1: Training Session Plan Framework</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33B7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0812F94C">
            <w:r>
              <w:rPr>
                <w:rFonts w:ascii="Arial" w:hAnsi="Arial" w:eastAsia="Arial" w:cs="Arial"/>
                <w:b/>
                <w:bCs/>
                <w:color w:val="FFFFFF"/>
                <w:sz w:val="22"/>
                <w:szCs w:val="22"/>
              </w:rPr>
              <w:t>Component</w:t>
            </w:r>
          </w:p>
        </w:tc>
        <w:tc>
          <w:tcPr>
            <w:tcW w:w="6026"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2E2676D7">
            <w:r>
              <w:rPr>
                <w:rFonts w:ascii="Arial" w:hAnsi="Arial" w:eastAsia="Arial" w:cs="Arial"/>
                <w:b/>
                <w:bCs/>
                <w:color w:val="FFFFFF"/>
                <w:sz w:val="22"/>
                <w:szCs w:val="22"/>
              </w:rPr>
              <w:t>Content</w:t>
            </w:r>
          </w:p>
        </w:tc>
      </w:tr>
      <w:tr w14:paraId="2C76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FDD7C09">
            <w:r>
              <w:rPr>
                <w:rFonts w:ascii="Arial" w:hAnsi="Arial" w:eastAsia="Arial" w:cs="Arial"/>
                <w:b w:val="0"/>
                <w:bCs w:val="0"/>
                <w:color w:val="1C2833"/>
                <w:sz w:val="20"/>
                <w:szCs w:val="20"/>
              </w:rPr>
              <w:t>Session Title</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3BDB599"/>
        </w:tc>
      </w:tr>
      <w:tr w14:paraId="717C5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DCD0804">
            <w:r>
              <w:rPr>
                <w:rFonts w:ascii="Arial" w:hAnsi="Arial" w:eastAsia="Arial" w:cs="Arial"/>
                <w:b w:val="0"/>
                <w:bCs w:val="0"/>
                <w:color w:val="1C2833"/>
                <w:sz w:val="20"/>
                <w:szCs w:val="20"/>
              </w:rPr>
              <w:t>Target Audience</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5488189"/>
        </w:tc>
      </w:tr>
      <w:tr w14:paraId="1DC6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60C0551">
            <w:r>
              <w:rPr>
                <w:rFonts w:ascii="Arial" w:hAnsi="Arial" w:eastAsia="Arial" w:cs="Arial"/>
                <w:b w:val="0"/>
                <w:bCs w:val="0"/>
                <w:color w:val="1C2833"/>
                <w:sz w:val="20"/>
                <w:szCs w:val="20"/>
              </w:rPr>
              <w:t>Duration</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E9D74F6"/>
        </w:tc>
      </w:tr>
      <w:tr w14:paraId="23D39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82F8C42">
            <w:r>
              <w:rPr>
                <w:rFonts w:ascii="Arial" w:hAnsi="Arial" w:eastAsia="Arial" w:cs="Arial"/>
                <w:b w:val="0"/>
                <w:bCs w:val="0"/>
                <w:color w:val="1C2833"/>
                <w:sz w:val="20"/>
                <w:szCs w:val="20"/>
              </w:rPr>
              <w:t>Learning Objectives</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08468C2">
            <w:r>
              <w:rPr>
                <w:rFonts w:ascii="Arial" w:hAnsi="Arial" w:eastAsia="Arial" w:cs="Arial"/>
                <w:b w:val="0"/>
                <w:bCs w:val="0"/>
                <w:color w:val="1C2833"/>
                <w:sz w:val="20"/>
                <w:szCs w:val="20"/>
              </w:rPr>
              <w:t>By the end of this session, participants will be able to: (1) ... (2) ... (3) ...</w:t>
            </w:r>
          </w:p>
        </w:tc>
      </w:tr>
      <w:tr w14:paraId="68387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F8AE450">
            <w:r>
              <w:rPr>
                <w:rFonts w:ascii="Arial" w:hAnsi="Arial" w:eastAsia="Arial" w:cs="Arial"/>
                <w:b w:val="0"/>
                <w:bCs w:val="0"/>
                <w:color w:val="1C2833"/>
                <w:sz w:val="20"/>
                <w:szCs w:val="20"/>
              </w:rPr>
              <w:t>Materials &amp; Resources</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D0E23B7"/>
        </w:tc>
      </w:tr>
      <w:tr w14:paraId="45B3C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177691F">
            <w:r>
              <w:rPr>
                <w:rFonts w:ascii="Arial" w:hAnsi="Arial" w:eastAsia="Arial" w:cs="Arial"/>
                <w:b w:val="0"/>
                <w:bCs w:val="0"/>
                <w:color w:val="1C2833"/>
                <w:sz w:val="20"/>
                <w:szCs w:val="20"/>
              </w:rPr>
              <w:t>Activation / Warm-Up (10–15 min)</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0334477">
            <w:r>
              <w:rPr>
                <w:rFonts w:ascii="Arial" w:hAnsi="Arial" w:eastAsia="Arial" w:cs="Arial"/>
                <w:b w:val="0"/>
                <w:bCs w:val="0"/>
                <w:color w:val="1C2833"/>
                <w:sz w:val="20"/>
                <w:szCs w:val="20"/>
              </w:rPr>
              <w:t>Activity: | Purpose: | Materials: | Facilitator notes:</w:t>
            </w:r>
          </w:p>
        </w:tc>
      </w:tr>
      <w:tr w14:paraId="215B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A32E507">
            <w:r>
              <w:rPr>
                <w:rFonts w:ascii="Arial" w:hAnsi="Arial" w:eastAsia="Arial" w:cs="Arial"/>
                <w:b w:val="0"/>
                <w:bCs w:val="0"/>
                <w:color w:val="1C2833"/>
                <w:sz w:val="20"/>
                <w:szCs w:val="20"/>
              </w:rPr>
              <w:t>Content Input / Build (20–30 min)</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BD2477F">
            <w:r>
              <w:rPr>
                <w:rFonts w:ascii="Arial" w:hAnsi="Arial" w:eastAsia="Arial" w:cs="Arial"/>
                <w:b w:val="0"/>
                <w:bCs w:val="0"/>
                <w:color w:val="1C2833"/>
                <w:sz w:val="20"/>
                <w:szCs w:val="20"/>
              </w:rPr>
              <w:t>Activity: | Purpose: | Key concepts: | Facilitator notes:</w:t>
            </w:r>
          </w:p>
        </w:tc>
      </w:tr>
      <w:tr w14:paraId="20D02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0F6BC06">
            <w:r>
              <w:rPr>
                <w:rFonts w:ascii="Arial" w:hAnsi="Arial" w:eastAsia="Arial" w:cs="Arial"/>
                <w:b w:val="0"/>
                <w:bCs w:val="0"/>
                <w:color w:val="1C2833"/>
                <w:sz w:val="20"/>
                <w:szCs w:val="20"/>
              </w:rPr>
              <w:t>Guided Practice (20–30 min)</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4BE2F86">
            <w:r>
              <w:rPr>
                <w:rFonts w:ascii="Arial" w:hAnsi="Arial" w:eastAsia="Arial" w:cs="Arial"/>
                <w:b w:val="0"/>
                <w:bCs w:val="0"/>
                <w:color w:val="1C2833"/>
                <w:sz w:val="20"/>
                <w:szCs w:val="20"/>
              </w:rPr>
              <w:t>Activity: | Grouping: | Instructions: | Scaffolding provided:</w:t>
            </w:r>
          </w:p>
        </w:tc>
      </w:tr>
      <w:tr w14:paraId="715FD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DE5FCA1">
            <w:r>
              <w:rPr>
                <w:rFonts w:ascii="Arial" w:hAnsi="Arial" w:eastAsia="Arial" w:cs="Arial"/>
                <w:b w:val="0"/>
                <w:bCs w:val="0"/>
                <w:color w:val="1C2833"/>
                <w:sz w:val="20"/>
                <w:szCs w:val="20"/>
              </w:rPr>
              <w:t>Application / Output (15–20 min)</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839CD11">
            <w:r>
              <w:rPr>
                <w:rFonts w:ascii="Arial" w:hAnsi="Arial" w:eastAsia="Arial" w:cs="Arial"/>
                <w:b w:val="0"/>
                <w:bCs w:val="0"/>
                <w:color w:val="1C2833"/>
                <w:sz w:val="20"/>
                <w:szCs w:val="20"/>
              </w:rPr>
              <w:t>Activity: | Differentiation: | Extension task (if applicable):</w:t>
            </w:r>
          </w:p>
        </w:tc>
      </w:tr>
      <w:tr w14:paraId="228D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F4592AA">
            <w:r>
              <w:rPr>
                <w:rFonts w:ascii="Arial" w:hAnsi="Arial" w:eastAsia="Arial" w:cs="Arial"/>
                <w:b w:val="0"/>
                <w:bCs w:val="0"/>
                <w:color w:val="1C2833"/>
                <w:sz w:val="20"/>
                <w:szCs w:val="20"/>
              </w:rPr>
              <w:t>Closing Reflection (10 min)</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2F16856">
            <w:r>
              <w:rPr>
                <w:rFonts w:ascii="Arial" w:hAnsi="Arial" w:eastAsia="Arial" w:cs="Arial"/>
                <w:b w:val="0"/>
                <w:bCs w:val="0"/>
                <w:color w:val="1C2833"/>
                <w:sz w:val="20"/>
                <w:szCs w:val="20"/>
              </w:rPr>
              <w:t>Reflection prompt: | Connection to objectives: | Next steps:</w:t>
            </w:r>
          </w:p>
        </w:tc>
      </w:tr>
      <w:tr w14:paraId="031B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2265063">
            <w:r>
              <w:rPr>
                <w:rFonts w:ascii="Arial" w:hAnsi="Arial" w:eastAsia="Arial" w:cs="Arial"/>
                <w:b w:val="0"/>
                <w:bCs w:val="0"/>
                <w:color w:val="1C2833"/>
                <w:sz w:val="20"/>
                <w:szCs w:val="20"/>
              </w:rPr>
              <w:t>Assessment</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CF75241">
            <w:r>
              <w:rPr>
                <w:rFonts w:ascii="Arial" w:hAnsi="Arial" w:eastAsia="Arial" w:cs="Arial"/>
                <w:b w:val="0"/>
                <w:bCs w:val="0"/>
                <w:color w:val="1C2833"/>
                <w:sz w:val="20"/>
                <w:szCs w:val="20"/>
              </w:rPr>
              <w:t>How will you know participants have achieved the objectives?</w:t>
            </w:r>
          </w:p>
        </w:tc>
      </w:tr>
      <w:tr w14:paraId="29DB2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1E70CEB">
            <w:r>
              <w:rPr>
                <w:rFonts w:ascii="Arial" w:hAnsi="Arial" w:eastAsia="Arial" w:cs="Arial"/>
                <w:b w:val="0"/>
                <w:bCs w:val="0"/>
                <w:color w:val="1C2833"/>
                <w:sz w:val="20"/>
                <w:szCs w:val="20"/>
              </w:rPr>
              <w:t>Facilitator Notes / Adaptations</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9F83B02"/>
        </w:tc>
      </w:tr>
    </w:tbl>
    <w:p w14:paraId="20C8A68F">
      <w:pPr>
        <w:spacing w:after="120"/>
      </w:pPr>
    </w:p>
    <w:p w14:paraId="1CC1B52A">
      <w:pPr>
        <w:pStyle w:val="5"/>
      </w:pPr>
      <w:r>
        <w:rPr>
          <w:rFonts w:ascii="Arial" w:hAnsi="Arial" w:eastAsia="Arial" w:cs="Arial"/>
          <w:b/>
          <w:bCs/>
          <w:color w:val="0E6655"/>
          <w:sz w:val="22"/>
          <w:szCs w:val="22"/>
        </w:rPr>
        <w:t>Template 2: Focused Observation Tool</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4568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681DF045">
            <w:r>
              <w:rPr>
                <w:rFonts w:ascii="Arial" w:hAnsi="Arial" w:eastAsia="Arial" w:cs="Arial"/>
                <w:b/>
                <w:bCs/>
                <w:color w:val="FFFFFF"/>
                <w:sz w:val="22"/>
                <w:szCs w:val="22"/>
              </w:rPr>
              <w:t>Component</w:t>
            </w:r>
          </w:p>
        </w:tc>
        <w:tc>
          <w:tcPr>
            <w:tcW w:w="6026"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18B3377D">
            <w:r>
              <w:rPr>
                <w:rFonts w:ascii="Arial" w:hAnsi="Arial" w:eastAsia="Arial" w:cs="Arial"/>
                <w:b/>
                <w:bCs/>
                <w:color w:val="FFFFFF"/>
                <w:sz w:val="22"/>
                <w:szCs w:val="22"/>
              </w:rPr>
              <w:t>Content</w:t>
            </w:r>
          </w:p>
        </w:tc>
      </w:tr>
      <w:tr w14:paraId="6F2B9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4CBDA05A">
            <w:r>
              <w:rPr>
                <w:rFonts w:ascii="Arial" w:hAnsi="Arial" w:eastAsia="Arial" w:cs="Arial"/>
                <w:b w:val="0"/>
                <w:bCs w:val="0"/>
                <w:color w:val="1C2833"/>
                <w:sz w:val="20"/>
                <w:szCs w:val="20"/>
              </w:rPr>
              <w:t>Observer</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50EDFF7"/>
        </w:tc>
      </w:tr>
      <w:tr w14:paraId="1510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5D52EF0">
            <w:r>
              <w:rPr>
                <w:rFonts w:ascii="Arial" w:hAnsi="Arial" w:eastAsia="Arial" w:cs="Arial"/>
                <w:b w:val="0"/>
                <w:bCs w:val="0"/>
                <w:color w:val="1C2833"/>
                <w:sz w:val="20"/>
                <w:szCs w:val="20"/>
              </w:rPr>
              <w:t>Observed Teacher</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4788405"/>
        </w:tc>
      </w:tr>
      <w:tr w14:paraId="4D57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6F5A67A">
            <w:r>
              <w:rPr>
                <w:rFonts w:ascii="Arial" w:hAnsi="Arial" w:eastAsia="Arial" w:cs="Arial"/>
                <w:b w:val="0"/>
                <w:bCs w:val="0"/>
                <w:color w:val="1C2833"/>
                <w:sz w:val="20"/>
                <w:szCs w:val="20"/>
              </w:rPr>
              <w:t>Date &amp; Time</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109E1CE"/>
        </w:tc>
      </w:tr>
      <w:tr w14:paraId="0144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65CC5798">
            <w:r>
              <w:rPr>
                <w:rFonts w:ascii="Arial" w:hAnsi="Arial" w:eastAsia="Arial" w:cs="Arial"/>
                <w:b w:val="0"/>
                <w:bCs w:val="0"/>
                <w:color w:val="1C2833"/>
                <w:sz w:val="20"/>
                <w:szCs w:val="20"/>
              </w:rPr>
              <w:t>Observation Focus</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5E2026A">
            <w:r>
              <w:rPr>
                <w:rFonts w:ascii="Arial" w:hAnsi="Arial" w:eastAsia="Arial" w:cs="Arial"/>
                <w:b w:val="0"/>
                <w:bCs w:val="0"/>
                <w:color w:val="1C2833"/>
                <w:sz w:val="20"/>
                <w:szCs w:val="20"/>
              </w:rPr>
              <w:t>(agreed in pre-conference)</w:t>
            </w:r>
          </w:p>
        </w:tc>
      </w:tr>
      <w:tr w14:paraId="7BEA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571DC3D">
            <w:r>
              <w:rPr>
                <w:rFonts w:ascii="Arial" w:hAnsi="Arial" w:eastAsia="Arial" w:cs="Arial"/>
                <w:b w:val="0"/>
                <w:bCs w:val="0"/>
                <w:color w:val="1C2833"/>
                <w:sz w:val="20"/>
                <w:szCs w:val="20"/>
              </w:rPr>
              <w:t>Observation Type</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35B1D97">
            <w:r>
              <w:rPr>
                <w:rFonts w:ascii="Arial" w:hAnsi="Arial" w:eastAsia="Arial" w:cs="Arial"/>
                <w:b w:val="0"/>
                <w:bCs w:val="0"/>
                <w:color w:val="1C2833"/>
                <w:sz w:val="20"/>
                <w:szCs w:val="20"/>
              </w:rPr>
              <w:t>Developmental / Evaluative / Peer</w:t>
            </w:r>
          </w:p>
        </w:tc>
      </w:tr>
      <w:tr w14:paraId="00BB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26E46CB">
            <w:r>
              <w:rPr>
                <w:rFonts w:ascii="Arial" w:hAnsi="Arial" w:eastAsia="Arial" w:cs="Arial"/>
                <w:b w:val="0"/>
                <w:bCs w:val="0"/>
                <w:color w:val="1C2833"/>
                <w:sz w:val="20"/>
                <w:szCs w:val="20"/>
              </w:rPr>
              <w:t>Observation Tool Used</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6225951">
            <w:r>
              <w:rPr>
                <w:rFonts w:ascii="Arial" w:hAnsi="Arial" w:eastAsia="Arial" w:cs="Arial"/>
                <w:b w:val="0"/>
                <w:bCs w:val="0"/>
                <w:color w:val="1C2833"/>
                <w:sz w:val="20"/>
                <w:szCs w:val="20"/>
              </w:rPr>
              <w:t>Scripting / Tally / Interaction Map / Rubric</w:t>
            </w:r>
          </w:p>
        </w:tc>
      </w:tr>
      <w:tr w14:paraId="68B19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ED8F982">
            <w:r>
              <w:rPr>
                <w:rFonts w:ascii="Arial" w:hAnsi="Arial" w:eastAsia="Arial" w:cs="Arial"/>
                <w:b w:val="0"/>
                <w:bCs w:val="0"/>
                <w:color w:val="1C2833"/>
                <w:sz w:val="20"/>
                <w:szCs w:val="20"/>
              </w:rPr>
              <w:t>Time</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D5FEC27">
            <w:r>
              <w:rPr>
                <w:rFonts w:ascii="Arial" w:hAnsi="Arial" w:eastAsia="Arial" w:cs="Arial"/>
                <w:b w:val="0"/>
                <w:bCs w:val="0"/>
                <w:color w:val="1C2833"/>
                <w:sz w:val="20"/>
                <w:szCs w:val="20"/>
              </w:rPr>
              <w:t>Observation Data (low-inference — describe only; do not interpret)</w:t>
            </w:r>
          </w:p>
        </w:tc>
      </w:tr>
      <w:tr w14:paraId="0F7D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B7D4832">
            <w:r>
              <w:rPr>
                <w:rFonts w:ascii="Arial" w:hAnsi="Arial" w:eastAsia="Arial" w:cs="Arial"/>
                <w:b w:val="0"/>
                <w:bCs w:val="0"/>
                <w:color w:val="1C2833"/>
                <w:sz w:val="20"/>
                <w:szCs w:val="20"/>
              </w:rPr>
              <w:t>0:00–5:00</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4F4C9611"/>
        </w:tc>
      </w:tr>
      <w:tr w14:paraId="75E9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36168C9">
            <w:r>
              <w:rPr>
                <w:rFonts w:ascii="Arial" w:hAnsi="Arial" w:eastAsia="Arial" w:cs="Arial"/>
                <w:b w:val="0"/>
                <w:bCs w:val="0"/>
                <w:color w:val="1C2833"/>
                <w:sz w:val="20"/>
                <w:szCs w:val="20"/>
              </w:rPr>
              <w:t>5:00–10:00</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00BE78C8"/>
        </w:tc>
      </w:tr>
      <w:tr w14:paraId="6D50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CEA0E53">
            <w:r>
              <w:rPr>
                <w:rFonts w:ascii="Arial" w:hAnsi="Arial" w:eastAsia="Arial" w:cs="Arial"/>
                <w:b w:val="0"/>
                <w:bCs w:val="0"/>
                <w:color w:val="1C2833"/>
                <w:sz w:val="20"/>
                <w:szCs w:val="20"/>
              </w:rPr>
              <w:t>10:00–15:00</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705DF5B"/>
        </w:tc>
      </w:tr>
      <w:tr w14:paraId="6506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3AA7009">
            <w:r>
              <w:rPr>
                <w:rFonts w:ascii="Arial" w:hAnsi="Arial" w:eastAsia="Arial" w:cs="Arial"/>
                <w:b w:val="0"/>
                <w:bCs w:val="0"/>
                <w:color w:val="1C2833"/>
                <w:sz w:val="20"/>
                <w:szCs w:val="20"/>
              </w:rPr>
              <w:t>15:00–20:00</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C54504F"/>
        </w:tc>
      </w:tr>
      <w:tr w14:paraId="4B01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5F4DD8D">
            <w:r>
              <w:rPr>
                <w:rFonts w:ascii="Arial" w:hAnsi="Arial" w:eastAsia="Arial" w:cs="Arial"/>
                <w:b w:val="0"/>
                <w:bCs w:val="0"/>
                <w:color w:val="1C2833"/>
                <w:sz w:val="20"/>
                <w:szCs w:val="20"/>
              </w:rPr>
              <w:t>20:00–25:00</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790FEEB"/>
        </w:tc>
      </w:tr>
      <w:tr w14:paraId="7A94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E0D9B29">
            <w:r>
              <w:rPr>
                <w:rFonts w:ascii="Arial" w:hAnsi="Arial" w:eastAsia="Arial" w:cs="Arial"/>
                <w:b w:val="0"/>
                <w:bCs w:val="0"/>
                <w:color w:val="1C2833"/>
                <w:sz w:val="20"/>
                <w:szCs w:val="20"/>
              </w:rPr>
              <w:t>25:00–30:00</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2F8D473D"/>
        </w:tc>
      </w:tr>
      <w:tr w14:paraId="7DF2B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D2B22A4">
            <w:r>
              <w:rPr>
                <w:rFonts w:ascii="Arial" w:hAnsi="Arial" w:eastAsia="Arial" w:cs="Arial"/>
                <w:b w:val="0"/>
                <w:bCs w:val="0"/>
                <w:color w:val="1C2833"/>
                <w:sz w:val="20"/>
                <w:szCs w:val="20"/>
              </w:rPr>
              <w:t>Data Patterns Noted</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7E435245">
            <w:r>
              <w:rPr>
                <w:rFonts w:ascii="Arial" w:hAnsi="Arial" w:eastAsia="Arial" w:cs="Arial"/>
                <w:b w:val="0"/>
                <w:bCs w:val="0"/>
                <w:color w:val="1C2833"/>
                <w:sz w:val="20"/>
                <w:szCs w:val="20"/>
              </w:rPr>
              <w:t>(completed after observation, before conference)</w:t>
            </w:r>
          </w:p>
        </w:tc>
      </w:tr>
      <w:tr w14:paraId="3FA1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70B0C07">
            <w:r>
              <w:rPr>
                <w:rFonts w:ascii="Arial" w:hAnsi="Arial" w:eastAsia="Arial" w:cs="Arial"/>
                <w:b w:val="0"/>
                <w:bCs w:val="0"/>
                <w:color w:val="1C2833"/>
                <w:sz w:val="20"/>
                <w:szCs w:val="20"/>
              </w:rPr>
              <w:t>Questions for Post-Conference</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0C4E149">
            <w:r>
              <w:rPr>
                <w:rFonts w:ascii="Arial" w:hAnsi="Arial" w:eastAsia="Arial" w:cs="Arial"/>
                <w:b w:val="0"/>
                <w:bCs w:val="0"/>
                <w:color w:val="1C2833"/>
                <w:sz w:val="20"/>
                <w:szCs w:val="20"/>
              </w:rPr>
              <w:t>(generated from data patterns, not interpretations)</w:t>
            </w:r>
          </w:p>
        </w:tc>
      </w:tr>
    </w:tbl>
    <w:p w14:paraId="031FFD8C">
      <w:pPr>
        <w:spacing w:after="120"/>
      </w:pPr>
    </w:p>
    <w:p w14:paraId="4AEAEB16">
      <w:pPr>
        <w:pStyle w:val="5"/>
      </w:pPr>
      <w:r>
        <w:rPr>
          <w:rFonts w:ascii="Arial" w:hAnsi="Arial" w:eastAsia="Arial" w:cs="Arial"/>
          <w:b/>
          <w:bCs/>
          <w:color w:val="0E6655"/>
          <w:sz w:val="22"/>
          <w:szCs w:val="22"/>
        </w:rPr>
        <w:t>Template 3: Post-Observation Conference Structure Card</w:t>
      </w:r>
    </w:p>
    <w:p w14:paraId="5DA0998F">
      <w:pPr>
        <w:pStyle w:val="16"/>
        <w:numPr>
          <w:ilvl w:val="0"/>
          <w:numId w:val="2"/>
        </w:numPr>
      </w:pPr>
      <w:r>
        <w:rPr>
          <w:rFonts w:ascii="Arial" w:hAnsi="Arial" w:eastAsia="Arial" w:cs="Arial"/>
          <w:color w:val="1C2833"/>
          <w:sz w:val="22"/>
          <w:szCs w:val="22"/>
        </w:rPr>
        <w:t>Opening (5 min): Begin with the teacher. 'Before we look at the data, what was your overall sense of the lesson? What went as you planned?' Listen actively. Paraphrase. Do not interpret.</w:t>
      </w:r>
    </w:p>
    <w:p w14:paraId="244DA284">
      <w:pPr>
        <w:pStyle w:val="16"/>
        <w:numPr>
          <w:ilvl w:val="0"/>
          <w:numId w:val="2"/>
        </w:numPr>
      </w:pPr>
      <w:r>
        <w:rPr>
          <w:rFonts w:ascii="Arial" w:hAnsi="Arial" w:eastAsia="Arial" w:cs="Arial"/>
          <w:color w:val="1C2833"/>
          <w:sz w:val="22"/>
          <w:szCs w:val="22"/>
        </w:rPr>
        <w:t>Teacher Self-Reflection (10 min): 'What did you notice about [the agreed focus area]? What does your own reflection tell you?' Use probing and reflective questions. Allow silence.</w:t>
      </w:r>
    </w:p>
    <w:p w14:paraId="2BCCCBE3">
      <w:pPr>
        <w:pStyle w:val="16"/>
        <w:numPr>
          <w:ilvl w:val="0"/>
          <w:numId w:val="2"/>
        </w:numPr>
      </w:pPr>
      <w:r>
        <w:rPr>
          <w:rFonts w:ascii="Arial" w:hAnsi="Arial" w:eastAsia="Arial" w:cs="Arial"/>
          <w:color w:val="1C2833"/>
          <w:sz w:val="22"/>
          <w:szCs w:val="22"/>
        </w:rPr>
        <w:t>Data Presentation (10 min): 'Here is what I observed. I am sharing data only — I haven't interpreted it yet.' Present scripted data, tallies, or interaction maps without evaluation. 'What do you notice in this data?'</w:t>
      </w:r>
    </w:p>
    <w:p w14:paraId="3EF9F6F4">
      <w:pPr>
        <w:pStyle w:val="16"/>
        <w:numPr>
          <w:ilvl w:val="0"/>
          <w:numId w:val="2"/>
        </w:numPr>
      </w:pPr>
      <w:r>
        <w:rPr>
          <w:rFonts w:ascii="Arial" w:hAnsi="Arial" w:eastAsia="Arial" w:cs="Arial"/>
          <w:color w:val="1C2833"/>
          <w:sz w:val="22"/>
          <w:szCs w:val="22"/>
        </w:rPr>
        <w:t>Collaborative Analysis (10–15 min): 'What patterns do you see? What might explain this?' Explore together. Use Socratic questions. Avoid providing analysis that the teacher could generate themselves.</w:t>
      </w:r>
    </w:p>
    <w:p w14:paraId="18101CED">
      <w:pPr>
        <w:pStyle w:val="16"/>
        <w:numPr>
          <w:ilvl w:val="0"/>
          <w:numId w:val="2"/>
        </w:numPr>
      </w:pPr>
      <w:r>
        <w:rPr>
          <w:rFonts w:ascii="Arial" w:hAnsi="Arial" w:eastAsia="Arial" w:cs="Arial"/>
          <w:color w:val="1C2833"/>
          <w:sz w:val="22"/>
          <w:szCs w:val="22"/>
        </w:rPr>
        <w:t>Action Planning (10 min): 'Given everything we have discussed today, what is one thing you want to try, change, or investigate between now and our next conversation?' Ensure the plan is specific and self-chosen.</w:t>
      </w:r>
    </w:p>
    <w:p w14:paraId="197C8A89">
      <w:pPr>
        <w:pStyle w:val="16"/>
        <w:numPr>
          <w:ilvl w:val="0"/>
          <w:numId w:val="2"/>
        </w:numPr>
      </w:pPr>
      <w:r>
        <w:rPr>
          <w:rFonts w:ascii="Arial" w:hAnsi="Arial" w:eastAsia="Arial" w:cs="Arial"/>
          <w:color w:val="1C2833"/>
          <w:sz w:val="22"/>
          <w:szCs w:val="22"/>
        </w:rPr>
        <w:t>Closing (5 min): Affirm specific strengths observed. Confirm documentation. Set the date for follow-up.</w:t>
      </w:r>
    </w:p>
    <w:p w14:paraId="44695A79">
      <w:pPr>
        <w:spacing w:after="120"/>
      </w:pPr>
    </w:p>
    <w:p w14:paraId="31C8E519">
      <w:pPr>
        <w:pStyle w:val="5"/>
      </w:pPr>
      <w:r>
        <w:rPr>
          <w:rFonts w:ascii="Arial" w:hAnsi="Arial" w:eastAsia="Arial" w:cs="Arial"/>
          <w:b/>
          <w:bCs/>
          <w:color w:val="0E6655"/>
          <w:sz w:val="22"/>
          <w:szCs w:val="22"/>
        </w:rPr>
        <w:t>Template 4: 12-Month Professional Growth Plan</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7E10F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4C9CB90D">
            <w:r>
              <w:rPr>
                <w:rFonts w:ascii="Arial" w:hAnsi="Arial" w:eastAsia="Arial" w:cs="Arial"/>
                <w:b/>
                <w:bCs/>
                <w:color w:val="FFFFFF"/>
                <w:sz w:val="22"/>
                <w:szCs w:val="22"/>
              </w:rPr>
              <w:t>Component</w:t>
            </w:r>
          </w:p>
        </w:tc>
        <w:tc>
          <w:tcPr>
            <w:tcW w:w="6026" w:type="dxa"/>
            <w:tcBorders>
              <w:top w:val="single" w:color="D5D8DC" w:sz="4" w:space="0"/>
              <w:left w:val="single" w:color="D5D8DC" w:sz="4" w:space="0"/>
              <w:bottom w:val="single" w:color="D5D8DC" w:sz="4" w:space="0"/>
              <w:right w:val="single" w:color="D5D8DC" w:sz="4" w:space="0"/>
            </w:tcBorders>
            <w:shd w:val="clear" w:color="auto" w:fill="92D050"/>
            <w:tcMar>
              <w:top w:w="100" w:type="dxa"/>
              <w:left w:w="140" w:type="dxa"/>
              <w:bottom w:w="100" w:type="dxa"/>
              <w:right w:w="140" w:type="dxa"/>
            </w:tcMar>
            <w:vAlign w:val="center"/>
          </w:tcPr>
          <w:p w14:paraId="543A9491">
            <w:r>
              <w:rPr>
                <w:rFonts w:ascii="Arial" w:hAnsi="Arial" w:eastAsia="Arial" w:cs="Arial"/>
                <w:b/>
                <w:bCs/>
                <w:color w:val="FFFFFF"/>
                <w:sz w:val="22"/>
                <w:szCs w:val="22"/>
              </w:rPr>
              <w:t>My Plan</w:t>
            </w:r>
          </w:p>
        </w:tc>
      </w:tr>
      <w:tr w14:paraId="7D15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CF914B5">
            <w:r>
              <w:rPr>
                <w:rFonts w:ascii="Arial" w:hAnsi="Arial" w:eastAsia="Arial" w:cs="Arial"/>
                <w:b w:val="0"/>
                <w:bCs w:val="0"/>
                <w:color w:val="1C2833"/>
                <w:sz w:val="20"/>
                <w:szCs w:val="20"/>
              </w:rPr>
              <w:t>Name &amp; Date</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7FA1888A"/>
        </w:tc>
      </w:tr>
      <w:tr w14:paraId="102C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D09E3F3">
            <w:r>
              <w:rPr>
                <w:rFonts w:ascii="Arial" w:hAnsi="Arial" w:eastAsia="Arial" w:cs="Arial"/>
                <w:b w:val="0"/>
                <w:bCs w:val="0"/>
                <w:color w:val="1C2833"/>
                <w:sz w:val="20"/>
                <w:szCs w:val="20"/>
              </w:rPr>
              <w:t>Current Competency Level (by domain)</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309DACFA">
            <w:r>
              <w:rPr>
                <w:rFonts w:ascii="Arial" w:hAnsi="Arial" w:eastAsia="Arial" w:cs="Arial"/>
                <w:b w:val="0"/>
                <w:bCs w:val="0"/>
                <w:color w:val="1C2833"/>
                <w:sz w:val="20"/>
                <w:szCs w:val="20"/>
              </w:rPr>
              <w:t>Domain 1: | Domain 2: | Domain 3: | Domain 4: | Domain 5:</w:t>
            </w:r>
          </w:p>
        </w:tc>
      </w:tr>
      <w:tr w14:paraId="3863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A96DAB4">
            <w:r>
              <w:rPr>
                <w:rFonts w:ascii="Arial" w:hAnsi="Arial" w:eastAsia="Arial" w:cs="Arial"/>
                <w:b w:val="0"/>
                <w:bCs w:val="0"/>
                <w:color w:val="1C2833"/>
                <w:sz w:val="20"/>
                <w:szCs w:val="20"/>
              </w:rPr>
              <w:t>Priority Growth Goal 1</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6E7472B8">
            <w:r>
              <w:rPr>
                <w:rFonts w:ascii="Arial" w:hAnsi="Arial" w:eastAsia="Arial" w:cs="Arial"/>
                <w:b w:val="0"/>
                <w:bCs w:val="0"/>
                <w:color w:val="1C2833"/>
                <w:sz w:val="20"/>
                <w:szCs w:val="20"/>
              </w:rPr>
              <w:t>Goal: | Domain: | Activities: | Resources: | Review date:</w:t>
            </w:r>
          </w:p>
        </w:tc>
      </w:tr>
      <w:tr w14:paraId="01217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F19580B">
            <w:r>
              <w:rPr>
                <w:rFonts w:ascii="Arial" w:hAnsi="Arial" w:eastAsia="Arial" w:cs="Arial"/>
                <w:b w:val="0"/>
                <w:bCs w:val="0"/>
                <w:color w:val="1C2833"/>
                <w:sz w:val="20"/>
                <w:szCs w:val="20"/>
              </w:rPr>
              <w:t>Priority Growth Goal 2</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2E4C1715">
            <w:r>
              <w:rPr>
                <w:rFonts w:ascii="Arial" w:hAnsi="Arial" w:eastAsia="Arial" w:cs="Arial"/>
                <w:b w:val="0"/>
                <w:bCs w:val="0"/>
                <w:color w:val="1C2833"/>
                <w:sz w:val="20"/>
                <w:szCs w:val="20"/>
              </w:rPr>
              <w:t>Goal: | Domain: | Activities: | Resources: | Review date:</w:t>
            </w:r>
          </w:p>
        </w:tc>
      </w:tr>
      <w:tr w14:paraId="5E50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1535E86A">
            <w:r>
              <w:rPr>
                <w:rFonts w:ascii="Arial" w:hAnsi="Arial" w:eastAsia="Arial" w:cs="Arial"/>
                <w:b w:val="0"/>
                <w:bCs w:val="0"/>
                <w:color w:val="1C2833"/>
                <w:sz w:val="20"/>
                <w:szCs w:val="20"/>
              </w:rPr>
              <w:t>Priority Growth Goal 3</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EEA629E">
            <w:r>
              <w:rPr>
                <w:rFonts w:ascii="Arial" w:hAnsi="Arial" w:eastAsia="Arial" w:cs="Arial"/>
                <w:b w:val="0"/>
                <w:bCs w:val="0"/>
                <w:color w:val="1C2833"/>
                <w:sz w:val="20"/>
                <w:szCs w:val="20"/>
              </w:rPr>
              <w:t>Goal: | Domain: | Activities: | Resources: | Review date:</w:t>
            </w:r>
          </w:p>
        </w:tc>
      </w:tr>
      <w:tr w14:paraId="2D6C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022955A4">
            <w:r>
              <w:rPr>
                <w:rFonts w:ascii="Arial" w:hAnsi="Arial" w:eastAsia="Arial" w:cs="Arial"/>
                <w:b w:val="0"/>
                <w:bCs w:val="0"/>
                <w:color w:val="1C2833"/>
                <w:sz w:val="20"/>
                <w:szCs w:val="20"/>
              </w:rPr>
              <w:t>Accountability Partner</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0F3631B">
            <w:r>
              <w:rPr>
                <w:rFonts w:ascii="Arial" w:hAnsi="Arial" w:eastAsia="Arial" w:cs="Arial"/>
                <w:b w:val="0"/>
                <w:bCs w:val="0"/>
                <w:color w:val="1C2833"/>
                <w:sz w:val="20"/>
                <w:szCs w:val="20"/>
              </w:rPr>
              <w:t>Name: | Check-in frequency: | Format:</w:t>
            </w:r>
          </w:p>
        </w:tc>
      </w:tr>
      <w:tr w14:paraId="6F9C1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C21382A">
            <w:r>
              <w:rPr>
                <w:rFonts w:ascii="Arial" w:hAnsi="Arial" w:eastAsia="Arial" w:cs="Arial"/>
                <w:b w:val="0"/>
                <w:bCs w:val="0"/>
                <w:color w:val="1C2833"/>
                <w:sz w:val="20"/>
                <w:szCs w:val="20"/>
              </w:rPr>
              <w:t>Professional Community</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53A97CB8">
            <w:r>
              <w:rPr>
                <w:rFonts w:ascii="Arial" w:hAnsi="Arial" w:eastAsia="Arial" w:cs="Arial"/>
                <w:b w:val="0"/>
                <w:bCs w:val="0"/>
                <w:color w:val="1C2833"/>
                <w:sz w:val="20"/>
                <w:szCs w:val="20"/>
              </w:rPr>
              <w:t>PLC, network, or community of practice I will join or continue:</w:t>
            </w:r>
          </w:p>
        </w:tc>
      </w:tr>
      <w:tr w14:paraId="547B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586D4FDF">
            <w:r>
              <w:rPr>
                <w:rFonts w:ascii="Arial" w:hAnsi="Arial" w:eastAsia="Arial" w:cs="Arial"/>
                <w:b w:val="0"/>
                <w:bCs w:val="0"/>
                <w:color w:val="1C2833"/>
                <w:sz w:val="20"/>
                <w:szCs w:val="20"/>
              </w:rPr>
              <w:t>6-Month Self-Review Date</w:t>
            </w:r>
          </w:p>
        </w:tc>
        <w:tc>
          <w:tcPr>
            <w:tcW w:w="6026" w:type="dxa"/>
            <w:tcBorders>
              <w:top w:val="single" w:color="D5D8DC" w:sz="4" w:space="0"/>
              <w:left w:val="single" w:color="D5D8DC" w:sz="4" w:space="0"/>
              <w:bottom w:val="single" w:color="D5D8DC" w:sz="4" w:space="0"/>
              <w:right w:val="single" w:color="D5D8DC" w:sz="4" w:space="0"/>
            </w:tcBorders>
            <w:shd w:val="clear" w:color="auto" w:fill="F2F3F4"/>
            <w:tcMar>
              <w:top w:w="100" w:type="dxa"/>
              <w:left w:w="140" w:type="dxa"/>
              <w:bottom w:w="100" w:type="dxa"/>
              <w:right w:w="140" w:type="dxa"/>
            </w:tcMar>
            <w:vAlign w:val="center"/>
          </w:tcPr>
          <w:p w14:paraId="121DDF31"/>
        </w:tc>
      </w:tr>
      <w:tr w14:paraId="67C5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3A3B583">
            <w:r>
              <w:rPr>
                <w:rFonts w:ascii="Arial" w:hAnsi="Arial" w:eastAsia="Arial" w:cs="Arial"/>
                <w:b w:val="0"/>
                <w:bCs w:val="0"/>
                <w:color w:val="1C2833"/>
                <w:sz w:val="20"/>
                <w:szCs w:val="20"/>
              </w:rPr>
              <w:t>12-Month Self-Review Date</w:t>
            </w:r>
          </w:p>
        </w:tc>
        <w:tc>
          <w:tcPr>
            <w:tcW w:w="6026" w:type="dxa"/>
            <w:tcBorders>
              <w:top w:val="single" w:color="D5D8DC" w:sz="4" w:space="0"/>
              <w:left w:val="single" w:color="D5D8DC" w:sz="4" w:space="0"/>
              <w:bottom w:val="single" w:color="D5D8DC" w:sz="4" w:space="0"/>
              <w:right w:val="single" w:color="D5D8DC" w:sz="4" w:space="0"/>
            </w:tcBorders>
            <w:shd w:val="clear" w:color="auto" w:fill="FFFFFF"/>
            <w:tcMar>
              <w:top w:w="100" w:type="dxa"/>
              <w:left w:w="140" w:type="dxa"/>
              <w:bottom w:w="100" w:type="dxa"/>
              <w:right w:w="140" w:type="dxa"/>
            </w:tcMar>
            <w:vAlign w:val="center"/>
          </w:tcPr>
          <w:p w14:paraId="37C8EB6D"/>
        </w:tc>
      </w:tr>
    </w:tbl>
    <w:p w14:paraId="5F35F801">
      <w:pPr>
        <w:spacing w:after="120"/>
      </w:pPr>
    </w:p>
    <w:p w14:paraId="17C7F0B8">
      <w:pPr>
        <w:spacing w:after="120"/>
      </w:pPr>
    </w:p>
    <w:p w14:paraId="12231661">
      <w:pPr>
        <w:spacing w:after="120"/>
      </w:pPr>
    </w:p>
    <w:p w14:paraId="3F02EF49">
      <w:pPr>
        <w:spacing w:after="120"/>
      </w:pPr>
    </w:p>
    <w:p w14:paraId="25ACA624">
      <w:pPr>
        <w:spacing w:after="120"/>
      </w:pPr>
    </w:p>
    <w:p w14:paraId="54FF9F8D">
      <w:pPr>
        <w:spacing w:after="120"/>
      </w:pPr>
    </w:p>
    <w:p w14:paraId="0D803E84">
      <w:pPr>
        <w:spacing w:after="120"/>
      </w:pPr>
    </w:p>
    <w:p w14:paraId="688DEC24">
      <w:pPr>
        <w:spacing w:after="120"/>
      </w:pPr>
    </w:p>
    <w:p w14:paraId="2736BA0B">
      <w:pPr>
        <w:spacing w:after="120"/>
      </w:pPr>
    </w:p>
    <w:p w14:paraId="6EF337C6">
      <w:pPr>
        <w:spacing w:after="120"/>
      </w:pPr>
    </w:p>
    <w:p w14:paraId="70045A0C">
      <w:pPr>
        <w:spacing w:after="120"/>
      </w:pPr>
    </w:p>
    <w:p w14:paraId="56EDC3B8">
      <w:pPr>
        <w:spacing w:after="120"/>
      </w:pPr>
    </w:p>
    <w:p w14:paraId="57D0C859">
      <w:pPr>
        <w:spacing w:after="120"/>
      </w:pPr>
    </w:p>
    <w:p w14:paraId="0091A0C2">
      <w:pPr>
        <w:spacing w:after="120"/>
      </w:pPr>
    </w:p>
    <w:p w14:paraId="20EB3CC1">
      <w:pPr>
        <w:spacing w:after="120"/>
      </w:pPr>
      <w:r>
        <w:rPr>
          <w:sz w:val="22"/>
        </w:rPr>
        <mc:AlternateContent>
          <mc:Choice Requires="wps">
            <w:drawing>
              <wp:anchor distT="0" distB="0" distL="114300" distR="114300" simplePos="0" relativeHeight="251659264" behindDoc="0" locked="0" layoutInCell="1" allowOverlap="1">
                <wp:simplePos x="0" y="0"/>
                <wp:positionH relativeFrom="column">
                  <wp:posOffset>314325</wp:posOffset>
                </wp:positionH>
                <wp:positionV relativeFrom="paragraph">
                  <wp:posOffset>37465</wp:posOffset>
                </wp:positionV>
                <wp:extent cx="5135880" cy="1155700"/>
                <wp:effectExtent l="4445" t="4445" r="15875" b="8255"/>
                <wp:wrapNone/>
                <wp:docPr id="1" name="Text Box 1"/>
                <wp:cNvGraphicFramePr/>
                <a:graphic xmlns:a="http://schemas.openxmlformats.org/drawingml/2006/main">
                  <a:graphicData uri="http://schemas.microsoft.com/office/word/2010/wordprocessingShape">
                    <wps:wsp>
                      <wps:cNvSpPr txBox="1"/>
                      <wps:spPr>
                        <a:xfrm>
                          <a:off x="1209040" y="7861300"/>
                          <a:ext cx="5135880" cy="1155700"/>
                        </a:xfrm>
                        <a:prstGeom prst="rect">
                          <a:avLst/>
                        </a:prstGeom>
                        <a:solidFill>
                          <a:schemeClr val="accent5">
                            <a:lumMod val="20000"/>
                            <a:lumOff val="80000"/>
                          </a:schemeClr>
                        </a:solidFill>
                        <a:ln w="6350">
                          <a:solidFill>
                            <a:schemeClr val="accent1">
                              <a:lumMod val="75000"/>
                            </a:schemeClr>
                          </a:solidFill>
                        </a:ln>
                      </wps:spPr>
                      <wps:style>
                        <a:lnRef idx="0">
                          <a:schemeClr val="accent1"/>
                        </a:lnRef>
                        <a:fillRef idx="0">
                          <a:schemeClr val="accent1"/>
                        </a:fillRef>
                        <a:effectRef idx="0">
                          <a:schemeClr val="accent1"/>
                        </a:effectRef>
                        <a:fontRef idx="minor">
                          <a:schemeClr val="dk1"/>
                        </a:fontRef>
                      </wps:style>
                      <wps:txbx>
                        <w:txbxContent>
                          <w:p w14:paraId="6E8207E7">
                            <w:pPr>
                              <w:spacing w:before="200" w:after="120"/>
                              <w:jc w:val="center"/>
                              <w:rPr>
                                <w:color w:val="376092" w:themeColor="accent1" w:themeShade="BF"/>
                              </w:rPr>
                            </w:pPr>
                            <w:r>
                              <w:rPr>
                                <w:rFonts w:ascii="Arial" w:hAnsi="Arial" w:eastAsia="Arial" w:cs="Arial"/>
                                <w:b/>
                                <w:bCs/>
                                <w:color w:val="376092" w:themeColor="accent1" w:themeShade="BF"/>
                                <w:sz w:val="22"/>
                                <w:szCs w:val="22"/>
                              </w:rPr>
                              <w:t>© 202</w:t>
                            </w:r>
                            <w:r>
                              <w:rPr>
                                <w:rFonts w:hint="default" w:cs="Arial"/>
                                <w:b/>
                                <w:bCs/>
                                <w:color w:val="376092" w:themeColor="accent1" w:themeShade="BF"/>
                                <w:sz w:val="22"/>
                                <w:szCs w:val="22"/>
                                <w:lang w:val="fr-FR"/>
                              </w:rPr>
                              <w:t>6</w:t>
                            </w:r>
                            <w:r>
                              <w:rPr>
                                <w:rFonts w:ascii="Arial" w:hAnsi="Arial" w:eastAsia="Arial" w:cs="Arial"/>
                                <w:b/>
                                <w:bCs/>
                                <w:color w:val="376092" w:themeColor="accent1" w:themeShade="BF"/>
                                <w:sz w:val="22"/>
                                <w:szCs w:val="22"/>
                              </w:rPr>
                              <w:t xml:space="preserve"> Rayene Medabis — All Rights Reserved</w:t>
                            </w:r>
                          </w:p>
                          <w:p w14:paraId="40A51233">
                            <w:pPr>
                              <w:spacing w:after="60"/>
                              <w:jc w:val="center"/>
                            </w:pPr>
                            <w:r>
                              <w:rPr>
                                <w:rFonts w:ascii="Arial" w:hAnsi="Arial" w:eastAsia="Arial" w:cs="Arial"/>
                                <w:i/>
                                <w:iCs/>
                                <w:color w:val="5D6D7E"/>
                                <w:sz w:val="22"/>
                                <w:szCs w:val="22"/>
                              </w:rPr>
                              <w:t>The Trainer-Supervisor Mastery Program</w:t>
                            </w:r>
                          </w:p>
                          <w:p w14:paraId="484F33CA">
                            <w:pPr>
                              <w:spacing w:after="60"/>
                              <w:jc w:val="center"/>
                            </w:pPr>
                            <w:r>
                              <w:rPr>
                                <w:rFonts w:ascii="Arial" w:hAnsi="Arial" w:eastAsia="Arial" w:cs="Arial"/>
                                <w:color w:val="5D6D7E"/>
                                <w:sz w:val="18"/>
                                <w:szCs w:val="18"/>
                              </w:rPr>
                              <w:t>This document is the exclusive intellectual property of Rayene Medabis. Unauthorised reproduction or use is strictly prohibited.</w:t>
                            </w:r>
                          </w:p>
                          <w:p w14:paraId="79FD6F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5pt;margin-top:2.95pt;height:91pt;width:404.4pt;z-index:251659264;mso-width-relative:page;mso-height-relative:page;" fillcolor="#DBEEF4 [664]" filled="t" stroked="t" coordsize="21600,21600" o:gfxdata="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QyhNZ1wAAAAgBAAAPAAAAAAAAAAEAIAAAACIAAABkcnMv&#10;ZG93bnJldi54bWxQSwECFAAUAAAACACHTuJAZK5Q2HYCAAAfBQAADgAAAAAAAAABACAAAAAmAQAA&#10;ZHJzL2Uyb0RvYy54bWxQSwUGAAAAAAYABgBZAQAADgYAAAAA&#10;">
                <v:fill on="t" focussize="0,0"/>
                <v:stroke weight="0.5pt" color="#376092 [2404]" joinstyle="round"/>
                <v:imagedata o:title=""/>
                <o:lock v:ext="edit" aspectratio="f"/>
                <v:textbox>
                  <w:txbxContent>
                    <w:p w14:paraId="6E8207E7">
                      <w:pPr>
                        <w:spacing w:before="200" w:after="120"/>
                        <w:jc w:val="center"/>
                        <w:rPr>
                          <w:color w:val="376092" w:themeColor="accent1" w:themeShade="BF"/>
                        </w:rPr>
                      </w:pPr>
                      <w:r>
                        <w:rPr>
                          <w:rFonts w:ascii="Arial" w:hAnsi="Arial" w:eastAsia="Arial" w:cs="Arial"/>
                          <w:b/>
                          <w:bCs/>
                          <w:color w:val="376092" w:themeColor="accent1" w:themeShade="BF"/>
                          <w:sz w:val="22"/>
                          <w:szCs w:val="22"/>
                        </w:rPr>
                        <w:t>© 202</w:t>
                      </w:r>
                      <w:r>
                        <w:rPr>
                          <w:rFonts w:hint="default" w:cs="Arial"/>
                          <w:b/>
                          <w:bCs/>
                          <w:color w:val="376092" w:themeColor="accent1" w:themeShade="BF"/>
                          <w:sz w:val="22"/>
                          <w:szCs w:val="22"/>
                          <w:lang w:val="fr-FR"/>
                        </w:rPr>
                        <w:t>6</w:t>
                      </w:r>
                      <w:r>
                        <w:rPr>
                          <w:rFonts w:ascii="Arial" w:hAnsi="Arial" w:eastAsia="Arial" w:cs="Arial"/>
                          <w:b/>
                          <w:bCs/>
                          <w:color w:val="376092" w:themeColor="accent1" w:themeShade="BF"/>
                          <w:sz w:val="22"/>
                          <w:szCs w:val="22"/>
                        </w:rPr>
                        <w:t xml:space="preserve"> Rayene Medabis — All Rights Reserved</w:t>
                      </w:r>
                    </w:p>
                    <w:p w14:paraId="40A51233">
                      <w:pPr>
                        <w:spacing w:after="60"/>
                        <w:jc w:val="center"/>
                      </w:pPr>
                      <w:r>
                        <w:rPr>
                          <w:rFonts w:ascii="Arial" w:hAnsi="Arial" w:eastAsia="Arial" w:cs="Arial"/>
                          <w:i/>
                          <w:iCs/>
                          <w:color w:val="5D6D7E"/>
                          <w:sz w:val="22"/>
                          <w:szCs w:val="22"/>
                        </w:rPr>
                        <w:t>The Trainer-Supervisor Mastery Program</w:t>
                      </w:r>
                    </w:p>
                    <w:p w14:paraId="484F33CA">
                      <w:pPr>
                        <w:spacing w:after="60"/>
                        <w:jc w:val="center"/>
                      </w:pPr>
                      <w:r>
                        <w:rPr>
                          <w:rFonts w:ascii="Arial" w:hAnsi="Arial" w:eastAsia="Arial" w:cs="Arial"/>
                          <w:color w:val="5D6D7E"/>
                          <w:sz w:val="18"/>
                          <w:szCs w:val="18"/>
                        </w:rPr>
                        <w:t>This document is the exclusive intellectual property of Rayene Medabis. Unauthorised reproduction or use is strictly prohibited.</w:t>
                      </w:r>
                    </w:p>
                    <w:p w14:paraId="79FD6F58"/>
                  </w:txbxContent>
                </v:textbox>
              </v:shape>
            </w:pict>
          </mc:Fallback>
        </mc:AlternateContent>
      </w:r>
    </w:p>
    <w:p w14:paraId="307FD012">
      <w:pPr>
        <w:spacing w:after="120"/>
      </w:pPr>
    </w:p>
    <w:p w14:paraId="13D15AF3">
      <w:pPr>
        <w:spacing w:after="120"/>
      </w:pPr>
    </w:p>
    <w:p w14:paraId="67BFCF41">
      <w:pPr>
        <w:spacing w:after="120"/>
      </w:pPr>
    </w:p>
    <w:p w14:paraId="64AC5017">
      <w:pPr>
        <w:spacing w:after="120"/>
      </w:pPr>
    </w:p>
    <w:p w14:paraId="0CC2D4FC">
      <w:pPr>
        <w:spacing w:after="120"/>
      </w:pPr>
    </w:p>
    <w:p w14:paraId="3D3D0893">
      <w:pPr>
        <w:spacing w:after="120"/>
      </w:pPr>
    </w:p>
    <w:p w14:paraId="22C69541">
      <w:pPr>
        <w:spacing w:after="120"/>
      </w:pPr>
      <w:bookmarkStart w:id="0" w:name="_GoBack"/>
      <w:bookmarkEnd w:id="0"/>
    </w:p>
    <w:p w14:paraId="4171CF95">
      <w:pPr>
        <w:spacing w:after="120"/>
      </w:pPr>
    </w:p>
    <w:p w14:paraId="452A3B01">
      <w:pPr>
        <w:spacing w:after="120"/>
      </w:pPr>
    </w:p>
    <w:p w14:paraId="79C561B8">
      <w:pPr>
        <w:spacing w:after="120"/>
      </w:pPr>
    </w:p>
    <w:p w14:paraId="4DCF603D">
      <w:pPr>
        <w:spacing w:after="120"/>
      </w:pPr>
    </w:p>
    <w:p w14:paraId="03CE5001">
      <w:pPr>
        <w:spacing w:after="120"/>
      </w:pPr>
    </w:p>
    <w:p w14:paraId="19A57923">
      <w:pPr>
        <w:spacing w:after="120"/>
      </w:pPr>
    </w:p>
    <w:p w14:paraId="46686763">
      <w:pPr>
        <w:spacing w:after="120"/>
      </w:pPr>
    </w:p>
    <w:p w14:paraId="4F3D98D9">
      <w:pPr>
        <w:spacing w:after="120"/>
      </w:pPr>
    </w:p>
    <w:p w14:paraId="1506B610">
      <w:pPr>
        <w:spacing w:after="120"/>
      </w:pPr>
    </w:p>
    <w:p w14:paraId="28F032A3">
      <w:pPr>
        <w:spacing w:after="120"/>
      </w:pPr>
    </w:p>
    <w:p w14:paraId="59ED135A">
      <w:pPr>
        <w:spacing w:after="120"/>
      </w:pPr>
    </w:p>
    <w:sectPr>
      <w:headerReference r:id="rId3" w:type="default"/>
      <w:footerReference r:id="rId4" w:type="default"/>
      <w:pgSz w:w="11906" w:h="16838"/>
      <w:pgMar w:top="1440" w:right="1440" w:bottom="1440" w:left="144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4BBB4">
    <w:pPr>
      <w:pBdr>
        <w:top w:val="single" w:color="1B4F72" w:sz="6" w:space="4"/>
      </w:pBdr>
      <w:tabs>
        <w:tab w:val="right" w:pos="9026"/>
      </w:tabs>
      <w:spacing w:before="100" w:after="0"/>
    </w:pPr>
    <w:r>
      <w:rPr>
        <w:rFonts w:ascii="Arial" w:hAnsi="Arial" w:eastAsia="Arial" w:cs="Arial"/>
        <w:color w:val="5D6D7E"/>
        <w:sz w:val="18"/>
        <w:szCs w:val="18"/>
      </w:rPr>
      <w:t>© 202</w:t>
    </w:r>
    <w:r>
      <w:rPr>
        <w:rFonts w:hint="default" w:cs="Arial"/>
        <w:color w:val="5D6D7E"/>
        <w:sz w:val="18"/>
        <w:szCs w:val="18"/>
        <w:lang w:val="fr-FR"/>
      </w:rPr>
      <w:t>6</w:t>
    </w:r>
    <w:r>
      <w:rPr>
        <w:rFonts w:ascii="Arial" w:hAnsi="Arial" w:eastAsia="Arial" w:cs="Arial"/>
        <w:color w:val="5D6D7E"/>
        <w:sz w:val="18"/>
        <w:szCs w:val="18"/>
      </w:rPr>
      <w:t xml:space="preserve"> Rayene Medabis — All Rights Reserved</w:t>
    </w:r>
    <w:r>
      <w:rPr>
        <w:rFonts w:ascii="Arial" w:hAnsi="Arial" w:eastAsia="Arial" w:cs="Arial"/>
        <w:sz w:val="18"/>
        <w:szCs w:val="18"/>
      </w:rPr>
      <w:tab/>
    </w:r>
    <w:r>
      <w:rPr>
        <w:rFonts w:ascii="Arial" w:hAnsi="Arial" w:eastAsia="Arial" w:cs="Arial"/>
        <w:b/>
        <w:bCs/>
        <w:color w:val="1B4F72"/>
        <w:sz w:val="18"/>
        <w:szCs w:val="18"/>
      </w:rPr>
      <w:fldChar w:fldCharType="begin"/>
    </w:r>
    <w:r>
      <w:rPr>
        <w:rFonts w:ascii="Arial" w:hAnsi="Arial" w:eastAsia="Arial" w:cs="Arial"/>
        <w:b/>
        <w:bCs/>
        <w:color w:val="1B4F72"/>
        <w:sz w:val="18"/>
        <w:szCs w:val="18"/>
      </w:rPr>
      <w:instrText xml:space="preserve">PAGE</w:instrText>
    </w:r>
    <w:r>
      <w:rPr>
        <w:rFonts w:ascii="Arial" w:hAnsi="Arial" w:eastAsia="Arial" w:cs="Arial"/>
        <w:b/>
        <w:bCs/>
        <w:color w:val="1B4F72"/>
        <w:sz w:val="18"/>
        <w:szCs w:val="18"/>
      </w:rPr>
      <w:fldChar w:fldCharType="separate"/>
    </w:r>
    <w:r>
      <w:rPr>
        <w:rFonts w:ascii="Arial" w:hAnsi="Arial" w:eastAsia="Arial" w:cs="Arial"/>
        <w:b/>
        <w:bCs/>
        <w:color w:val="1B4F72"/>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17B8F">
    <w:pPr>
      <w:pBdr>
        <w:bottom w:val="single" w:color="1B4F72" w:sz="6" w:space="4"/>
      </w:pBdr>
      <w:tabs>
        <w:tab w:val="right" w:pos="9026"/>
      </w:tabs>
      <w:spacing w:before="0" w:after="100"/>
    </w:pPr>
    <w:r>
      <w:rPr>
        <w:rFonts w:ascii="Arial" w:hAnsi="Arial" w:eastAsia="Arial" w:cs="Arial"/>
        <w:b/>
        <w:bCs/>
        <w:color w:val="1B4F72"/>
        <w:sz w:val="18"/>
        <w:szCs w:val="18"/>
      </w:rPr>
      <w:t>The Trainer-Supervisor Mastery Program</w:t>
    </w:r>
    <w:r>
      <w:rPr>
        <w:rFonts w:ascii="Arial" w:hAnsi="Arial" w:eastAsia="Arial" w:cs="Arial"/>
        <w:sz w:val="18"/>
        <w:szCs w:val="18"/>
      </w:rPr>
      <w:tab/>
    </w:r>
    <w:r>
      <w:rPr>
        <w:rFonts w:ascii="Arial" w:hAnsi="Arial" w:eastAsia="Arial" w:cs="Arial"/>
        <w:i/>
        <w:iCs/>
        <w:color w:val="5D6D7E"/>
        <w:sz w:val="18"/>
        <w:szCs w:val="18"/>
      </w:rPr>
      <w:t>Rayene Medabis, M.Ed.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spacing w:after="80"/>
        <w:ind w:left="560" w:hanging="280"/>
      </w:pPr>
      <w:rPr>
        <w:rFonts w:ascii="Arial" w:hAnsi="Arial" w:eastAsia="Arial" w:cs="Arial"/>
        <w:sz w:val="22"/>
        <w:szCs w:val="22"/>
      </w:rPr>
    </w:lvl>
  </w:abstractNum>
  <w:abstractNum w:abstractNumId="1">
    <w:nsid w:val="59ADCABA"/>
    <w:multiLevelType w:val="singleLevel"/>
    <w:tmpl w:val="59ADCABA"/>
    <w:lvl w:ilvl="0" w:tentative="0">
      <w:start w:val="1"/>
      <w:numFmt w:val="decimal"/>
      <w:lvlText w:val="%1."/>
      <w:lvlJc w:val="left"/>
      <w:pPr>
        <w:spacing w:after="80"/>
        <w:ind w:left="560" w:hanging="280"/>
      </w:pPr>
      <w:rPr>
        <w:rFonts w:ascii="Arial" w:hAnsi="Arial" w:eastAsia="Arial" w:cs="Arial"/>
        <w:sz w:val="22"/>
        <w:szCs w:val="22"/>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22E3727"/>
    <w:rsid w:val="7C922C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C2833"/>
      <w:sz w:val="22"/>
      <w:szCs w:val="22"/>
    </w:rPr>
  </w:style>
  <w:style w:type="paragraph" w:styleId="2">
    <w:name w:val="heading 1"/>
    <w:next w:val="1"/>
    <w:qFormat/>
    <w:uiPriority w:val="0"/>
    <w:pPr>
      <w:spacing w:before="0" w:after="200"/>
      <w:outlineLvl w:val="0"/>
    </w:pPr>
    <w:rPr>
      <w:rFonts w:ascii="Arial" w:hAnsi="Arial" w:eastAsia="Arial" w:cs="Arial"/>
      <w:b/>
      <w:bCs/>
      <w:color w:val="FFFFFF"/>
      <w:sz w:val="38"/>
      <w:szCs w:val="38"/>
    </w:rPr>
  </w:style>
  <w:style w:type="paragraph" w:styleId="3">
    <w:name w:val="heading 2"/>
    <w:next w:val="1"/>
    <w:qFormat/>
    <w:uiPriority w:val="0"/>
    <w:pPr>
      <w:spacing w:before="320" w:after="140"/>
      <w:outlineLvl w:val="1"/>
    </w:pPr>
    <w:rPr>
      <w:rFonts w:ascii="Arial" w:hAnsi="Arial" w:eastAsia="Arial" w:cs="Arial"/>
      <w:b/>
      <w:bCs/>
      <w:color w:val="1B4F72"/>
      <w:sz w:val="28"/>
      <w:szCs w:val="28"/>
    </w:rPr>
  </w:style>
  <w:style w:type="paragraph" w:styleId="4">
    <w:name w:val="heading 3"/>
    <w:next w:val="1"/>
    <w:qFormat/>
    <w:uiPriority w:val="0"/>
    <w:pPr>
      <w:spacing w:before="220" w:after="80"/>
      <w:outlineLvl w:val="2"/>
    </w:pPr>
    <w:rPr>
      <w:rFonts w:ascii="Arial" w:hAnsi="Arial" w:eastAsia="Arial" w:cs="Arial"/>
      <w:b/>
      <w:bCs/>
      <w:color w:val="2E86C1"/>
      <w:sz w:val="24"/>
      <w:szCs w:val="24"/>
    </w:rPr>
  </w:style>
  <w:style w:type="paragraph" w:styleId="5">
    <w:name w:val="heading 4"/>
    <w:next w:val="1"/>
    <w:qFormat/>
    <w:uiPriority w:val="0"/>
    <w:pPr>
      <w:spacing w:before="160" w:after="60"/>
      <w:outlineLvl w:val="3"/>
    </w:pPr>
    <w:rPr>
      <w:rFonts w:ascii="Arial" w:hAnsi="Arial" w:eastAsia="Arial" w:cs="Arial"/>
      <w:b/>
      <w:bCs/>
      <w:color w:val="0E665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1C2833"/>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1C2833"/>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1C2833"/>
      <w:sz w:val="56"/>
      <w:szCs w:val="56"/>
    </w:rPr>
  </w:style>
  <w:style w:type="paragraph" w:styleId="16">
    <w:name w:val="List Paragraph"/>
    <w:qFormat/>
    <w:uiPriority w:val="0"/>
    <w:rPr>
      <w:rFonts w:ascii="Arial" w:hAnsi="Arial" w:eastAsia="Arial" w:cs="Arial"/>
      <w:color w:val="1C2833"/>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66</Pages>
  <TotalTime>23</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2026-06-18T19:16:00Z</dcterms:created>
  <dc:creator>Un-named</dc:creator>
  <cp:lastModifiedBy>rayen</cp:lastModifiedBy>
  <dcterms:modified xsi:type="dcterms:W3CDTF">2026-06-18T20:13:30Z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41479BA8ADD3442B969E1B884E0702FA_12</vt:lpwstr>
  </property>
</Properties>
</file>