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ans" w:hAnsi="Liberation Sans" w:eastAsia="Liberation Sans"/>
          <w:b/>
          <w:color w:val="D99A1B"/>
          <w:sz w:val="22"/>
        </w:rPr>
        <w:t>ARCHITECTURE INTELLIGENCE WORKBENCH</w:t>
      </w:r>
    </w:p>
    <w:p>
      <w:pPr>
        <w:pStyle w:val="Title"/>
        <w:pBdr>
          <w:bottom w:val="single" w:sz="28" w:space="6" w:color="D99A1B"/>
        </w:pBdr>
      </w:pPr>
      <w:r>
        <w:rPr>
          <w:rFonts w:ascii="Liberation Sans" w:hAnsi="Liberation Sans" w:eastAsia="Liberation Sans"/>
          <w:b/>
          <w:color w:val="0B1F3A"/>
          <w:sz w:val="60"/>
        </w:rPr>
        <w:t>Canonical Metamodel Specification</w:t>
      </w:r>
    </w:p>
    <w:p>
      <w:pPr>
        <w:pStyle w:val="Subtitle"/>
      </w:pPr>
      <w:r>
        <w:rPr>
          <w:rFonts w:ascii="Liberation Sans" w:hAnsi="Liberation Sans" w:eastAsia="Liberation Sans"/>
          <w:color w:val="667085"/>
          <w:sz w:val="28"/>
        </w:rPr>
        <w:t>Framework-neutral architecture graph, knowledge ontology, rules and implementation contracts</w:t>
      </w:r>
    </w:p>
    <w:p/>
    <w:tbl>
      <w:tblPr>
        <w:tblW w:type="auto" w:w="0"/>
        <w:tblLayout w:type="fixed"/>
        <w:tblLook w:firstColumn="1" w:firstRow="1" w:lastColumn="0" w:lastRow="0" w:noHBand="0" w:noVBand="1" w:val="04A0"/>
      </w:tblPr>
      <w:tblGrid>
        <w:gridCol w:w="5112"/>
        <w:gridCol w:w="5112"/>
      </w:tblGrid>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Document code</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AIW-META-001</w:t>
            </w:r>
          </w:p>
        </w:tc>
      </w:tr>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Version</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1D2939"/>
                <w:sz w:val="18"/>
              </w:rPr>
              <w:t>0.1</w:t>
            </w:r>
          </w:p>
        </w:tc>
      </w:tr>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Status</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Phase 0 — Build-ready draft</w:t>
            </w:r>
          </w:p>
        </w:tc>
      </w:tr>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Date</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1 July 2026</w:t>
            </w:r>
          </w:p>
        </w:tc>
      </w:tr>
      <w:tr>
        <w:tc>
          <w:tcPr>
            <w:tcW w:type="dxa" w:w="2160"/>
            <w:shd w:fill="0D7C80"/>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Source basis</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Sponsor discovery responses and consolidated product blueprint</w:t>
            </w:r>
          </w:p>
        </w:tc>
      </w:tr>
    </w:tbl>
    <w:p/>
    <w:p>
      <w:r>
        <w:rPr>
          <w:rFonts w:ascii="Liberation Sans" w:hAnsi="Liberation Sans" w:eastAsia="Liberation Sans"/>
          <w:b/>
          <w:color w:val="0D7C80"/>
          <w:sz w:val="20"/>
        </w:rPr>
        <w:t>Product statement</w:t>
      </w:r>
    </w:p>
    <w:p>
      <w:pPr>
        <w:pStyle w:val="Callout"/>
        <w:shd w:fill="E6F4F4"/>
        <w:pBdr>
          <w:left w:val="single" w:sz="18" w:space="4" w:color="0D7C80"/>
        </w:pBdr>
      </w:pPr>
      <w:r>
        <w:rPr>
          <w:rFonts w:ascii="Liberation Sans" w:hAnsi="Liberation Sans" w:eastAsia="Liberation Sans"/>
          <w:b/>
          <w:color w:val="0B1F3A"/>
          <w:sz w:val="26"/>
        </w:rPr>
        <w:t>A visual, explainable and framework-neutral architecture design environment that guides users from business objectives and quality attributes to logical application design, application realization, technology architecture, deployment design and implementation scaffolding.</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Role</w:t>
            </w:r>
          </w:p>
        </w:tc>
        <w:tc>
          <w:tcPr>
            <w:tcW w:type="dxa" w:w="36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Responsibility</w:t>
            </w:r>
          </w:p>
        </w:tc>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Status</w:t>
            </w:r>
          </w:p>
        </w:tc>
        <w:tc>
          <w:tcPr>
            <w:tcW w:type="dxa" w:w="21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Target gate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Document owner</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Architecture Product Office / Chief Metamodel Architect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Prepared for</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Domain, frontend, backend, knowledge, AI and data engineering teams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Purpose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Define the source-of-truth model that all views, recommendations, rules, decisions and artifacts must use.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Schema artifact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aiw-canonical-metamodel.schema.json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Seed library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aiw-seed-knowledge-library-v0.1.json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Conformance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An implementation is conformant only when persisted and exported models validate against the canonical contract.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r>
    </w:tbl>
    <w:p>
      <w:pPr>
        <w:pStyle w:val="Callout"/>
        <w:shd w:fill="EAF2F8"/>
        <w:pBdr>
          <w:left w:val="single" w:sz="18" w:space="4" w:color="2C5F8A"/>
        </w:pBdr>
      </w:pPr>
      <w:r>
        <w:rPr>
          <w:rFonts w:ascii="Liberation Sans" w:hAnsi="Liberation Sans" w:eastAsia="Liberation Sans"/>
          <w:b/>
          <w:color w:val="2C5F8A"/>
          <w:sz w:val="20"/>
        </w:rPr>
        <w:t>Document intent</w:t>
        <w:br/>
      </w:r>
      <w:r>
        <w:rPr>
          <w:rFonts w:ascii="Liberation Sans" w:hAnsi="Liberation Sans" w:eastAsia="Liberation Sans"/>
          <w:color w:val="1D2939"/>
          <w:sz w:val="19"/>
        </w:rPr>
        <w:t>This draft establishes a stable product and model contract for detailed design and MVP implementation. Changes to canonical semantics require controlled review.</w:t>
      </w:r>
    </w:p>
    <w:p>
      <w:pPr>
        <w:pStyle w:val="Heading1"/>
      </w:pPr>
      <w:r>
        <w:t>Contents</w:t>
      </w:r>
    </w:p>
    <w:tbl>
      <w:tblPr>
        <w:tblW w:type="auto" w:w="0"/>
        <w:tblLayout w:type="fixed"/>
        <w:tblLook w:firstColumn="1" w:firstRow="1" w:lastColumn="0" w:lastRow="0" w:noHBand="0" w:noVBand="1" w:val="04A0"/>
      </w:tblPr>
      <w:tblGrid>
        <w:gridCol w:w="5112"/>
        <w:gridCol w:w="5112"/>
      </w:tblGrid>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Purpose and metamodel principles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2</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Architecture stages and viewpoints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3</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Canonical object model</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4</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Relationship model and cardinality</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5</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Intent, requirements and quality attributes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6</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Architecture knowledge ontology</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7</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Rule, finding and obligation model</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8</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Recommendation model</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9</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Decisions, evidence and traceability</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10</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Versioning, change sets and AI diff</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11</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Persistence, APIs and interoperability</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12</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Seed library and benchmark calibration</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13</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Governance and extension model</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14</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Conformance and implementation checklist</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Appendix A</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Enumerations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Appendix B</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Canonical JSON example</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Appendix C</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Rule DSL example</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Appendix D</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Relationship catalogue</w:t>
            </w:r>
          </w:p>
        </w:tc>
      </w:tr>
    </w:tbl>
    <w:p>
      <w:r>
        <w:br w:type="page"/>
      </w:r>
    </w:p>
    <w:p>
      <w:pPr>
        <w:pStyle w:val="Heading1"/>
      </w:pPr>
      <w:r>
        <w:t>1. Purpose and metamodel principles</w:t>
      </w:r>
    </w:p>
    <w:p>
      <w:pPr>
        <w:pStyle w:val="Callout"/>
        <w:shd w:fill="EAF2F8"/>
        <w:pBdr>
          <w:left w:val="single" w:sz="18" w:space="4" w:color="2C5F8A"/>
        </w:pBdr>
      </w:pPr>
      <w:r>
        <w:rPr>
          <w:rFonts w:ascii="Liberation Sans" w:hAnsi="Liberation Sans" w:eastAsia="Liberation Sans"/>
          <w:b/>
          <w:color w:val="0B1F3A"/>
          <w:sz w:val="20"/>
        </w:rPr>
        <w:t>The metamodel is the stable semantic foundation of the workbench. Diagrams, forms, recommendations, audits, ADRs, reports and generated scaffolding must reference the same canonical objects rather than maintaining separate document-specific structures.</w:t>
      </w:r>
    </w:p>
    <w:p>
      <w:pPr>
        <w:jc w:val="center"/>
      </w:pPr>
      <w:r>
        <w:drawing>
          <wp:inline xmlns:a="http://schemas.openxmlformats.org/drawingml/2006/main" xmlns:pic="http://schemas.openxmlformats.org/drawingml/2006/picture">
            <wp:extent cx="6263640" cy="2175790"/>
            <wp:docPr id="1" name="Picture 1" descr="Figure 1. Required traceability chain from intent to realized and governed architecture." title="Figure 1. Required traceability chain from intent to realized and governed architecture."/>
            <wp:cNvGraphicFramePr>
              <a:graphicFrameLocks noChangeAspect="1"/>
            </wp:cNvGraphicFramePr>
            <a:graphic>
              <a:graphicData uri="http://schemas.openxmlformats.org/drawingml/2006/picture">
                <pic:pic>
                  <pic:nvPicPr>
                    <pic:cNvPr id="0" name="traceability_chain.png"/>
                    <pic:cNvPicPr/>
                  </pic:nvPicPr>
                  <pic:blipFill>
                    <a:blip r:embed="rId11"/>
                    <a:stretch>
                      <a:fillRect/>
                    </a:stretch>
                  </pic:blipFill>
                  <pic:spPr>
                    <a:xfrm>
                      <a:off x="0" y="0"/>
                      <a:ext cx="6263640" cy="2175790"/>
                    </a:xfrm>
                    <a:prstGeom prst="rect"/>
                  </pic:spPr>
                </pic:pic>
              </a:graphicData>
            </a:graphic>
          </wp:inline>
        </w:drawing>
      </w:r>
    </w:p>
    <w:p>
      <w:pPr>
        <w:jc w:val="center"/>
      </w:pPr>
      <w:r>
        <w:rPr>
          <w:rFonts w:ascii="Liberation Sans" w:hAnsi="Liberation Sans" w:eastAsia="Liberation Sans"/>
          <w:i/>
          <w:color w:val="667085"/>
          <w:sz w:val="16"/>
        </w:rPr>
        <w:t>Figure 1. Required traceability chain from intent to realized and governed architecture.</w:t>
      </w:r>
    </w:p>
    <w:p>
      <w:pPr>
        <w:pStyle w:val="Heading2"/>
      </w:pPr>
      <w:r>
        <w:t>1.1 Metamodel objectives</w:t>
      </w:r>
    </w:p>
    <w:p>
      <w:pPr>
        <w:pStyle w:val="ListBullet"/>
        <w:spacing w:after="30"/>
        <w:ind w:left="331" w:hanging="173"/>
      </w:pPr>
      <w:r>
        <w:rPr>
          <w:rFonts w:ascii="Liberation Sans" w:hAnsi="Liberation Sans" w:eastAsia="Liberation Sans"/>
          <w:color w:val="1D2939"/>
        </w:rPr>
        <w:t>Represent architecture intent, logical design, application realization, technology capability and physical deployment in one graph.</w:t>
      </w:r>
    </w:p>
    <w:p>
      <w:pPr>
        <w:pStyle w:val="ListBullet"/>
        <w:spacing w:after="30"/>
        <w:ind w:left="331" w:hanging="173"/>
      </w:pPr>
      <w:r>
        <w:rPr>
          <w:rFonts w:ascii="Liberation Sans" w:hAnsi="Liberation Sans" w:eastAsia="Liberation Sans"/>
          <w:color w:val="1D2939"/>
        </w:rPr>
        <w:t>Support several frameworks and notations without making any notation the system of record.</w:t>
      </w:r>
    </w:p>
    <w:p>
      <w:pPr>
        <w:pStyle w:val="ListBullet"/>
        <w:spacing w:after="30"/>
        <w:ind w:left="331" w:hanging="173"/>
      </w:pPr>
      <w:r>
        <w:rPr>
          <w:rFonts w:ascii="Liberation Sans" w:hAnsi="Liberation Sans" w:eastAsia="Liberation Sans"/>
          <w:color w:val="1D2939"/>
        </w:rPr>
        <w:t>Preserve many-to-many realization and deployment lineage across design stages.</w:t>
      </w:r>
    </w:p>
    <w:p>
      <w:pPr>
        <w:pStyle w:val="ListBullet"/>
        <w:spacing w:after="30"/>
        <w:ind w:left="331" w:hanging="173"/>
      </w:pPr>
      <w:r>
        <w:rPr>
          <w:rFonts w:ascii="Liberation Sans" w:hAnsi="Liberation Sans" w:eastAsia="Liberation Sans"/>
          <w:color w:val="1D2939"/>
        </w:rPr>
        <w:t>Enable deterministic recommendation, constraint evaluation, obligations and impact analysis.</w:t>
      </w:r>
    </w:p>
    <w:p>
      <w:pPr>
        <w:pStyle w:val="ListBullet"/>
        <w:spacing w:after="30"/>
        <w:ind w:left="331" w:hanging="173"/>
      </w:pPr>
      <w:r>
        <w:rPr>
          <w:rFonts w:ascii="Liberation Sans" w:hAnsi="Liberation Sans" w:eastAsia="Liberation Sans"/>
          <w:color w:val="1D2939"/>
        </w:rPr>
        <w:t>Support immutable snapshots, alternatives, proposed changes, decisions, findings and approval evidence.</w:t>
      </w:r>
    </w:p>
    <w:p>
      <w:pPr>
        <w:pStyle w:val="ListBullet"/>
        <w:spacing w:after="30"/>
        <w:ind w:left="331" w:hanging="173"/>
      </w:pPr>
      <w:r>
        <w:rPr>
          <w:rFonts w:ascii="Liberation Sans" w:hAnsi="Liberation Sans" w:eastAsia="Liberation Sans"/>
          <w:color w:val="1D2939"/>
        </w:rPr>
        <w:t>Remain extensible without allowing arbitrary extensions to undermine interoperability or rule execution.</w:t>
      </w:r>
    </w:p>
    <w:p>
      <w:pPr>
        <w:pStyle w:val="Heading2"/>
      </w:pPr>
      <w:r>
        <w:t>1.2 Core principles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Principle</w:t>
            </w:r>
          </w:p>
        </w:tc>
        <w:tc>
          <w:tcPr>
            <w:tcW w:type="dxa" w:w="73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Specification consequence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One semantic object, many views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 component is stored once. View objects hold projection, filter and layout information only.</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Framework-neutral core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C4, UML and ArchiMate-inspired representations map to canonical entity and relationship types.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Typed graph</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Every node and edge has an approved type, lifecycle state and validation contract.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Traceability by design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Drivers, decisions, model objects, technology choices, risks, controls and outputs are connected through explicit edges.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Immutable evidence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Published snapshots, recommendation runs and approvals identify exact knowledge/rule versions.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Deterministic authority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Rules and scoring execute against structured data; AI produces proposals and explanations.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Local-first compatibility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IDs, change sets and snapshots work without network access and support later synchronization.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Governed extensibility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Namespaced extensions are allowed; core semantics and required fields cannot be redefined.</w:t>
            </w:r>
          </w:p>
        </w:tc>
      </w:tr>
    </w:tbl>
    <w:p>
      <w:pPr>
        <w:pStyle w:val="Heading2"/>
      </w:pPr>
      <w:r>
        <w:t>1.3 Model layers</w:t>
      </w:r>
    </w:p>
    <w:p>
      <w:pPr>
        <w:jc w:val="center"/>
      </w:pPr>
      <w:r>
        <w:drawing>
          <wp:inline xmlns:a="http://schemas.openxmlformats.org/drawingml/2006/main" xmlns:pic="http://schemas.openxmlformats.org/drawingml/2006/picture">
            <wp:extent cx="6263640" cy="2853436"/>
            <wp:docPr id="2" name="Picture 2" descr="Figure 2. Model stages and validation lifecycle." title="Figure 2. Model stages and validation lifecycle."/>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6263640" cy="2853436"/>
                    </a:xfrm>
                    <a:prstGeom prst="rect"/>
                  </pic:spPr>
                </pic:pic>
              </a:graphicData>
            </a:graphic>
          </wp:inline>
        </w:drawing>
      </w:r>
    </w:p>
    <w:p>
      <w:pPr>
        <w:jc w:val="center"/>
      </w:pPr>
      <w:r>
        <w:rPr>
          <w:rFonts w:ascii="Liberation Sans" w:hAnsi="Liberation Sans" w:eastAsia="Liberation Sans"/>
          <w:i/>
          <w:color w:val="667085"/>
          <w:sz w:val="16"/>
        </w:rPr>
        <w:t>Figure 2. Model stages and validation lifecycle.</w:t>
      </w:r>
    </w:p>
    <w:p>
      <w:pPr>
        <w:pStyle w:val="Heading1"/>
      </w:pPr>
      <w:r>
        <w:t>2. Architecture stages and viewpoints</w:t>
      </w:r>
    </w:p>
    <w:p>
      <w:pPr>
        <w:pStyle w:val="Heading2"/>
      </w:pPr>
      <w:r>
        <w:t>2.1 Canonical stages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Stage</w:t>
            </w:r>
          </w:p>
        </w:tc>
        <w:tc>
          <w:tcPr>
            <w:tcW w:type="dxa" w:w="295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Purpose</w:t>
            </w:r>
          </w:p>
        </w:tc>
        <w:tc>
          <w:tcPr>
            <w:tcW w:type="dxa" w:w="38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Representative objects</w:t>
            </w:r>
          </w:p>
        </w:tc>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Exit condition</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Design intent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Define why the system exists and what must influence design.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Stakeholder, Objective, Requirement, QualityScenario, Constraint, Principle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Drivers and constraints are sufficiently complete for recommendation.</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Logical application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Define responsibilities, domains and interactions without deployment products.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System, Domain, Capability, LogicalService, Interface, Event, ExternalSystem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Selected logical structure satisfies stated concerns or records exceptions.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Application realization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Allocate logical responsibilities to implementable/deployable application units.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ApplicationComponent, Module, DeployableUnit, API, Worker, Function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Every in-scope logical service is realized or explicitly deferred.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Logical technology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Identify platform capabilities required by application realization.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LogicalTechnologyCapability, Runtime, DataStoreCapability, MessagingCapability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Application needs trace to technology capabilities.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Physical technology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Select products, deployment nodes, environments and topology.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TechnologyProduct, DeploymentNode, Environment, Region, NetworkZone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Required capabilities are realized and deployment obligations resolved.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Cross-cutting</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Overlay data, security, integration, resilience, operations, cost and governance.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DataDomain, DataFlow, Control, Risk, Policy, SLO, Evidence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Material cross-cutting concerns are complete or accepted.</w:t>
            </w:r>
          </w:p>
        </w:tc>
      </w:tr>
    </w:tbl>
    <w:p>
      <w:pPr>
        <w:pStyle w:val="Heading2"/>
      </w:pPr>
      <w:r>
        <w:t>2.2 Viewpoints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7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ID</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Viewpoint</w:t>
            </w:r>
          </w:p>
        </w:tc>
        <w:tc>
          <w:tcPr>
            <w:tcW w:type="dxa" w:w="28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Purpose</w:t>
            </w:r>
          </w:p>
        </w:tc>
        <w:tc>
          <w:tcPr>
            <w:tcW w:type="dxa" w:w="266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Entity types</w:t>
            </w:r>
          </w:p>
        </w:tc>
        <w:tc>
          <w:tcPr>
            <w:tcW w:type="dxa" w:w="22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Relationships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VP-01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Design Intent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Objectives, stakeholders, requirements, scenarios, constraints and principles.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Objective; Requirement; QualityScenario; Constraint; Stakeholder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motivates; constrains; satisfies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VP-02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System Context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System, actors, external systems, interactions and trust boundaries.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System; Actor; ExternalSystem; Interface; NetworkZone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communicatesWith; exposes; consumes; locatedIn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VP-03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Logical Application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Domains, capabilities, services, interfaces, data ownership and events.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Domain; Capability; LogicalService; Interface; Event; DataDomain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contains; composes; communicatesWith; publishes; subscribesTo</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VP-04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Application Realization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Modules, services, APIs, workers, functions and deployables.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ApplicationComponent; DeployableUnit; API; Event; Process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realizes; exposes; consumes; dependsOn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VP-05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Data</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Domains, entities, stores, products, contracts, classifications and flows.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DataDomain; DataEntity; DataStore; DataProduct; DataContract; DataFlow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contains; reads; writes; flowsTo; consumes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VP-06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Integration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Interfaces, APIs, events, contracts and interaction styles.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Interface; API; Event; DataContract; ApplicationComponent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exposes; consumes; publishes; subscribesTo</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VP-07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Logical Technology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Vendor-neutral runtime, data, identity, integration and observability capabilities.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TechnologyCapability; Runtime; ApplicationComponent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realizes; dependsOn; mapsTo</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VP-08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Physical Technology &amp; Deployment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Products, components, environments, nodes, locations and network zones.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TechnologyProduct; TechnologyComponent; DeploymentNode; Environment; Location; NetworkZone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realizes; deployedOn; locatedIn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VP-09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Security &amp; Trust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Trust boundaries, classifications, identities, controls, risks and protected flows.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NetworkZone; DataClassification; Control; Risk; Actor; DataFlow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locatedIn; constrains; mitigates; flowsTo</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VP-10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Resilience &amp; Operations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Failure domains, recovery, observability and runtime dependencies.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DeploymentNode; TechnologyComponent; Risk; Control; QualityScenario</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dependsOn; mitigates; satisfies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VP-11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Decision &amp; Traceability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Drivers, alternatives, choices, risks, controls and evidence.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Decision; Alternative; Objective; QualityAttribute; Risk; Control</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motivates; decides; introduces; mitigates; evidencedBy</w:t>
            </w:r>
          </w:p>
        </w:tc>
      </w:tr>
    </w:tbl>
    <w:p>
      <w:pPr>
        <w:pStyle w:val="Callout"/>
        <w:shd w:fill="FFF4DA"/>
        <w:pBdr>
          <w:left w:val="single" w:sz="18" w:space="4" w:color="D99A1B"/>
        </w:pBdr>
      </w:pPr>
      <w:r>
        <w:rPr>
          <w:rFonts w:ascii="Liberation Sans" w:hAnsi="Liberation Sans" w:eastAsia="Liberation Sans"/>
          <w:b/>
          <w:color w:val="D99A1B"/>
          <w:sz w:val="20"/>
        </w:rPr>
        <w:t>Viewpoint rule</w:t>
        <w:br/>
      </w:r>
      <w:r>
        <w:rPr>
          <w:rFonts w:ascii="Liberation Sans" w:hAnsi="Liberation Sans" w:eastAsia="Liberation Sans"/>
          <w:color w:val="1D2939"/>
          <w:sz w:val="19"/>
        </w:rPr>
        <w:t>A viewpoint defines allowed semantic content. A diagram notation defines how that content is rendered. Neither creates independent architecture objects.</w:t>
      </w:r>
    </w:p>
    <w:p>
      <w:pPr>
        <w:pStyle w:val="Heading2"/>
      </w:pPr>
      <w:r>
        <w:t>2.3 View object</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5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Item</w:t>
            </w:r>
          </w:p>
        </w:tc>
        <w:tc>
          <w:tcPr>
            <w:tcW w:type="dxa" w:w="7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Definition</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Identity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viewId, name, viewpointId, modelSnapshotId, owner, lifecycle state.</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Projection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Included node IDs, edge IDs, root object, depth, filters and overlays.</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Presentation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Coordinates, sizes, groups, collapsed state, labels, notation and theme.</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Validation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Viewpoint conformance, dangling-reference detection and hidden-critical-finding indicator.</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Portability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Presentation metadata may be lost during an exchange, but semantic IDs and relationships must remain stable.</w:t>
            </w:r>
          </w:p>
        </w:tc>
      </w:tr>
    </w:tbl>
    <w:p>
      <w:pPr>
        <w:pStyle w:val="Heading1"/>
      </w:pPr>
      <w:r>
        <w:t>3. Canonical object model</w:t>
      </w:r>
    </w:p>
    <w:p>
      <w:pPr>
        <w:pStyle w:val="Heading2"/>
      </w:pPr>
      <w:r>
        <w:t>3.1 Base node contract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Field</w:t>
            </w:r>
          </w:p>
        </w:tc>
        <w:tc>
          <w:tcPr>
            <w:tcW w:type="dxa" w:w="19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Type</w:t>
            </w:r>
          </w:p>
        </w:tc>
        <w:tc>
          <w:tcPr>
            <w:tcW w:type="dxa" w:w="12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Required</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Meaning</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id</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UUID or stable namespaced ID</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Global identity within a tenant and export.</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externalKey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String</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No</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Source-system or human-readable integration key.</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type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EntityType enumeration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Approved semantic entity type.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name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String</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Human-readable label.</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description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String / rich text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No</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Purpose and scope, not presentation instructions.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stage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Stage enumeration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Conditional</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Primary design stage; cross-cutting objects may span stages.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lifecycleState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Enumeration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Proposed, selected, approved, deprecated or retired.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properties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Typed JSON object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Entity-specific attributes validated by its schema.</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tags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String array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No</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Controlled or project-specific classification.</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provenance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Provenance object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Yes for generated/imported</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Origin, source version, author and timestamp.</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createdAt / updatedAt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Timestamp</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Audit and synchronization metadata.</w:t>
            </w:r>
          </w:p>
        </w:tc>
      </w:tr>
    </w:tbl>
    <w:p>
      <w:pPr>
        <w:pStyle w:val="Heading2"/>
      </w:pPr>
      <w:r>
        <w:t>3.2 Entity catalogue</w:t>
      </w:r>
    </w:p>
    <w:p>
      <w:pPr>
        <w:pStyle w:val="Heading3"/>
      </w:pPr>
      <w:r>
        <w:t>Intent &amp; concern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Entity type</w:t>
            </w:r>
          </w:p>
        </w:tc>
        <w:tc>
          <w:tcPr>
            <w:tcW w:type="dxa" w:w="46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Key properties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Stakeholder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Person, group or organization with architecture concerns.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type, influence, interests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Concern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Issue relevant to one or more stakeholders.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statement, category, priority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Objective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Desired business or technology outcome.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statement, measure, target, horizon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Requirement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Functional or non-functional need.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type, statement, priority, source, status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QualityAttribute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Named architecture characteristic.</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definition, scale, unit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QualityScenario</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Measurable quality requirement.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source, stimulus, environment, artifact, response, responseMeasure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Constraint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Mandatory limitation on design choice.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category, statement, severity, source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Assumption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Condition believed true for design purposes.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statement, confidence, validationDate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Principle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Normative guidance for architecture decisions.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statement, rationale, implications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Policy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Enforceable organizational or regulatory rule.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authority, scope, effectiveDate, overridePolicy</w:t>
            </w:r>
          </w:p>
        </w:tc>
      </w:tr>
    </w:tbl>
    <w:p>
      <w:pPr>
        <w:pStyle w:val="Heading3"/>
      </w:pPr>
      <w:r>
        <w:t>Application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Entity type</w:t>
            </w:r>
          </w:p>
        </w:tc>
        <w:tc>
          <w:tcPr>
            <w:tcW w:type="dxa" w:w="46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Key properties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System</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Primary system or system-of-interest boundary.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purpose, scope, classification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Actor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Person, role, device or agent interacting with a system.</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actorType, trustLevel</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ExternalSystem</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System outside project ownership.</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owner, criticality, interfaceMode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Domain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Coherent area of business responsibility.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description, owner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Capability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Business/application ability required to achieve an objective.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level, maturity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LogicalService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Technology-neutral responsibility or service contract.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responsibility, owner, criticality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ApplicationComponent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Logical or realized software component.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componentKind, lifecycle, owner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DeployableUnit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Independently deployable application package/runtime.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packageType, statefulness, scalingModel</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Interface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Interaction boundary exposed or consumed.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interfaceType, direction, protocolClass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Contracted synchronous interface.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style, version, exposure, specificationRef</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Event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Published fact or notification.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owner, schemaRef, deliverySemantics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Process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Ordered or event-driven activity sequence.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orchestrationMode, criticality</w:t>
            </w:r>
          </w:p>
        </w:tc>
      </w:tr>
    </w:tbl>
    <w:p>
      <w:pPr>
        <w:pStyle w:val="Heading3"/>
      </w:pPr>
      <w:r>
        <w:t>Data</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Entity type</w:t>
            </w:r>
          </w:p>
        </w:tc>
        <w:tc>
          <w:tcPr>
            <w:tcW w:type="dxa" w:w="46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Key properties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DataDomain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Ownership boundary for related data.</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owner, governanceClass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DataEntity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Business-significant information object.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sensitivity, systemOfRecord</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DataProduct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Managed reusable data output.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owner, serviceLevel</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DataStore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Logical or physical persistence service.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storeType, consistencyModel, retention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DataFlow</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Movement or transformation of data.</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mode, frequency, classification, encryption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DataContract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Schema and quality agreement.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version, schemaRef, compatibilityPolicy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DataClassification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Classification and handling requirements.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level, handlingRules, residency</w:t>
            </w:r>
          </w:p>
        </w:tc>
      </w:tr>
    </w:tbl>
    <w:p>
      <w:pPr>
        <w:pStyle w:val="Heading3"/>
      </w:pPr>
      <w:r>
        <w:t>Technology &amp; deployment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Entity type</w:t>
            </w:r>
          </w:p>
        </w:tc>
        <w:tc>
          <w:tcPr>
            <w:tcW w:type="dxa" w:w="46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Key properties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TechnologyCapability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Vendor-neutral technical ability.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category, serviceLevelNeed</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TechnologyProduct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Named technology or managed service.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vendor, product, version, lifecycleStatus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TechnologyComponent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Configured instance/component of a product.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configurationClass, capacity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Runtime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Execution environment for deployable units.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runtimeType, version, isolationModel</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DeploymentNode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Physical, virtual or managed execution node.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nodeType, location, capacity, criticality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Environment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Lifecycle environment such as test or production.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purpose, criticality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Location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Region, data centre, edge site or jurisdiction.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locationType, geography, sovereignty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NetworkZone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Trust/network segmentation boundary.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trustLevel, ingressPolicy</w:t>
            </w:r>
          </w:p>
        </w:tc>
      </w:tr>
    </w:tbl>
    <w:p>
      <w:pPr>
        <w:pStyle w:val="Heading3"/>
      </w:pPr>
      <w:r>
        <w:t>Architecture knowledge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Entity type</w:t>
            </w:r>
          </w:p>
        </w:tc>
        <w:tc>
          <w:tcPr>
            <w:tcW w:type="dxa" w:w="46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Key properties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ArchitectureStyle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System-level organization and trade-off profile.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applicability, maturity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Pattern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Reusable solution to a recurring architecture problem.</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patternType, problem, solution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Tactic</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Focused decision used to influence a quality attribute.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targetAttribute, mechanism</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AntiPattern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Recurring approach with harmful consequences.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symptoms, consequences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ReferenceArchitecture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Reusable model/guidance for a context.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scope, version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Rule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Machine-evaluable condition and outcome.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ruleType, severity, expression, message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Obligation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Action or model condition created by a selection.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requirementLevel, dueStage, status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EvidenceSource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Source supporting a knowledge assertion.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title, publisher, uri, publicationDate, confidence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RecommendationRun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Reproducible candidate evaluation.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algorithmVersion, inputHash, timestamp</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Finding</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Detected constraint, incompatibility, tension or omission.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severity, status, message, ruleRef</w:t>
            </w:r>
          </w:p>
        </w:tc>
      </w:tr>
    </w:tbl>
    <w:p>
      <w:pPr>
        <w:pStyle w:val="Heading3"/>
      </w:pPr>
      <w:r>
        <w:t>Risk, control &amp; governance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Entity type</w:t>
            </w:r>
          </w:p>
        </w:tc>
        <w:tc>
          <w:tcPr>
            <w:tcW w:type="dxa" w:w="46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Key properties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Risk</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Uncertain event/condition affecting objectives.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likelihood, impact, exposure, owner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Control</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Preventive, detective or corrective measure.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controlType, effectiveness, owner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Decision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Recorded architecture choice.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title, status, decisionDate, owner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Alternative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Candidate option considered within a decision.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score, disposition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Exception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Approved departure from a constraint/policy/rule.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scope, reason, expiry, approver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Review</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Checkpoint assessment of a model version.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stage, outcome, reviewer, date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Approval</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Formal authorization of a stage/baseline.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scope, approver, status, date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Comment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Contextual collaboration message.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author, text, status, createdAt</w:t>
            </w:r>
          </w:p>
        </w:tc>
      </w:tr>
    </w:tbl>
    <w:p>
      <w:pPr>
        <w:pStyle w:val="Heading3"/>
      </w:pPr>
      <w:r>
        <w:t>Versioning &amp; collaboration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Entity type</w:t>
            </w:r>
          </w:p>
        </w:tc>
        <w:tc>
          <w:tcPr>
            <w:tcW w:type="dxa" w:w="46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Key properties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Workspace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Organizational collaboration boundary.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configurationVersion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Project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Architecture initiative and lifecycle container.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name, owner, status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Model</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Canonical architecture graph.</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schemaVersion, baselineStatus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ModelVersion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Immutable snapshot of a model.</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version, parentVersion, createdAt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Branch</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Alternative line of design evolution.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name, sourceVersion, status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ChangeSet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Atomic set of model mutations.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source, author, status, baseVersion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Mutation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Add, update, remove or reconnect operation.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operation, targetType, before, after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KnowledgeRelease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Immutable approved knowledge/rule set.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version, releaseDate, status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DriverSet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Versioned priorities, scenarios and constraints.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version, inputHash</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Artifact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Generated/uploaded architecture output.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artifactType, format, modelVersion</w:t>
            </w:r>
          </w:p>
        </w:tc>
      </w:tr>
    </w:tbl>
    <w:p>
      <w:pPr>
        <w:pStyle w:val="Heading2"/>
      </w:pPr>
      <w:r>
        <w:t>3.3 Identity and naming rules</w:t>
      </w:r>
    </w:p>
    <w:p>
      <w:pPr>
        <w:pStyle w:val="ListBullet"/>
        <w:spacing w:after="30"/>
        <w:ind w:left="331" w:hanging="173"/>
      </w:pPr>
      <w:r>
        <w:rPr>
          <w:rFonts w:ascii="Liberation Sans" w:hAnsi="Liberation Sans" w:eastAsia="Liberation Sans"/>
          <w:color w:val="1D2939"/>
        </w:rPr>
        <w:t>Internal persisted IDs use UUIDs; knowledge records and human artifacts may also carry stable namespaced keys such as STYLE-EVENT-DRIVEN or ADR-0007.</w:t>
      </w:r>
    </w:p>
    <w:p>
      <w:pPr>
        <w:pStyle w:val="ListBullet"/>
        <w:spacing w:after="30"/>
        <w:ind w:left="331" w:hanging="173"/>
      </w:pPr>
      <w:r>
        <w:rPr>
          <w:rFonts w:ascii="Liberation Sans" w:hAnsi="Liberation Sans" w:eastAsia="Liberation Sans"/>
          <w:color w:val="1D2939"/>
        </w:rPr>
        <w:t>A renamed object retains its ID. A materially different object receives a new ID and an explicit supersedes relationship.</w:t>
      </w:r>
    </w:p>
    <w:p>
      <w:pPr>
        <w:pStyle w:val="ListBullet"/>
        <w:spacing w:after="30"/>
        <w:ind w:left="331" w:hanging="173"/>
      </w:pPr>
      <w:r>
        <w:rPr>
          <w:rFonts w:ascii="Liberation Sans" w:hAnsi="Liberation Sans" w:eastAsia="Liberation Sans"/>
          <w:color w:val="1D2939"/>
        </w:rPr>
        <w:t>IDs are never inferred from canvas coordinates, labels or containment paths.</w:t>
      </w:r>
    </w:p>
    <w:p>
      <w:pPr>
        <w:pStyle w:val="ListBullet"/>
        <w:spacing w:after="30"/>
        <w:ind w:left="331" w:hanging="173"/>
      </w:pPr>
      <w:r>
        <w:rPr>
          <w:rFonts w:ascii="Liberation Sans" w:hAnsi="Liberation Sans" w:eastAsia="Liberation Sans"/>
          <w:color w:val="1D2939"/>
        </w:rPr>
        <w:t>Imported objects retain origin identifiers in externalKey or provenance rather than replacing canonical IDs.</w:t>
      </w:r>
    </w:p>
    <w:p>
      <w:pPr>
        <w:pStyle w:val="ListBullet"/>
        <w:spacing w:after="30"/>
        <w:ind w:left="331" w:hanging="173"/>
      </w:pPr>
      <w:r>
        <w:rPr>
          <w:rFonts w:ascii="Liberation Sans" w:hAnsi="Liberation Sans" w:eastAsia="Liberation Sans"/>
          <w:color w:val="1D2939"/>
        </w:rPr>
        <w:t>Names need only be unique inside their relevant namespace or parent scope; IDs are globally unambiguous.</w:t>
      </w:r>
    </w:p>
    <w:p>
      <w:pPr>
        <w:pStyle w:val="Heading1"/>
      </w:pPr>
      <w:r>
        <w:t>4. Relationship model and cardinality</w:t>
      </w:r>
    </w:p>
    <w:p>
      <w:pPr>
        <w:pStyle w:val="Heading2"/>
      </w:pPr>
      <w:r>
        <w:t>4.1 Base edge contract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8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Field</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Type</w:t>
            </w:r>
          </w:p>
        </w:tc>
        <w:tc>
          <w:tcPr>
            <w:tcW w:type="dxa" w:w="115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Required</w:t>
            </w:r>
          </w:p>
        </w:tc>
        <w:tc>
          <w:tcPr>
            <w:tcW w:type="dxa" w:w="518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Meaning</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id</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UUID</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Stable relationship identity.</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type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RelationshipType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Approved semantic predicate.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sourceId / targetId</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Node IDs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Endpoints; direction is defined by relationship semantics.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label</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String</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No</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View-specific clarification; not a replacement for type.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properties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Typed JSON object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Protocol, frequency, criticality, cardinality, data or control metadata.</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provenance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Provenance object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Conditional</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Required for generated or imported edges.</w:t>
            </w:r>
          </w:p>
        </w:tc>
      </w:tr>
    </w:tbl>
    <w:p>
      <w:pPr>
        <w:pStyle w:val="Heading2"/>
      </w:pPr>
      <w:r>
        <w:t>4.2 Relationship validation</w:t>
      </w:r>
    </w:p>
    <w:p>
      <w:pPr>
        <w:pStyle w:val="ListBullet"/>
        <w:spacing w:after="30"/>
        <w:ind w:left="331" w:hanging="173"/>
      </w:pPr>
      <w:r>
        <w:rPr>
          <w:rFonts w:ascii="Liberation Sans" w:hAnsi="Liberation Sans" w:eastAsia="Liberation Sans"/>
          <w:color w:val="1D2939"/>
        </w:rPr>
        <w:t>Every relationship type declares permitted source and target entity families.</w:t>
      </w:r>
    </w:p>
    <w:p>
      <w:pPr>
        <w:pStyle w:val="ListBullet"/>
        <w:spacing w:after="30"/>
        <w:ind w:left="331" w:hanging="173"/>
      </w:pPr>
      <w:r>
        <w:rPr>
          <w:rFonts w:ascii="Liberation Sans" w:hAnsi="Liberation Sans" w:eastAsia="Liberation Sans"/>
          <w:color w:val="1D2939"/>
        </w:rPr>
        <w:t>Cardinality is validated at model level, not inferred from visual line endings.</w:t>
      </w:r>
    </w:p>
    <w:p>
      <w:pPr>
        <w:pStyle w:val="ListBullet"/>
        <w:spacing w:after="30"/>
        <w:ind w:left="331" w:hanging="173"/>
      </w:pPr>
      <w:r>
        <w:rPr>
          <w:rFonts w:ascii="Liberation Sans" w:hAnsi="Liberation Sans" w:eastAsia="Liberation Sans"/>
          <w:color w:val="1D2939"/>
        </w:rPr>
        <w:t>Deleting a node requires an explicit cascade, block, orphan or reassignment policy for each incident edge.</w:t>
      </w:r>
    </w:p>
    <w:p>
      <w:pPr>
        <w:pStyle w:val="ListBullet"/>
        <w:spacing w:after="30"/>
        <w:ind w:left="331" w:hanging="173"/>
      </w:pPr>
      <w:r>
        <w:rPr>
          <w:rFonts w:ascii="Liberation Sans" w:hAnsi="Liberation Sans" w:eastAsia="Liberation Sans"/>
          <w:color w:val="1D2939"/>
        </w:rPr>
        <w:t>Cross-stage realization and mapping relationships are first-class and must not be encoded only through nesting.</w:t>
      </w:r>
    </w:p>
    <w:p>
      <w:pPr>
        <w:pStyle w:val="ListBullet"/>
        <w:spacing w:after="30"/>
        <w:ind w:left="331" w:hanging="173"/>
      </w:pPr>
      <w:r>
        <w:rPr>
          <w:rFonts w:ascii="Liberation Sans" w:hAnsi="Liberation Sans" w:eastAsia="Liberation Sans"/>
          <w:color w:val="1D2939"/>
        </w:rPr>
        <w:t>Relationship properties may refine semantics but cannot contradict the relationship type.</w:t>
      </w:r>
    </w:p>
    <w:p>
      <w:pPr>
        <w:pStyle w:val="Heading2"/>
      </w:pPr>
      <w:r>
        <w:t>4.3 Many-to-many realization model</w:t>
      </w:r>
    </w:p>
    <w:p>
      <w:pPr>
        <w:pStyle w:val="Callout"/>
        <w:shd w:fill="E6F4F4"/>
        <w:pBdr>
          <w:left w:val="single" w:sz="18" w:space="4" w:color="0D7C80"/>
        </w:pBdr>
      </w:pPr>
      <w:r>
        <w:rPr>
          <w:rFonts w:ascii="Liberation Sans" w:hAnsi="Liberation Sans" w:eastAsia="Liberation Sans"/>
          <w:b/>
          <w:color w:val="0D7C80"/>
          <w:sz w:val="20"/>
        </w:rPr>
        <w:t>Required behaviour</w:t>
        <w:br/>
      </w:r>
      <w:r>
        <w:rPr>
          <w:rFonts w:ascii="Liberation Sans" w:hAnsi="Liberation Sans" w:eastAsia="Liberation Sans"/>
          <w:color w:val="1D2939"/>
          <w:sz w:val="19"/>
        </w:rPr>
        <w:t>A logical service may be realized by several deployables, and one deployable may realize several logical services. Each mapping is an independent relationship with allocation, responsibility and coverage metadata.</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Scenario</w:t>
            </w:r>
          </w:p>
        </w:tc>
        <w:tc>
          <w:tcPr>
            <w:tcW w:type="dxa" w:w="38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Representation</w:t>
            </w:r>
          </w:p>
        </w:tc>
        <w:tc>
          <w:tcPr>
            <w:tcW w:type="dxa" w:w="38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Required metadata</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Many logical services → one deployable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Several DeployableUnit -realizes→ LogicalService edges.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Responsibility share, module/boundary, owner, coverage and rationale.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One logical service → many deployables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Several DeployableUnit -realizesPartOf→ one LogicalService.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Operation/responsibility slice, read/write role, interface and consistency implications.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Logical technology → several products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TechnologyProduct -realizesCapability→ LogicalTechnologyCapability.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Environment, region, resilience role, configuration class.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Shared product → several capabilities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One product linked to each capability it supplies.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Capability-specific configuration, limits and dependency criticality.</w:t>
            </w:r>
          </w:p>
        </w:tc>
      </w:tr>
    </w:tbl>
    <w:p>
      <w:pPr>
        <w:pStyle w:val="Heading2"/>
      </w:pPr>
      <w:r>
        <w:t>4.4 Impact analysis semantics</w:t>
      </w:r>
    </w:p>
    <w:p>
      <w:pPr>
        <w:pStyle w:val="ListBullet"/>
        <w:spacing w:after="30"/>
        <w:ind w:left="331" w:hanging="173"/>
      </w:pPr>
      <w:r>
        <w:rPr>
          <w:rFonts w:ascii="Liberation Sans" w:hAnsi="Liberation Sans" w:eastAsia="Liberation Sans"/>
          <w:color w:val="1D2939"/>
        </w:rPr>
        <w:t>Upstream change impact traverses realizes, mapsTo, dependsOn, deployedOn, satisfies and governedBy edges.</w:t>
      </w:r>
    </w:p>
    <w:p>
      <w:pPr>
        <w:pStyle w:val="ListBullet"/>
        <w:spacing w:after="30"/>
        <w:ind w:left="331" w:hanging="173"/>
      </w:pPr>
      <w:r>
        <w:rPr>
          <w:rFonts w:ascii="Liberation Sans" w:hAnsi="Liberation Sans" w:eastAsia="Liberation Sans"/>
          <w:color w:val="1D2939"/>
        </w:rPr>
        <w:t>Impact results distinguish direct invalidation, required revalidation, informational effect and artifact regeneration.</w:t>
      </w:r>
    </w:p>
    <w:p>
      <w:pPr>
        <w:pStyle w:val="ListBullet"/>
        <w:spacing w:after="30"/>
        <w:ind w:left="331" w:hanging="173"/>
      </w:pPr>
      <w:r>
        <w:rPr>
          <w:rFonts w:ascii="Liberation Sans" w:hAnsi="Liberation Sans" w:eastAsia="Liberation Sans"/>
          <w:color w:val="1D2939"/>
        </w:rPr>
        <w:t>A change to a selected style may invalidate candidate filters, pattern obligations, logical structures, technology requirements and deployment assumptions.</w:t>
      </w:r>
    </w:p>
    <w:p>
      <w:pPr>
        <w:pStyle w:val="ListBullet"/>
        <w:spacing w:after="30"/>
        <w:ind w:left="331" w:hanging="173"/>
      </w:pPr>
      <w:r>
        <w:rPr>
          <w:rFonts w:ascii="Liberation Sans" w:hAnsi="Liberation Sans" w:eastAsia="Liberation Sans"/>
          <w:color w:val="1D2939"/>
        </w:rPr>
        <w:t>Impact analysis records the traversal path so the user can understand why an object is affected.</w:t>
      </w:r>
    </w:p>
    <w:p>
      <w:pPr>
        <w:pStyle w:val="Heading1"/>
      </w:pPr>
      <w:r>
        <w:t>5. Intent, requirements and quality attributes</w:t>
      </w:r>
    </w:p>
    <w:p>
      <w:pPr>
        <w:pStyle w:val="Heading2"/>
      </w:pPr>
      <w:r>
        <w:t>5.1 Requirement taxonomy</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6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Requirement type</w:t>
            </w:r>
          </w:p>
        </w:tc>
        <w:tc>
          <w:tcPr>
            <w:tcW w:type="dxa" w:w="30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Definition</w:t>
            </w:r>
          </w:p>
        </w:tc>
        <w:tc>
          <w:tcPr>
            <w:tcW w:type="dxa" w:w="32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Examples</w:t>
            </w:r>
          </w:p>
        </w:tc>
        <w:tc>
          <w:tcPr>
            <w:tcW w:type="dxa" w:w="23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Primary links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Business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Outcome or capability the initiative must enable.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Reduce onboarding time; support new channel.</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motivates, realizedBy, measuredBy</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Functional</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Behaviour the system must provide.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Submit order; approve facility.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allocatedTo, exposedBy, verifiedBy</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Quality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Measurable property of behaviour or operation.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p95 latency; availability; recoverability.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expressedAsScenario, supportedBy</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Constraint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Restriction on acceptable design space.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Data residency; mandated identity service.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constrains, prohibits, requires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Assumption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Belief used to proceed and subject to validation.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Volume forecast; team skill.</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influences, validatedBy</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Principle / policy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Organizational rule or design preference.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Buy before build; encrypt sensitive flows.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governs, evaluatedBy</w:t>
            </w:r>
          </w:p>
        </w:tc>
      </w:tr>
    </w:tbl>
    <w:p>
      <w:pPr>
        <w:pStyle w:val="Heading2"/>
      </w:pPr>
      <w:r>
        <w:t>5.2 Quality-attribute taxonomy</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7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ID</w:t>
            </w:r>
          </w:p>
        </w:tc>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Attribute</w:t>
            </w:r>
          </w:p>
        </w:tc>
        <w:tc>
          <w:tcPr>
            <w:tcW w:type="dxa" w:w="309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Definition</w:t>
            </w:r>
          </w:p>
        </w:tc>
        <w:tc>
          <w:tcPr>
            <w:tcW w:type="dxa" w:w="22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Representative measures</w:t>
            </w:r>
          </w:p>
        </w:tc>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Example tactics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Availability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Readiness for correct service when required.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Uptime, successful request ratio</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Redundancy, failover, health monitoring</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Performance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Timeliness and resource efficiency.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Latency, throughput, utilization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Caching, concurrency, efficient protocols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Scalability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Ability to sustain increased demand by adding resources.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Load/throughput/latency curve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Partitioning, horizontal scaling, statelessness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Elasticity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Ability to adapt resources rapidly to changing load.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Scale time, over/under-provision duration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Autoscaling, buffering, serverless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Reliability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Continuity of correct service over time.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Failure rate, MTBF</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Fault detection, retries, idempotency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Resilience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Ability to resist and recover from disruption.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Recovery time, degraded capacity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Bulkheads, circuit breakers, redundancy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Consistency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Required guarantees across data observations.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Staleness, anomaly rate, transaction guarantees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Transactions, quorum, conflict resolution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Security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Protection of confidentiality, integrity and availability.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Control coverage, incident measures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Zero trust, encryption, least privilege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Privacy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Appropriate handling of personal/sensitive data.</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Purpose compliance, minimization coverage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Classification, consent, retention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Modifiability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Cost and speed of implementing change.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Change effort, affected components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Modularity, information hiding</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Deployability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Ability to release safely and independently.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Frequency, lead time, failure rate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Automation, independent units, progressive delivery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Testability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Ease of controlling and observing behavior.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Test effort, coverage, escape rate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Dependency inversion, deterministic interfaces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Observability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Ability to infer internal state from outputs.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Trace coverage, detection time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Logs, metrics, traces, correlation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Interoperability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Ability to exchange and use information.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Conformance rate, integration effort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Standards, adapters, canonical models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QA-15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Portability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Ease of moving across environments/platforms.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Migration effort, platform dependency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Abstraction, containers, open standards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QA-16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Recoverability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Ability to restore service and data.</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RTO, RPO, restore success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Backups, replication, recovery automation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QA-17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Cost Efficiency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Value relative to build and operating cost.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Unit cost, TCO, utilization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Right-sizing, managed services, FinOps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QA-18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Simplicity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Ease of understanding and operation.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Cognitive load, component count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Minimal mechanisms, coherent boundaries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QA-19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Delivery Speed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Ability to deliver valuable change rapidly.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Lead time, cycle time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Templates, modularity, automation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QA-20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Sustainability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Resource and environmental efficiency.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Energy, carbon intensity, utilization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Efficient workloads, scheduling</w:t>
            </w:r>
          </w:p>
        </w:tc>
      </w:tr>
    </w:tbl>
    <w:p>
      <w:pPr>
        <w:pStyle w:val="Heading2"/>
      </w:pPr>
      <w:r>
        <w:t>5.3 Quality-attribute scenario contract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Field</w:t>
            </w:r>
          </w:p>
        </w:tc>
        <w:tc>
          <w:tcPr>
            <w:tcW w:type="dxa" w:w="12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Required</w:t>
            </w:r>
          </w:p>
        </w:tc>
        <w:tc>
          <w:tcPr>
            <w:tcW w:type="dxa" w:w="676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Description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source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Actor, system or condition producing the stimulus.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stimulus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Yes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Event or condition to which the architecture must respond.</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artifact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Affected system, service, data or deployment element.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environment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Yes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Normal, peak, degraded, attack, recovery or other operating condition.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response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Expected system behaviour.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responseMeasure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Yes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Quantified threshold, target or range.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priority / weight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Yes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Mandatory, ranked or normalized decision importance.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confidence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No</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Confidence in the scenario and its source assumptions.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verificationMethod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No</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Test, review, simulation, monitoring or evidence approach.</w:t>
            </w:r>
          </w:p>
        </w:tc>
      </w:tr>
    </w:tbl>
    <w:p>
      <w:pPr>
        <w:pStyle w:val="Heading1"/>
      </w:pPr>
      <w:r>
        <w:t>6. Architecture knowledge ontology</w:t>
      </w:r>
    </w:p>
    <w:p>
      <w:pPr>
        <w:pStyle w:val="Callout"/>
        <w:shd w:fill="EAF2F8"/>
        <w:pBdr>
          <w:left w:val="single" w:sz="18" w:space="4" w:color="2C5F8A"/>
        </w:pBdr>
      </w:pPr>
      <w:r>
        <w:rPr>
          <w:rFonts w:ascii="Liberation Sans" w:hAnsi="Liberation Sans" w:eastAsia="Liberation Sans"/>
          <w:b/>
          <w:color w:val="0B1F3A"/>
          <w:sz w:val="20"/>
        </w:rPr>
        <w:t>The knowledge library is a governed graph, not a list of articles. Its records must support recommendation, validation, learning, provenance and versioned execution.</w:t>
      </w:r>
    </w:p>
    <w:p>
      <w:pPr>
        <w:pStyle w:val="Heading2"/>
      </w:pPr>
      <w:r>
        <w:t>6.1 Knowledge record families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Record family</w:t>
            </w:r>
          </w:p>
        </w:tc>
        <w:tc>
          <w:tcPr>
            <w:tcW w:type="dxa" w:w="37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Purpose</w:t>
            </w:r>
          </w:p>
        </w:tc>
        <w:tc>
          <w:tcPr>
            <w:tcW w:type="dxa" w:w="432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Distinctive fields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ArchitectureStyle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Describe high-level organization and quality trade-off profile.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Applicable stages, quality ratings, context, forces, liabilities, compatible patterns.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Pattern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Reusable solution to a recurring problem.</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Problem, context, forces, structure, consequences, prerequisites, obligations.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Tactic</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Focused mechanism for influencing a quality attribute.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Target attribute, expected effect, affected elements, trade-offs.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AntiPattern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Known harmful recurring structure or behaviour.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Detection signature, symptoms, consequences, remediation.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ComponentDefinition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Reusable logical or physical component type.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Ports, capabilities, properties, allowed relations, technology mappings.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ReferenceArchitecture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Approved coordinated set of objects and decisions.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Scope, required/optional elements, variability points, conformance rules.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TechnologyProduct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Concrete product or service option.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Vendor, versions, lifecycle, regions, capabilities, cost/licensing, constraints.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EvidenceSource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Source supporting a claim or relationship.</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Publisher, URL/reference, date, extract, authority, license, review.</w:t>
            </w:r>
          </w:p>
        </w:tc>
      </w:tr>
    </w:tbl>
    <w:p>
      <w:pPr>
        <w:pStyle w:val="Heading2"/>
      </w:pPr>
      <w:r>
        <w:t>6.2 Common knowledge-record contract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Group</w:t>
            </w:r>
          </w:p>
        </w:tc>
        <w:tc>
          <w:tcPr>
            <w:tcW w:type="dxa" w:w="82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Fields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Identity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id, name, aliases, recordType, category, status, version, owner.</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Applicability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problem, context, applicable stages/viewpoints, system types, preconditions.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Trade-offs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qualityAttributeImpact, benefits, liabilities, cost, complexity, skills and operating implications.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Relationships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requires, requiresAny, enables, pairsWellWith, conflictsWith, tensionsWith, supersedes.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Obligations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mandatory follow-on components, controls, decisions, tests, evidence or artifacts.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Guidance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whenToUse, whenToAvoid, commonFailureModes, examples, reference implementation.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Governance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evidence, confidence, reviewStatus, approvedBy, reviewDate, deprecation and replacement.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Execution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machine-readable conditions, scoring adjustments, rule references and generator bindings.</w:t>
            </w:r>
          </w:p>
        </w:tc>
      </w:tr>
    </w:tbl>
    <w:p>
      <w:pPr>
        <w:pStyle w:val="Heading2"/>
      </w:pPr>
      <w:r>
        <w:t>6.3 Knowledge completeness gate</w:t>
      </w:r>
    </w:p>
    <w:p>
      <w:pPr>
        <w:pStyle w:val="ListBullet"/>
        <w:spacing w:after="30"/>
        <w:ind w:left="331" w:hanging="173"/>
      </w:pPr>
      <w:r>
        <w:rPr>
          <w:rFonts w:ascii="Liberation Sans" w:hAnsi="Liberation Sans" w:eastAsia="Liberation Sans"/>
          <w:color w:val="1D2939"/>
        </w:rPr>
        <w:t>A record cannot become Approved without owner, definition, context, consequences, evidence and version.</w:t>
      </w:r>
    </w:p>
    <w:p>
      <w:pPr>
        <w:pStyle w:val="ListBullet"/>
        <w:spacing w:after="30"/>
        <w:ind w:left="331" w:hanging="173"/>
      </w:pPr>
      <w:r>
        <w:rPr>
          <w:rFonts w:ascii="Liberation Sans" w:hAnsi="Liberation Sans" w:eastAsia="Liberation Sans"/>
          <w:color w:val="1D2939"/>
        </w:rPr>
        <w:t>A recommendation-bearing style requires calibrated quality ratings and benchmark coverage.</w:t>
      </w:r>
    </w:p>
    <w:p>
      <w:pPr>
        <w:pStyle w:val="ListBullet"/>
        <w:spacing w:after="30"/>
        <w:ind w:left="331" w:hanging="173"/>
      </w:pPr>
      <w:r>
        <w:rPr>
          <w:rFonts w:ascii="Liberation Sans" w:hAnsi="Liberation Sans" w:eastAsia="Liberation Sans"/>
          <w:color w:val="1D2939"/>
        </w:rPr>
        <w:t>A rule-bearing pattern requires executable prerequisites/conflicts and tested positive/negative fixtures.</w:t>
      </w:r>
    </w:p>
    <w:p>
      <w:pPr>
        <w:pStyle w:val="ListBullet"/>
        <w:spacing w:after="30"/>
        <w:ind w:left="331" w:hanging="173"/>
      </w:pPr>
      <w:r>
        <w:rPr>
          <w:rFonts w:ascii="Liberation Sans" w:hAnsi="Liberation Sans" w:eastAsia="Liberation Sans"/>
          <w:color w:val="1D2939"/>
        </w:rPr>
        <w:t>A generator-bearing product requires supported versions, assumptions, security controls and validation status.</w:t>
      </w:r>
    </w:p>
    <w:p>
      <w:pPr>
        <w:pStyle w:val="ListBullet"/>
        <w:spacing w:after="30"/>
        <w:ind w:left="331" w:hanging="173"/>
      </w:pPr>
      <w:r>
        <w:rPr>
          <w:rFonts w:ascii="Liberation Sans" w:hAnsi="Liberation Sans" w:eastAsia="Liberation Sans"/>
          <w:color w:val="1D2939"/>
        </w:rPr>
        <w:t>AI-extracted content remains Proposed until expert review and release.</w:t>
      </w:r>
    </w:p>
    <w:p>
      <w:pPr>
        <w:pStyle w:val="Heading1"/>
      </w:pPr>
      <w:r>
        <w:t>7. Rule, finding and obligation model</w:t>
      </w:r>
    </w:p>
    <w:p>
      <w:pPr>
        <w:pStyle w:val="Heading2"/>
      </w:pPr>
      <w:r>
        <w:t>7.1 Rule structure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7"/>
              </w:rPr>
              <w:t>Section</w:t>
            </w:r>
          </w:p>
        </w:tc>
        <w:tc>
          <w:tcPr>
            <w:tcW w:type="dxa" w:w="84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7"/>
              </w:rPr>
              <w:t>Purpose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Identity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Stable ID, version, owner, status and applicable rule pack.</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Scope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Stages, viewpoints, object types, project classifications and environments.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When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Boolean expression over model facts, selected knowledge, drivers, properties and relationships.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Unless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Exception or mitigation expression suppressing or downgrading the result.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Then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Finding, lock, recommendation, obligation or required decision.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Explanation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User-facing rationale, evidence and remediation guidance.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Tests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Fixtures proving activation, non-activation, exception and edge cases.</w:t>
            </w:r>
          </w:p>
        </w:tc>
      </w:tr>
    </w:tbl>
    <w:p>
      <w:pPr>
        <w:pStyle w:val="Heading2"/>
      </w:pPr>
      <w:r>
        <w:t>7.2 Severity and action semantics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Rule class</w:t>
            </w:r>
          </w:p>
        </w:tc>
        <w:tc>
          <w:tcPr>
            <w:tcW w:type="dxa" w:w="16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Default severity</w:t>
            </w:r>
          </w:p>
        </w:tc>
        <w:tc>
          <w:tcPr>
            <w:tcW w:type="dxa" w:w="61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Effect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Hard constraint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Critical</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Prevents the specific invalid operation or selection; does not hide the option or explanation.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Significant incompatibility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High</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Allows selection but requires finding resolution, mitigation or accepted risk.</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Advisory tension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Medium / Low</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Shows consequence and recommended tactic without blocking progress.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Completeness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Varies by stage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Creates missing-element or unanswered-question finding.</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Obligation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Varies by source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Creates trackable required follow-on action with satisfaction condition.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Policy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As configured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Evaluates organization-specific preferred, restricted or prohibited choices.</w:t>
            </w:r>
          </w:p>
        </w:tc>
      </w:tr>
    </w:tbl>
    <w:p>
      <w:pPr>
        <w:pStyle w:val="Heading2"/>
      </w:pPr>
      <w:r>
        <w:t>7.3 Finding lifecycle</w:t>
      </w:r>
    </w:p>
    <w:p>
      <w:pPr>
        <w:pStyle w:val="ListNumber"/>
        <w:spacing w:after="40"/>
      </w:pPr>
      <w:r>
        <w:rPr>
          <w:rFonts w:ascii="Liberation Sans" w:hAnsi="Liberation Sans" w:eastAsia="Liberation Sans"/>
          <w:color w:val="1D2939"/>
        </w:rPr>
        <w:t>Open: rule or audit result exists and has not been addressed.</w:t>
      </w:r>
    </w:p>
    <w:p>
      <w:pPr>
        <w:pStyle w:val="ListNumber"/>
        <w:spacing w:after="40"/>
      </w:pPr>
      <w:r>
        <w:rPr>
          <w:rFonts w:ascii="Liberation Sans" w:hAnsi="Liberation Sans" w:eastAsia="Liberation Sans"/>
          <w:color w:val="1D2939"/>
        </w:rPr>
        <w:t>Mitigated: design change or control reduces exposure but may require review.</w:t>
      </w:r>
    </w:p>
    <w:p>
      <w:pPr>
        <w:pStyle w:val="ListNumber"/>
        <w:spacing w:after="40"/>
      </w:pPr>
      <w:r>
        <w:rPr>
          <w:rFonts w:ascii="Liberation Sans" w:hAnsi="Liberation Sans" w:eastAsia="Liberation Sans"/>
          <w:color w:val="1D2939"/>
        </w:rPr>
        <w:t>Accepted: accountable owner accepts residual risk with rationale.</w:t>
      </w:r>
    </w:p>
    <w:p>
      <w:pPr>
        <w:pStyle w:val="ListNumber"/>
        <w:spacing w:after="40"/>
      </w:pPr>
      <w:r>
        <w:rPr>
          <w:rFonts w:ascii="Liberation Sans" w:hAnsi="Liberation Sans" w:eastAsia="Liberation Sans"/>
          <w:color w:val="1D2939"/>
        </w:rPr>
        <w:t>Waived: authorized governance role grants a bounded policy exception.</w:t>
      </w:r>
    </w:p>
    <w:p>
      <w:pPr>
        <w:pStyle w:val="ListNumber"/>
        <w:spacing w:after="40"/>
      </w:pPr>
      <w:r>
        <w:rPr>
          <w:rFonts w:ascii="Liberation Sans" w:hAnsi="Liberation Sans" w:eastAsia="Liberation Sans"/>
          <w:color w:val="1D2939"/>
        </w:rPr>
        <w:t>Resolved: satisfaction condition is met and revalidation passes.</w:t>
      </w:r>
    </w:p>
    <w:p>
      <w:pPr>
        <w:pStyle w:val="ListNumber"/>
        <w:spacing w:after="40"/>
      </w:pPr>
      <w:r>
        <w:rPr>
          <w:rFonts w:ascii="Liberation Sans" w:hAnsi="Liberation Sans" w:eastAsia="Liberation Sans"/>
          <w:color w:val="1D2939"/>
        </w:rPr>
        <w:t>False positive: expert review determines the rule did not apply; feedback is retained for calibration.</w:t>
      </w:r>
    </w:p>
    <w:p>
      <w:pPr>
        <w:pStyle w:val="Heading2"/>
      </w:pPr>
      <w:r>
        <w:t>7.4 Obligation satisfaction</w:t>
      </w:r>
    </w:p>
    <w:p>
      <w:pPr>
        <w:pStyle w:val="ListBullet"/>
        <w:spacing w:after="30"/>
        <w:ind w:left="331" w:hanging="173"/>
      </w:pPr>
      <w:r>
        <w:rPr>
          <w:rFonts w:ascii="Liberation Sans" w:hAnsi="Liberation Sans" w:eastAsia="Liberation Sans"/>
          <w:color w:val="1D2939"/>
        </w:rPr>
        <w:t>Obligations link to their source style, pattern, component, technology product, rule or decision.</w:t>
      </w:r>
    </w:p>
    <w:p>
      <w:pPr>
        <w:pStyle w:val="ListBullet"/>
        <w:spacing w:after="30"/>
        <w:ind w:left="331" w:hanging="173"/>
      </w:pPr>
      <w:r>
        <w:rPr>
          <w:rFonts w:ascii="Liberation Sans" w:hAnsi="Liberation Sans" w:eastAsia="Liberation Sans"/>
          <w:color w:val="1D2939"/>
        </w:rPr>
        <w:t>Satisfaction conditions may require an object, relationship, property value, test result, evidence item or approved decision.</w:t>
      </w:r>
    </w:p>
    <w:p>
      <w:pPr>
        <w:pStyle w:val="ListBullet"/>
        <w:spacing w:after="30"/>
        <w:ind w:left="331" w:hanging="173"/>
      </w:pPr>
      <w:r>
        <w:rPr>
          <w:rFonts w:ascii="Liberation Sans" w:hAnsi="Liberation Sans" w:eastAsia="Liberation Sans"/>
          <w:color w:val="1D2939"/>
        </w:rPr>
        <w:t>An obligation may be due at a later stage and therefore should not always block the current stage.</w:t>
      </w:r>
    </w:p>
    <w:p>
      <w:pPr>
        <w:pStyle w:val="ListBullet"/>
        <w:spacing w:after="30"/>
        <w:ind w:left="331" w:hanging="173"/>
      </w:pPr>
      <w:r>
        <w:rPr>
          <w:rFonts w:ascii="Liberation Sans" w:hAnsi="Liberation Sans" w:eastAsia="Liberation Sans"/>
          <w:color w:val="1D2939"/>
        </w:rPr>
        <w:t>Waivers are time-bounded, attributable and included in generated review packages.</w:t>
      </w:r>
    </w:p>
    <w:p>
      <w:pPr>
        <w:pStyle w:val="Heading1"/>
      </w:pPr>
      <w:r>
        <w:t>8. Recommendation model</w:t>
      </w:r>
    </w:p>
    <w:p>
      <w:pPr>
        <w:pStyle w:val="Heading2"/>
      </w:pPr>
      <w:r>
        <w:t>8.1 Candidate pipeline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Step</w:t>
            </w:r>
          </w:p>
        </w:tc>
        <w:tc>
          <w:tcPr>
            <w:tcW w:type="dxa" w:w="432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Input</w:t>
            </w:r>
          </w:p>
        </w:tc>
        <w:tc>
          <w:tcPr>
            <w:tcW w:type="dxa" w:w="41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Output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Eligibility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Hard requirements, policies, applicability and mandatory prerequisites.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Eligible and ineligible candidates with reasons.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Base scoring</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Normalized driver weights and calibrated quality-rating vectors.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Weighted base score and per-driver contribution.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Context adjustment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Team, skills, cost, scale, legacy, delivery horizon and operational maturity.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Documented positive or negative adjustments.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Combination analysis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Current selections and graph relationships.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Conflicts, tensions, missing prerequisites, obligations and complexity.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Ranking</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Adjusted scores and confidence.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Ordered alternatives; ties and uncertainty preserved.</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Explanation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All preceding structured results.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Rationale, weaknesses, assumptions, mitigation and counterfactuals.</w:t>
            </w:r>
          </w:p>
        </w:tc>
      </w:tr>
    </w:tbl>
    <w:p>
      <w:pPr>
        <w:pStyle w:val="Heading2"/>
      </w:pPr>
      <w:r>
        <w:t>8.2 Baseline scoring model</w:t>
      </w:r>
    </w:p>
    <w:p>
      <w:pPr>
        <w:pStyle w:val="CodeBlock"/>
        <w:shd w:fill="F8FAFC"/>
        <w:pBdr>
          <w:left w:val="single" w:sz="18" w:space="4" w:color="2C5F8A"/>
        </w:pBdr>
      </w:pPr>
      <w:r>
        <w:rPr>
          <w:rFonts w:ascii="DejaVu Sans Mono" w:hAnsi="DejaVu Sans Mono" w:eastAsia="DejaVu Sans Mono"/>
          <w:color w:val="1D2939"/>
          <w:sz w:val="15"/>
        </w:rPr>
        <w:t>baseScore(candidate) =</w:t>
      </w:r>
    </w:p>
    <w:p>
      <w:pPr>
        <w:pStyle w:val="CodeBlock"/>
        <w:shd w:fill="F8FAFC"/>
        <w:pBdr>
          <w:left w:val="single" w:sz="18" w:space="4" w:color="2C5F8A"/>
        </w:pBdr>
      </w:pPr>
      <w:r>
        <w:rPr>
          <w:rFonts w:ascii="DejaVu Sans Mono" w:hAnsi="DejaVu Sans Mono" w:eastAsia="DejaVu Sans Mono"/>
          <w:color w:val="1D2939"/>
          <w:sz w:val="15"/>
        </w:rPr>
        <w:t xml:space="preserve">  Σ(normalizedWeight[attribute] × calibratedRating[candidate, attribute])</w:t>
      </w:r>
    </w:p>
    <w:p>
      <w:pPr>
        <w:pStyle w:val="CodeBlock"/>
        <w:shd w:fill="F8FAFC"/>
        <w:pBdr>
          <w:left w:val="single" w:sz="18" w:space="4" w:color="2C5F8A"/>
        </w:pBdr>
      </w:pPr>
      <w:r>
        <w:rPr>
          <w:rFonts w:ascii="DejaVu Sans Mono" w:hAnsi="DejaVu Sans Mono" w:eastAsia="DejaVu Sans Mono"/>
          <w:color w:val="1D2939"/>
          <w:sz w:val="15"/>
        </w:rPr>
      </w:r>
    </w:p>
    <w:p>
      <w:pPr>
        <w:pStyle w:val="CodeBlock"/>
        <w:shd w:fill="F8FAFC"/>
        <w:pBdr>
          <w:left w:val="single" w:sz="18" w:space="4" w:color="2C5F8A"/>
        </w:pBdr>
      </w:pPr>
      <w:r>
        <w:rPr>
          <w:rFonts w:ascii="DejaVu Sans Mono" w:hAnsi="DejaVu Sans Mono" w:eastAsia="DejaVu Sans Mono"/>
          <w:color w:val="1D2939"/>
          <w:sz w:val="15"/>
        </w:rPr>
        <w:t>adjustedScore =</w:t>
      </w:r>
    </w:p>
    <w:p>
      <w:pPr>
        <w:pStyle w:val="CodeBlock"/>
        <w:shd w:fill="F8FAFC"/>
        <w:pBdr>
          <w:left w:val="single" w:sz="18" w:space="4" w:color="2C5F8A"/>
        </w:pBdr>
      </w:pPr>
      <w:r>
        <w:rPr>
          <w:rFonts w:ascii="DejaVu Sans Mono" w:hAnsi="DejaVu Sans Mono" w:eastAsia="DejaVu Sans Mono"/>
          <w:color w:val="1D2939"/>
          <w:sz w:val="15"/>
        </w:rPr>
        <w:t xml:space="preserve">  baseScore</w:t>
      </w:r>
    </w:p>
    <w:p>
      <w:pPr>
        <w:pStyle w:val="CodeBlock"/>
        <w:shd w:fill="F8FAFC"/>
        <w:pBdr>
          <w:left w:val="single" w:sz="18" w:space="4" w:color="2C5F8A"/>
        </w:pBdr>
      </w:pPr>
      <w:r>
        <w:rPr>
          <w:rFonts w:ascii="DejaVu Sans Mono" w:hAnsi="DejaVu Sans Mono" w:eastAsia="DejaVu Sans Mono"/>
          <w:color w:val="1D2939"/>
          <w:sz w:val="15"/>
        </w:rPr>
        <w:t xml:space="preserve">  + Σ(contextAdjustment)</w:t>
      </w:r>
    </w:p>
    <w:p>
      <w:pPr>
        <w:pStyle w:val="CodeBlock"/>
        <w:shd w:fill="F8FAFC"/>
        <w:pBdr>
          <w:left w:val="single" w:sz="18" w:space="4" w:color="2C5F8A"/>
        </w:pBdr>
      </w:pPr>
      <w:r>
        <w:rPr>
          <w:rFonts w:ascii="DejaVu Sans Mono" w:hAnsi="DejaVu Sans Mono" w:eastAsia="DejaVu Sans Mono"/>
          <w:color w:val="1D2939"/>
          <w:sz w:val="15"/>
        </w:rPr>
        <w:t xml:space="preserve">  - Σ(unmitigatedRiskPenalty)</w:t>
      </w:r>
    </w:p>
    <w:p>
      <w:pPr>
        <w:pStyle w:val="CodeBlock"/>
        <w:shd w:fill="F8FAFC"/>
        <w:pBdr>
          <w:left w:val="single" w:sz="18" w:space="4" w:color="2C5F8A"/>
        </w:pBdr>
      </w:pPr>
      <w:r>
        <w:rPr>
          <w:rFonts w:ascii="DejaVu Sans Mono" w:hAnsi="DejaVu Sans Mono" w:eastAsia="DejaVu Sans Mono"/>
          <w:color w:val="1D2939"/>
          <w:sz w:val="15"/>
        </w:rPr>
        <w:t xml:space="preserve">  - Σ(complexityPenalty)</w:t>
      </w:r>
    </w:p>
    <w:p>
      <w:pPr>
        <w:pStyle w:val="CodeBlock"/>
        <w:shd w:fill="F8FAFC"/>
        <w:pBdr>
          <w:left w:val="single" w:sz="18" w:space="4" w:color="2C5F8A"/>
        </w:pBdr>
      </w:pPr>
      <w:r>
        <w:rPr>
          <w:rFonts w:ascii="DejaVu Sans Mono" w:hAnsi="DejaVu Sans Mono" w:eastAsia="DejaVu Sans Mono"/>
          <w:color w:val="1D2939"/>
          <w:sz w:val="15"/>
        </w:rPr>
      </w:r>
    </w:p>
    <w:p>
      <w:pPr>
        <w:pStyle w:val="CodeBlock"/>
        <w:shd w:fill="F8FAFC"/>
        <w:pBdr>
          <w:left w:val="single" w:sz="18" w:space="4" w:color="2C5F8A"/>
        </w:pBdr>
      </w:pPr>
      <w:r>
        <w:rPr>
          <w:rFonts w:ascii="DejaVu Sans Mono" w:hAnsi="DejaVu Sans Mono" w:eastAsia="DejaVu Sans Mono"/>
          <w:color w:val="1D2939"/>
          <w:sz w:val="15"/>
        </w:rPr>
        <w:t>A hard constraint sets eligible=false rather than assigning an arbitrary very low score.</w:t>
      </w:r>
    </w:p>
    <w:p>
      <w:pPr>
        <w:spacing w:before="40" w:after="80"/>
      </w:pPr>
      <w:r>
        <w:rPr>
          <w:rFonts w:ascii="Liberation Sans" w:hAnsi="Liberation Sans" w:eastAsia="Liberation Sans"/>
          <w:i/>
          <w:color w:val="667085"/>
          <w:sz w:val="16"/>
        </w:rPr>
        <w:t>Rating scales, penalties and adjustment ranges must be calibrated against expert benchmark scenarios. They are configuration, not universal constants.</w:t>
      </w:r>
    </w:p>
    <w:p>
      <w:pPr>
        <w:pStyle w:val="Heading2"/>
      </w:pPr>
      <w:r>
        <w:t>8.3 Recommendation-run record</w:t>
      </w:r>
    </w:p>
    <w:p>
      <w:pPr>
        <w:pStyle w:val="ListBullet"/>
        <w:spacing w:after="30"/>
        <w:ind w:left="331" w:hanging="173"/>
      </w:pPr>
      <w:r>
        <w:rPr>
          <w:rFonts w:ascii="Liberation Sans" w:hAnsi="Liberation Sans" w:eastAsia="Liberation Sans"/>
          <w:color w:val="1D2939"/>
        </w:rPr>
        <w:t>Snapshot ID, driver-set ID, knowledge-pack version, rule-pack version and engine version.</w:t>
      </w:r>
    </w:p>
    <w:p>
      <w:pPr>
        <w:pStyle w:val="ListBullet"/>
        <w:spacing w:after="30"/>
        <w:ind w:left="331" w:hanging="173"/>
      </w:pPr>
      <w:r>
        <w:rPr>
          <w:rFonts w:ascii="Liberation Sans" w:hAnsi="Liberation Sans" w:eastAsia="Liberation Sans"/>
          <w:color w:val="1D2939"/>
        </w:rPr>
        <w:t>Candidate type, eligible population and excluded candidates with reasons.</w:t>
      </w:r>
    </w:p>
    <w:p>
      <w:pPr>
        <w:pStyle w:val="ListBullet"/>
        <w:spacing w:after="30"/>
        <w:ind w:left="331" w:hanging="173"/>
      </w:pPr>
      <w:r>
        <w:rPr>
          <w:rFonts w:ascii="Liberation Sans" w:hAnsi="Liberation Sans" w:eastAsia="Liberation Sans"/>
          <w:color w:val="1D2939"/>
        </w:rPr>
        <w:t>Normalized inputs, assumptions and confidence.</w:t>
      </w:r>
    </w:p>
    <w:p>
      <w:pPr>
        <w:pStyle w:val="ListBullet"/>
        <w:spacing w:after="30"/>
        <w:ind w:left="331" w:hanging="173"/>
      </w:pPr>
      <w:r>
        <w:rPr>
          <w:rFonts w:ascii="Liberation Sans" w:hAnsi="Liberation Sans" w:eastAsia="Liberation Sans"/>
          <w:color w:val="1D2939"/>
        </w:rPr>
        <w:t>Base score, contribution by attribute, adjustments, penalties and final rank.</w:t>
      </w:r>
    </w:p>
    <w:p>
      <w:pPr>
        <w:pStyle w:val="ListBullet"/>
        <w:spacing w:after="30"/>
        <w:ind w:left="331" w:hanging="173"/>
      </w:pPr>
      <w:r>
        <w:rPr>
          <w:rFonts w:ascii="Liberation Sans" w:hAnsi="Liberation Sans" w:eastAsia="Liberation Sans"/>
          <w:color w:val="1D2939"/>
        </w:rPr>
        <w:t>Warnings, obligations, explanation and sensitivity results.</w:t>
      </w:r>
    </w:p>
    <w:p>
      <w:pPr>
        <w:pStyle w:val="ListBullet"/>
        <w:spacing w:after="30"/>
        <w:ind w:left="331" w:hanging="173"/>
      </w:pPr>
      <w:r>
        <w:rPr>
          <w:rFonts w:ascii="Liberation Sans" w:hAnsi="Liberation Sans" w:eastAsia="Liberation Sans"/>
          <w:color w:val="1D2939"/>
        </w:rPr>
        <w:t>User selection, rejected alternatives and resulting decision ID.</w:t>
      </w:r>
    </w:p>
    <w:p>
      <w:pPr>
        <w:pStyle w:val="Heading2"/>
      </w:pPr>
      <w:r>
        <w:t>8.4 Explainability requirements</w:t>
      </w:r>
    </w:p>
    <w:p>
      <w:pPr>
        <w:pStyle w:val="ListBullet"/>
        <w:spacing w:after="30"/>
        <w:ind w:left="331" w:hanging="173"/>
      </w:pPr>
      <w:r>
        <w:rPr>
          <w:rFonts w:ascii="Liberation Sans" w:hAnsi="Liberation Sans" w:eastAsia="Liberation Sans"/>
          <w:color w:val="1D2939"/>
        </w:rPr>
        <w:t>Show which design drivers contributed most to each candidate.</w:t>
      </w:r>
    </w:p>
    <w:p>
      <w:pPr>
        <w:pStyle w:val="ListBullet"/>
        <w:spacing w:after="30"/>
        <w:ind w:left="331" w:hanging="173"/>
      </w:pPr>
      <w:r>
        <w:rPr>
          <w:rFonts w:ascii="Liberation Sans" w:hAnsi="Liberation Sans" w:eastAsia="Liberation Sans"/>
          <w:color w:val="1D2939"/>
        </w:rPr>
        <w:t>Expose the candidate’s weakest relevant attributes, not only its strengths.</w:t>
      </w:r>
    </w:p>
    <w:p>
      <w:pPr>
        <w:pStyle w:val="ListBullet"/>
        <w:spacing w:after="30"/>
        <w:ind w:left="331" w:hanging="173"/>
      </w:pPr>
      <w:r>
        <w:rPr>
          <w:rFonts w:ascii="Liberation Sans" w:hAnsi="Liberation Sans" w:eastAsia="Liberation Sans"/>
          <w:color w:val="1D2939"/>
        </w:rPr>
        <w:t>Explain eligibility exclusions separately from low scores.</w:t>
      </w:r>
    </w:p>
    <w:p>
      <w:pPr>
        <w:pStyle w:val="ListBullet"/>
        <w:spacing w:after="30"/>
        <w:ind w:left="331" w:hanging="173"/>
      </w:pPr>
      <w:r>
        <w:rPr>
          <w:rFonts w:ascii="Liberation Sans" w:hAnsi="Liberation Sans" w:eastAsia="Liberation Sans"/>
          <w:color w:val="1D2939"/>
        </w:rPr>
        <w:t>Show assumptions and low-confidence inputs that could alter the ranking.</w:t>
      </w:r>
    </w:p>
    <w:p>
      <w:pPr>
        <w:pStyle w:val="ListBullet"/>
        <w:spacing w:after="30"/>
        <w:ind w:left="331" w:hanging="173"/>
      </w:pPr>
      <w:r>
        <w:rPr>
          <w:rFonts w:ascii="Liberation Sans" w:hAnsi="Liberation Sans" w:eastAsia="Liberation Sans"/>
          <w:color w:val="1D2939"/>
        </w:rPr>
        <w:t>Offer a counterfactual: what priority or context change would make another candidate lead.</w:t>
      </w:r>
    </w:p>
    <w:p>
      <w:pPr>
        <w:pStyle w:val="ListBullet"/>
        <w:spacing w:after="30"/>
        <w:ind w:left="331" w:hanging="173"/>
      </w:pPr>
      <w:r>
        <w:rPr>
          <w:rFonts w:ascii="Liberation Sans" w:hAnsi="Liberation Sans" w:eastAsia="Liberation Sans"/>
          <w:color w:val="1D2939"/>
        </w:rPr>
        <w:t>Link every material claim to an approved knowledge record or explicit project fact.</w:t>
      </w:r>
    </w:p>
    <w:p>
      <w:pPr>
        <w:pStyle w:val="Heading1"/>
      </w:pPr>
      <w:r>
        <w:t>9. Decisions, evidence and traceability</w:t>
      </w:r>
    </w:p>
    <w:p>
      <w:pPr>
        <w:pStyle w:val="Heading2"/>
      </w:pPr>
      <w:r>
        <w:t>9.1 Decision model</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8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7"/>
              </w:rPr>
              <w:t>Decision element</w:t>
            </w:r>
          </w:p>
        </w:tc>
        <w:tc>
          <w:tcPr>
            <w:tcW w:type="dxa" w:w="81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7"/>
              </w:rPr>
              <w:t>Required content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Context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Problem, drivers, constraints and affected scope.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Decision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Selected style, pattern, mapping, technology, exception or other architectural choice.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Alternatives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Considered and rejected options with structured reasons.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Consequences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Benefits, liabilities, risks, obligations and future constraints.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Evidence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Knowledge records, source documents, benchmark results and review comments.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Links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Affected nodes/edges, driver scenarios, findings, risks, controls and generated artifacts.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Lifecycle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Proposed, accepted, rejected, superseded or deprecated; owner and date.</w:t>
            </w:r>
          </w:p>
        </w:tc>
      </w:tr>
    </w:tbl>
    <w:p>
      <w:pPr>
        <w:pStyle w:val="Heading2"/>
      </w:pPr>
      <w:r>
        <w:t>9.2 Traceability requirements</w:t>
      </w:r>
    </w:p>
    <w:p>
      <w:pPr>
        <w:jc w:val="center"/>
      </w:pPr>
      <w:r>
        <w:drawing>
          <wp:inline xmlns:a="http://schemas.openxmlformats.org/drawingml/2006/main" xmlns:pic="http://schemas.openxmlformats.org/drawingml/2006/picture">
            <wp:extent cx="6263640" cy="2175790"/>
            <wp:docPr id="3" name="Picture 3" descr="Figure 3. Traceability path used for review, impact analysis and artifact generation." title="Figure 3. Traceability path used for review, impact analysis and artifact generation."/>
            <wp:cNvGraphicFramePr>
              <a:graphicFrameLocks noChangeAspect="1"/>
            </wp:cNvGraphicFramePr>
            <a:graphic>
              <a:graphicData uri="http://schemas.openxmlformats.org/drawingml/2006/picture">
                <pic:pic>
                  <pic:nvPicPr>
                    <pic:cNvPr id="0" name="traceability_chain.png"/>
                    <pic:cNvPicPr/>
                  </pic:nvPicPr>
                  <pic:blipFill>
                    <a:blip r:embed="rId11"/>
                    <a:stretch>
                      <a:fillRect/>
                    </a:stretch>
                  </pic:blipFill>
                  <pic:spPr>
                    <a:xfrm>
                      <a:off x="0" y="0"/>
                      <a:ext cx="6263640" cy="2175790"/>
                    </a:xfrm>
                    <a:prstGeom prst="rect"/>
                  </pic:spPr>
                </pic:pic>
              </a:graphicData>
            </a:graphic>
          </wp:inline>
        </w:drawing>
      </w:r>
    </w:p>
    <w:p>
      <w:pPr>
        <w:jc w:val="center"/>
      </w:pPr>
      <w:r>
        <w:rPr>
          <w:rFonts w:ascii="Liberation Sans" w:hAnsi="Liberation Sans" w:eastAsia="Liberation Sans"/>
          <w:i/>
          <w:color w:val="667085"/>
          <w:sz w:val="16"/>
        </w:rPr>
        <w:t>Figure 3. Traceability path used for review, impact analysis and artifact generation.</w:t>
      </w:r>
    </w:p>
    <w:p>
      <w:pPr>
        <w:pStyle w:val="ListBullet"/>
        <w:spacing w:after="30"/>
        <w:ind w:left="331" w:hanging="173"/>
      </w:pPr>
      <w:r>
        <w:rPr>
          <w:rFonts w:ascii="Liberation Sans" w:hAnsi="Liberation Sans" w:eastAsia="Liberation Sans"/>
          <w:color w:val="1D2939"/>
        </w:rPr>
        <w:t>Every selected style or pattern links to the drivers and concerns that influenced it.</w:t>
      </w:r>
    </w:p>
    <w:p>
      <w:pPr>
        <w:pStyle w:val="ListBullet"/>
        <w:spacing w:after="30"/>
        <w:ind w:left="331" w:hanging="173"/>
      </w:pPr>
      <w:r>
        <w:rPr>
          <w:rFonts w:ascii="Liberation Sans" w:hAnsi="Liberation Sans" w:eastAsia="Liberation Sans"/>
          <w:color w:val="1D2939"/>
        </w:rPr>
        <w:t>Every hard override or accepted incompatibility links to an ADR and accountable owner.</w:t>
      </w:r>
    </w:p>
    <w:p>
      <w:pPr>
        <w:pStyle w:val="ListBullet"/>
        <w:spacing w:after="30"/>
        <w:ind w:left="331" w:hanging="173"/>
      </w:pPr>
      <w:r>
        <w:rPr>
          <w:rFonts w:ascii="Liberation Sans" w:hAnsi="Liberation Sans" w:eastAsia="Liberation Sans"/>
          <w:color w:val="1D2939"/>
        </w:rPr>
        <w:t>Every physical technology component links to the logical technology capability it realizes.</w:t>
      </w:r>
    </w:p>
    <w:p>
      <w:pPr>
        <w:pStyle w:val="ListBullet"/>
        <w:spacing w:after="30"/>
        <w:ind w:left="331" w:hanging="173"/>
      </w:pPr>
      <w:r>
        <w:rPr>
          <w:rFonts w:ascii="Liberation Sans" w:hAnsi="Liberation Sans" w:eastAsia="Liberation Sans"/>
          <w:color w:val="1D2939"/>
        </w:rPr>
        <w:t>Every deployable application unit links to the logical services or responsibilities it realizes.</w:t>
      </w:r>
    </w:p>
    <w:p>
      <w:pPr>
        <w:pStyle w:val="ListBullet"/>
        <w:spacing w:after="30"/>
        <w:ind w:left="331" w:hanging="173"/>
      </w:pPr>
      <w:r>
        <w:rPr>
          <w:rFonts w:ascii="Liberation Sans" w:hAnsi="Liberation Sans" w:eastAsia="Liberation Sans"/>
          <w:color w:val="1D2939"/>
        </w:rPr>
        <w:t>Every generated artifact identifies the exact snapshot and knowledge/rule versions.</w:t>
      </w:r>
    </w:p>
    <w:p>
      <w:pPr>
        <w:pStyle w:val="ListBullet"/>
        <w:spacing w:after="30"/>
        <w:ind w:left="331" w:hanging="173"/>
      </w:pPr>
      <w:r>
        <w:rPr>
          <w:rFonts w:ascii="Liberation Sans" w:hAnsi="Liberation Sans" w:eastAsia="Liberation Sans"/>
          <w:color w:val="1D2939"/>
        </w:rPr>
        <w:t>Traceability queries must identify both connected evidence and gaps.</w:t>
      </w:r>
    </w:p>
    <w:p>
      <w:pPr>
        <w:pStyle w:val="Heading2"/>
      </w:pPr>
      <w:r>
        <w:t>9.3 Evidence model</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5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Item</w:t>
            </w:r>
          </w:p>
        </w:tc>
        <w:tc>
          <w:tcPr>
            <w:tcW w:type="dxa" w:w="7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Definition</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Evidence types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Source publication, uploaded requirement, workshop record, benchmark, test result, runtime observation, policy and review statement.</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Minimum metadata</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ID, title, source, author/publisher, date, retrieval date, extract/claim, authority, license, curator and confidence.</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Immutability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Evidence used by a published knowledge pack is snapshotted or cryptographically referenced.</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AI usage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LLM output is not authoritative evidence; it must reference approved evidence or be labeled as an unverified proposal.</w:t>
            </w:r>
          </w:p>
        </w:tc>
      </w:tr>
    </w:tbl>
    <w:p>
      <w:pPr>
        <w:pStyle w:val="Heading1"/>
      </w:pPr>
      <w:r>
        <w:t>10. Versioning, change sets and AI diff</w:t>
      </w:r>
    </w:p>
    <w:p>
      <w:pPr>
        <w:pStyle w:val="Heading2"/>
      </w:pPr>
      <w:r>
        <w:t>10.1 Version hierarchy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Versioned object</w:t>
            </w:r>
          </w:p>
        </w:tc>
        <w:tc>
          <w:tcPr>
            <w:tcW w:type="dxa" w:w="316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Version approach</w:t>
            </w:r>
          </w:p>
        </w:tc>
        <w:tc>
          <w:tcPr>
            <w:tcW w:type="dxa" w:w="48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Notes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Project model</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Immutable snapshots with branch ancestry.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Working state may change; review/export targets a snapshot.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Knowledge pack</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Semantic versioning and release status.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Recommendation runs preserve the exact version.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Rule pack</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Semantic versioning with regression results.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Breaking severity/meaning changes require major version.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Schema</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Semantic versioning and migration contract.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Unknown major versions are rejected.</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Generator adapter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Versioned by target and output contract.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Output records adapter and target versions.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View layout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Versioned with model or as user preference.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Semantic model does not depend on layout.</w:t>
            </w:r>
          </w:p>
        </w:tc>
      </w:tr>
    </w:tbl>
    <w:p>
      <w:pPr>
        <w:pStyle w:val="Heading2"/>
      </w:pPr>
      <w:r>
        <w:t>10.2 Change-set contract</w:t>
      </w:r>
    </w:p>
    <w:p>
      <w:pPr>
        <w:pStyle w:val="ListBullet"/>
        <w:spacing w:after="30"/>
        <w:ind w:left="331" w:hanging="173"/>
      </w:pPr>
      <w:r>
        <w:rPr>
          <w:rFonts w:ascii="Liberation Sans" w:hAnsi="Liberation Sans" w:eastAsia="Liberation Sans"/>
          <w:color w:val="1D2939"/>
        </w:rPr>
        <w:t>A change set is an ordered set of add, update, remove, move, map or unmap operations against a base snapshot.</w:t>
      </w:r>
    </w:p>
    <w:p>
      <w:pPr>
        <w:pStyle w:val="ListBullet"/>
        <w:spacing w:after="30"/>
        <w:ind w:left="331" w:hanging="173"/>
      </w:pPr>
      <w:r>
        <w:rPr>
          <w:rFonts w:ascii="Liberation Sans" w:hAnsi="Liberation Sans" w:eastAsia="Liberation Sans"/>
          <w:color w:val="1D2939"/>
        </w:rPr>
        <w:t>Each operation records before and after state, rationale, source and acceptance status.</w:t>
      </w:r>
    </w:p>
    <w:p>
      <w:pPr>
        <w:pStyle w:val="ListBullet"/>
        <w:spacing w:after="30"/>
        <w:ind w:left="331" w:hanging="173"/>
      </w:pPr>
      <w:r>
        <w:rPr>
          <w:rFonts w:ascii="Liberation Sans" w:hAnsi="Liberation Sans" w:eastAsia="Liberation Sans"/>
          <w:color w:val="1D2939"/>
        </w:rPr>
        <w:t>Validation runs against the complete proposed result, not only each operation in isolation.</w:t>
      </w:r>
    </w:p>
    <w:p>
      <w:pPr>
        <w:pStyle w:val="ListBullet"/>
        <w:spacing w:after="30"/>
        <w:ind w:left="331" w:hanging="173"/>
      </w:pPr>
      <w:r>
        <w:rPr>
          <w:rFonts w:ascii="Liberation Sans" w:hAnsi="Liberation Sans" w:eastAsia="Liberation Sans"/>
          <w:color w:val="1D2939"/>
        </w:rPr>
        <w:t>Committed change sets are immutable and produce a new snapshot or working revision.</w:t>
      </w:r>
    </w:p>
    <w:p>
      <w:pPr>
        <w:pStyle w:val="ListBullet"/>
        <w:spacing w:after="30"/>
        <w:ind w:left="331" w:hanging="173"/>
      </w:pPr>
      <w:r>
        <w:rPr>
          <w:rFonts w:ascii="Liberation Sans" w:hAnsi="Liberation Sans" w:eastAsia="Liberation Sans"/>
          <w:color w:val="1D2939"/>
        </w:rPr>
        <w:t>Undo creates an inverse change set; it does not erase audit history.</w:t>
      </w:r>
    </w:p>
    <w:p>
      <w:pPr>
        <w:pStyle w:val="Heading2"/>
      </w:pPr>
      <w:r>
        <w:t>10.3 AI architectural diff</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State</w:t>
            </w:r>
          </w:p>
        </w:tc>
        <w:tc>
          <w:tcPr>
            <w:tcW w:type="dxa" w:w="82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Behaviour</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Proposed</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AI-generated operations are isolated from the working model and rendered as additions, removals and modifications.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Reviewed</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User can inspect each operation, rationale, rule/knowledge references and predicted impacts.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Partially accepted</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Accepted operations are revalidated together; rejected operations retain feedback and rationale.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Committed</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 user-authorized change set updates the working model and creates decision/audit links.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Rejected</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No model mutation occurs; the proposal may remain attached to the audit result.</w:t>
            </w:r>
          </w:p>
        </w:tc>
      </w:tr>
    </w:tbl>
    <w:p>
      <w:pPr>
        <w:pStyle w:val="Heading2"/>
      </w:pPr>
      <w:r>
        <w:t>10.4 Offline and synchronization semantics</w:t>
      </w:r>
    </w:p>
    <w:p>
      <w:pPr>
        <w:pStyle w:val="ListBullet"/>
        <w:spacing w:after="30"/>
        <w:ind w:left="331" w:hanging="173"/>
      </w:pPr>
      <w:r>
        <w:rPr>
          <w:rFonts w:ascii="Liberation Sans" w:hAnsi="Liberation Sans" w:eastAsia="Liberation Sans"/>
          <w:color w:val="1D2939"/>
        </w:rPr>
        <w:t>The client stores working graph, change sets, approved knowledge/rule packs and pending audit/export operations locally.</w:t>
      </w:r>
    </w:p>
    <w:p>
      <w:pPr>
        <w:pStyle w:val="ListBullet"/>
        <w:spacing w:after="30"/>
        <w:ind w:left="331" w:hanging="173"/>
      </w:pPr>
      <w:r>
        <w:rPr>
          <w:rFonts w:ascii="Liberation Sans" w:hAnsi="Liberation Sans" w:eastAsia="Liberation Sans"/>
          <w:color w:val="1D2939"/>
        </w:rPr>
        <w:t>Locally created IDs are globally unique and remain unchanged after synchronization.</w:t>
      </w:r>
    </w:p>
    <w:p>
      <w:pPr>
        <w:pStyle w:val="ListBullet"/>
        <w:spacing w:after="30"/>
        <w:ind w:left="331" w:hanging="173"/>
      </w:pPr>
      <w:r>
        <w:rPr>
          <w:rFonts w:ascii="Liberation Sans" w:hAnsi="Liberation Sans" w:eastAsia="Liberation Sans"/>
          <w:color w:val="1D2939"/>
        </w:rPr>
        <w:t>Synchronization exchanges change sets and snapshot hashes rather than view-specific documents.</w:t>
      </w:r>
    </w:p>
    <w:p>
      <w:pPr>
        <w:pStyle w:val="ListBullet"/>
        <w:spacing w:after="30"/>
        <w:ind w:left="331" w:hanging="173"/>
      </w:pPr>
      <w:r>
        <w:rPr>
          <w:rFonts w:ascii="Liberation Sans" w:hAnsi="Liberation Sans" w:eastAsia="Liberation Sans"/>
          <w:color w:val="1D2939"/>
        </w:rPr>
        <w:t>Conflicts are detected at semantic object/property level and resolved explicitly.</w:t>
      </w:r>
    </w:p>
    <w:p>
      <w:pPr>
        <w:pStyle w:val="ListBullet"/>
        <w:spacing w:after="30"/>
        <w:ind w:left="331" w:hanging="173"/>
      </w:pPr>
      <w:r>
        <w:rPr>
          <w:rFonts w:ascii="Liberation Sans" w:hAnsi="Liberation Sans" w:eastAsia="Liberation Sans"/>
          <w:color w:val="1D2939"/>
        </w:rPr>
        <w:t>Server-only AI audit is queued or unavailable offline; deterministic validation remains available.</w:t>
      </w:r>
    </w:p>
    <w:p>
      <w:pPr>
        <w:pStyle w:val="Heading1"/>
      </w:pPr>
      <w:r>
        <w:t>11. Persistence, APIs and interoperability</w:t>
      </w:r>
    </w:p>
    <w:p>
      <w:pPr>
        <w:pStyle w:val="Heading2"/>
      </w:pPr>
      <w:r>
        <w:t>11.1 MVP persistence model</w:t>
      </w:r>
    </w:p>
    <w:p>
      <w:pPr>
        <w:pStyle w:val="ListBullet"/>
        <w:spacing w:after="30"/>
        <w:ind w:left="331" w:hanging="173"/>
      </w:pPr>
      <w:r>
        <w:rPr>
          <w:rFonts w:ascii="Liberation Sans" w:hAnsi="Liberation Sans" w:eastAsia="Liberation Sans"/>
          <w:color w:val="1D2939"/>
        </w:rPr>
        <w:t>Use a relational database for projects, snapshots, nodes, edges, views, knowledge, rules, decisions, findings, obligations and audit events.</w:t>
      </w:r>
    </w:p>
    <w:p>
      <w:pPr>
        <w:pStyle w:val="ListBullet"/>
        <w:spacing w:after="30"/>
        <w:ind w:left="331" w:hanging="173"/>
      </w:pPr>
      <w:r>
        <w:rPr>
          <w:rFonts w:ascii="Liberation Sans" w:hAnsi="Liberation Sans" w:eastAsia="Liberation Sans"/>
          <w:color w:val="1D2939"/>
        </w:rPr>
        <w:t>Use JSON columns for typed extensible properties while keeping identity, type, lifecycle and critical query fields relational.</w:t>
      </w:r>
    </w:p>
    <w:p>
      <w:pPr>
        <w:pStyle w:val="ListBullet"/>
        <w:spacing w:after="30"/>
        <w:ind w:left="331" w:hanging="173"/>
      </w:pPr>
      <w:r>
        <w:rPr>
          <w:rFonts w:ascii="Liberation Sans" w:hAnsi="Liberation Sans" w:eastAsia="Liberation Sans"/>
          <w:color w:val="1D2939"/>
        </w:rPr>
        <w:t>Enforce entity and relationship schemas in application validation and database constraints where practical.</w:t>
      </w:r>
    </w:p>
    <w:p>
      <w:pPr>
        <w:pStyle w:val="ListBullet"/>
        <w:spacing w:after="30"/>
        <w:ind w:left="331" w:hanging="173"/>
      </w:pPr>
      <w:r>
        <w:rPr>
          <w:rFonts w:ascii="Liberation Sans" w:hAnsi="Liberation Sans" w:eastAsia="Liberation Sans"/>
          <w:color w:val="1D2939"/>
        </w:rPr>
        <w:t>Add graph-specific storage only after measured traversal or authoring needs exceed the relational implementation.</w:t>
      </w:r>
    </w:p>
    <w:p>
      <w:pPr>
        <w:pStyle w:val="ListBullet"/>
        <w:spacing w:after="30"/>
        <w:ind w:left="331" w:hanging="173"/>
      </w:pPr>
      <w:r>
        <w:rPr>
          <w:rFonts w:ascii="Liberation Sans" w:hAnsi="Liberation Sans" w:eastAsia="Liberation Sans"/>
          <w:color w:val="1D2939"/>
        </w:rPr>
        <w:t>Use object storage for large uploaded evidence and generated packages, with metadata in the relational store.</w:t>
      </w:r>
    </w:p>
    <w:p>
      <w:pPr>
        <w:pStyle w:val="Heading2"/>
      </w:pPr>
      <w:r>
        <w:t>11.2 API contract principles</w:t>
      </w:r>
    </w:p>
    <w:p>
      <w:pPr>
        <w:pStyle w:val="ListBullet"/>
        <w:spacing w:after="30"/>
        <w:ind w:left="331" w:hanging="173"/>
      </w:pPr>
      <w:r>
        <w:rPr>
          <w:rFonts w:ascii="Liberation Sans" w:hAnsi="Liberation Sans" w:eastAsia="Liberation Sans"/>
          <w:color w:val="1D2939"/>
        </w:rPr>
        <w:t>Resource APIs operate on canonical objects; canvas APIs do not create parallel semantic types.</w:t>
      </w:r>
    </w:p>
    <w:p>
      <w:pPr>
        <w:pStyle w:val="ListBullet"/>
        <w:spacing w:after="30"/>
        <w:ind w:left="331" w:hanging="173"/>
      </w:pPr>
      <w:r>
        <w:rPr>
          <w:rFonts w:ascii="Liberation Sans" w:hAnsi="Liberation Sans" w:eastAsia="Liberation Sans"/>
          <w:color w:val="1D2939"/>
        </w:rPr>
        <w:t>Write operations use optimistic concurrency and expected snapshot/revision identifiers.</w:t>
      </w:r>
    </w:p>
    <w:p>
      <w:pPr>
        <w:pStyle w:val="ListBullet"/>
        <w:spacing w:after="30"/>
        <w:ind w:left="331" w:hanging="173"/>
      </w:pPr>
      <w:r>
        <w:rPr>
          <w:rFonts w:ascii="Liberation Sans" w:hAnsi="Liberation Sans" w:eastAsia="Liberation Sans"/>
          <w:color w:val="1D2939"/>
        </w:rPr>
        <w:t>Bulk graph changes use change-set endpoints and return complete validation results.</w:t>
      </w:r>
    </w:p>
    <w:p>
      <w:pPr>
        <w:pStyle w:val="ListBullet"/>
        <w:spacing w:after="30"/>
        <w:ind w:left="331" w:hanging="173"/>
      </w:pPr>
      <w:r>
        <w:rPr>
          <w:rFonts w:ascii="Liberation Sans" w:hAnsi="Liberation Sans" w:eastAsia="Liberation Sans"/>
          <w:color w:val="1D2939"/>
        </w:rPr>
        <w:t>Exports and audits require a named snapshot to guarantee reproducibility.</w:t>
      </w:r>
    </w:p>
    <w:p>
      <w:pPr>
        <w:pStyle w:val="ListBullet"/>
        <w:spacing w:after="30"/>
        <w:ind w:left="331" w:hanging="173"/>
      </w:pPr>
      <w:r>
        <w:rPr>
          <w:rFonts w:ascii="Liberation Sans" w:hAnsi="Liberation Sans" w:eastAsia="Liberation Sans"/>
          <w:color w:val="1D2939"/>
        </w:rPr>
        <w:t>Every response includes schema, knowledge and rules versions where relevant.</w:t>
      </w:r>
    </w:p>
    <w:p>
      <w:pPr>
        <w:pStyle w:val="ListBullet"/>
        <w:spacing w:after="30"/>
        <w:ind w:left="331" w:hanging="173"/>
      </w:pPr>
      <w:r>
        <w:rPr>
          <w:rFonts w:ascii="Liberation Sans" w:hAnsi="Liberation Sans" w:eastAsia="Liberation Sans"/>
          <w:color w:val="1D2939"/>
        </w:rPr>
        <w:t>Errors distinguish schema violation, relationship violation, rule finding, permission denial and concurrency conflict.</w:t>
      </w:r>
    </w:p>
    <w:p>
      <w:pPr>
        <w:pStyle w:val="Heading2"/>
      </w:pPr>
      <w:r>
        <w:t>11.3 Indicative endpoint groups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Domain</w:t>
            </w:r>
          </w:p>
        </w:tc>
        <w:tc>
          <w:tcPr>
            <w:tcW w:type="dxa" w:w="76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Indicative endpoints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Projects and versions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/projects, /branches, /snapshots, /baselines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Canonical graph</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/models/{id}/nodes, /edges, /views, /changesets, /impact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Intent and drivers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/requirements, /quality-scenarios, /driver-sets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Knowledge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/knowledge-records, /knowledge-packs, /evidence, /search</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/recommendation-runs, /comparisons, /sensitivity</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Validation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/validations, /findings, /obligations, /waivers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Audit and diff</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/audits, /proposals, /changesets/{id}/accept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Decisions and review</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/decisions, /reviews, /approvals, /exceptions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Artifacts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/exports, /generators, /packages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Administration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/policies, /rule-packs, /roles, /providers, /telemetry</w:t>
            </w:r>
          </w:p>
        </w:tc>
      </w:tr>
    </w:tbl>
    <w:p>
      <w:pPr>
        <w:pStyle w:val="Heading2"/>
      </w:pPr>
      <w:r>
        <w:t>11.4 Interoperability</w:t>
      </w:r>
    </w:p>
    <w:p>
      <w:pPr>
        <w:pStyle w:val="ListBullet"/>
        <w:spacing w:after="30"/>
        <w:ind w:left="331" w:hanging="173"/>
      </w:pPr>
      <w:r>
        <w:rPr>
          <w:rFonts w:ascii="Liberation Sans" w:hAnsi="Liberation Sans" w:eastAsia="Liberation Sans"/>
          <w:color w:val="1D2939"/>
        </w:rPr>
        <w:t>Canonical JSON is the loss-minimizing exchange format.</w:t>
      </w:r>
    </w:p>
    <w:p>
      <w:pPr>
        <w:pStyle w:val="ListBullet"/>
        <w:spacing w:after="30"/>
        <w:ind w:left="331" w:hanging="173"/>
      </w:pPr>
      <w:r>
        <w:rPr>
          <w:rFonts w:ascii="Liberation Sans" w:hAnsi="Liberation Sans" w:eastAsia="Liberation Sans"/>
          <w:color w:val="1D2939"/>
        </w:rPr>
        <w:t>C4/Structurizr, Mermaid, PlantUML and other diagram exports are derived representations and may not preserve all semantics.</w:t>
      </w:r>
    </w:p>
    <w:p>
      <w:pPr>
        <w:pStyle w:val="ListBullet"/>
        <w:spacing w:after="30"/>
        <w:ind w:left="331" w:hanging="173"/>
      </w:pPr>
      <w:r>
        <w:rPr>
          <w:rFonts w:ascii="Liberation Sans" w:hAnsi="Liberation Sans" w:eastAsia="Liberation Sans"/>
          <w:color w:val="1D2939"/>
        </w:rPr>
        <w:t>OpenAPI, AsyncAPI and infrastructure definitions are linked artifacts, not substitutes for architecture objects.</w:t>
      </w:r>
    </w:p>
    <w:p>
      <w:pPr>
        <w:pStyle w:val="ListBullet"/>
        <w:spacing w:after="30"/>
        <w:ind w:left="331" w:hanging="173"/>
      </w:pPr>
      <w:r>
        <w:rPr>
          <w:rFonts w:ascii="Liberation Sans" w:hAnsi="Liberation Sans" w:eastAsia="Liberation Sans"/>
          <w:color w:val="1D2939"/>
        </w:rPr>
        <w:t>Imports must retain provenance and produce an import report for unmapped, ambiguous or unsupported constructs.</w:t>
      </w:r>
    </w:p>
    <w:p>
      <w:pPr>
        <w:pStyle w:val="ListBullet"/>
        <w:spacing w:after="30"/>
        <w:ind w:left="331" w:hanging="173"/>
      </w:pPr>
      <w:r>
        <w:rPr>
          <w:rFonts w:ascii="Liberation Sans" w:hAnsi="Liberation Sans" w:eastAsia="Liberation Sans"/>
          <w:color w:val="1D2939"/>
        </w:rPr>
        <w:t>Extension namespaces prevent vendor or organization-specific properties from colliding with the core schema.</w:t>
      </w:r>
    </w:p>
    <w:p>
      <w:pPr>
        <w:pStyle w:val="Heading1"/>
      </w:pPr>
      <w:r>
        <w:t>12. Seed library and benchmark calibration</w:t>
      </w:r>
    </w:p>
    <w:p>
      <w:pPr>
        <w:pStyle w:val="Callout"/>
        <w:shd w:fill="EAF2F8"/>
        <w:pBdr>
          <w:left w:val="single" w:sz="18" w:space="4" w:color="2C5F8A"/>
        </w:pBdr>
      </w:pPr>
      <w:r>
        <w:rPr>
          <w:rFonts w:ascii="Liberation Sans" w:hAnsi="Liberation Sans" w:eastAsia="Liberation Sans"/>
          <w:b/>
          <w:color w:val="0B1F3A"/>
          <w:sz w:val="20"/>
        </w:rPr>
        <w:t>The seed library accelerates implementation but is deliberately marked as draft. It must not be treated as production architectural truth until its ratings, relationships and obligations are reviewed against evidence and benchmark scenarios.</w:t>
      </w:r>
    </w:p>
    <w:p>
      <w:pPr>
        <w:pStyle w:val="Heading2"/>
      </w:pPr>
      <w:r>
        <w:t>12.1 Initial architecture styles</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6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3"/>
              </w:rPr>
              <w:t>ID</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3"/>
              </w:rPr>
              <w:t>Style</w:t>
            </w:r>
          </w:p>
        </w:tc>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3"/>
              </w:rPr>
              <w:t>Stages</w:t>
            </w:r>
          </w:p>
        </w:tc>
        <w:tc>
          <w:tcPr>
            <w:tcW w:type="dxa" w:w="309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3"/>
              </w:rPr>
              <w:t>Draft rating vector</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3"/>
              </w:rPr>
              <w:t>Consider when</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3"/>
              </w:rPr>
              <w:t>Question when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STYLE-LAYERED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Layered Monolith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scalability:2, performance:3, availability:2, modifiability:3, deployability:2, simplicity:5, costEfficiency:5, faultTolerance:2</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Small/medium system; Simple team</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Independent scaling</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STYLE-MODULAR-MONOLITH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Modular Monolith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scalability:3, performance:4, availability:3, modifiability:4, deployability:3, simplicity:4, costEfficiency:5, faultTolerance:3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Strong boundaries; Moderate scale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Independent module failure isolation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STYLE-PIPELINE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Pipeline / Pipes and Filters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scalability:4, performance:4, availability:3, modifiability:4, deployability:3, simplicity:3, costEfficiency:4, faultTolerance:3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Transformations; Sequential processing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Highly interactive workflows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STYLE-MICROKERNEL</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Microkernel</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scalability:3, performance:3, availability:3, modifiability:5, deployability:4, simplicity:3, costEfficiency:4, faultTolerance:3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Extensible product; Stable core/plugins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Uniform product without extensions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STYLE-SERVICE-BASED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Service-Based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scalability:4, performance:4, availability:4, modifiability:4, deployability:4, simplicity:3, costEfficiency:4, faultTolerance:4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Coarse domain services; Moderate autonomy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Very fine independent release</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STYLE-EVENT-DRIVEN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Event-Driven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logicalApplication, 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scalability:5, performance:4, availability:4, modifiability:4, deployability:4, simplicity:2, costEfficiency:3, faultTolerance:4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Async workflows; Loose temporal coupling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Immediate global consistency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STYLE-MICROSERVICES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Microservices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scalability:5, performance:4, availability:5, modifiability:5, deployability:5, simplicity:1, costEfficiency:2, faultTolerance:5</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Large domain/multiple teams; Independent scaling/release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Small team; Low operational maturity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STYLE-SPACE-BASED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Space-Based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 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scalability:5, performance:5, availability:5, modifiability:3, deployability:3, simplicity:1, costEfficiency:1, faultTolerance:5</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Extreme variable load; Avoid central bottleneck</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Simple low-volume system</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STYLE-SERVERLESS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Serverless / FaaS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 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scalability:5, performance:3, availability:4, modifiability:4, deployability:5, simplicity:3, costEfficiency:4, faultTolerance:3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Bursty workloads; Event triggers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Sustained high utilization; Strict cold-start need</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STYLE-SOA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Service-Oriented Architecture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logicalApplication, 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scalability:4, performance:3, availability:4, modifiability:4, deployability:3, simplicity:2, costEfficiency:3, faultTolerance:4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Enterprise integration; Heterogeneous systems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Small greenfield application</w:t>
            </w:r>
          </w:p>
        </w:tc>
      </w:tr>
    </w:tbl>
    <w:p>
      <w:pPr>
        <w:pStyle w:val="Heading2"/>
      </w:pPr>
      <w:r>
        <w:t>12.2 Initial pattern catalogue</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6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3"/>
              </w:rPr>
              <w:t>ID</w:t>
            </w:r>
          </w:p>
        </w:tc>
        <w:tc>
          <w:tcPr>
            <w:tcW w:type="dxa" w:w="19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3"/>
              </w:rPr>
              <w:t>Pattern</w:t>
            </w:r>
          </w:p>
        </w:tc>
        <w:tc>
          <w:tcPr>
            <w:tcW w:type="dxa" w:w="115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3"/>
              </w:rPr>
              <w:t>Category</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3"/>
              </w:rPr>
              <w:t>Stages</w:t>
            </w:r>
          </w:p>
        </w:tc>
        <w:tc>
          <w:tcPr>
            <w:tcW w:type="dxa" w:w="19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3"/>
              </w:rPr>
              <w:t>Pairs / context</w:t>
            </w:r>
          </w:p>
        </w:tc>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3"/>
              </w:rPr>
              <w:t>Seed obligations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PAT-API-GATEWAY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API Gateway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integration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STYLE-MICROSERVICES, STYLE-SERVICE-BASED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Authentication, Routing, Rate limiting</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PAT-BFF</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Backend for Frontend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PAT-API-GATEWAY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Per-channel ownership</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PAT-HEXAGONAL</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Hexagonal Architecture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Ports, Adapters, Dependency inversion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PAT-CLEAN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Clean Architecture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Dependency rule, Use-case boundary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PAT-STRANGLER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Strangler Fig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modernization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Routing seam, Migration increments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PAT-ANTI-CORRUPTION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Anti-Corruption Layer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integration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Translation model, Boundary ownership</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PAT-SAGA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Saga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data consistency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STYLE-MICROSERVICES, STYLE-EVENT-DRIVEN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Compensation, State tracking, Idempotency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PAT-OUTBOX</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Transactional Outbox</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integration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STYLE-EVENT-DRIVEN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Outbox store, Publisher, Retention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PAT-CQRS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CQRS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data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logicalApplication, 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STYLE-EVENT-DRIVEN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Read/write ownership, Projection rebuild</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PAT-EVENT-SOURCING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Event Sourcing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data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PAT-CQRS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Immutable store, Snapshots, Schema evolution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PAT-IDEMPOTENT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Idempotent Consumer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messaging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STYLE-EVENT-DRIVEN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Deduplication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PAT-DLQ</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Dead Letter Channel</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messaging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STYLE-EVENT-DRIVEN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Retry policy, Operational handling</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PAT-CIRCUIT-BREAKER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Circuit Breaker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resilience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Threshold, Fallback</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PAT-RETRY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Retry with Backoff</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resilience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Budget, Jitter, Idempotency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PAT-BULKHEAD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Bulkhead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resilience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 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Resource isolation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PAT-RATE-LIMITER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Rate Limiter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resilience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Quota policy, Client feedback</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PAT-CACHE-ASIDE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Cache-Aside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data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Invalidation, Staleness tolerance</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PAT-DB-PER-SERVICE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Database per Service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data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STYLE-MICROSERVICES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Data ownership, Integration events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PAT-SHARED-DB</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Shared Database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data</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applicationRealization, logicalTechnology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STYLE-LAYERED, STYLE-SERVICE-BASED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Schema governance</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PAT-SIDECAR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Sidecar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deployment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Lifecycle coupling, Resource budget</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PAT-AMBASSADOR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Ambassador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deployment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Outbound proxy ownership</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PAT-SERVICE-MESH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Service Mesh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deployment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STYLE-MICROSERVICES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Control plane, mTLS, Telemetry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PAT-BLUE-GREEN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Blue-Green Deployment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deployment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Environment parity, Traffic switch</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PAT-CANARY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Canary Release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deployment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Progressive traffic, Success metrics, Rollback</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PAT-CELL-BASED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Cell-Based Architecture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resilience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logicalApplication, applicationRealization,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Cell partitioning, Routing, Blast radius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PAT-ACTIVE-ACTIVE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Active-Active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resilience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Conflict handling, Global routing</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PAT-ACTIVE-PASSIVE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Active-Passive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resilience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Failover detection, Replication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PAT-ZERO-TRUST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Zero Trust Access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security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Strong identity, Continuous authorization, Segmentation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PAT-SECRETS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Centralized Secrets Management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security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3"/>
              </w:rPr>
              <w:t>Rotation, Audit, Workload identity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PAT-OBSERVABILITY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Three-Pillar Observability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operations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applicationRealization, logicalTechnology, physicalTechnology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3"/>
              </w:rPr>
              <w:t>Logs, Metrics, Traces, Correlation</w:t>
            </w:r>
          </w:p>
        </w:tc>
      </w:tr>
    </w:tbl>
    <w:p>
      <w:pPr>
        <w:pStyle w:val="Heading2"/>
      </w:pPr>
      <w:r>
        <w:t>12.3 Calibration process</w:t>
      </w:r>
    </w:p>
    <w:p>
      <w:pPr>
        <w:pStyle w:val="ListNumber"/>
        <w:spacing w:after="40"/>
      </w:pPr>
      <w:r>
        <w:rPr>
          <w:rFonts w:ascii="Liberation Sans" w:hAnsi="Liberation Sans" w:eastAsia="Liberation Sans"/>
          <w:color w:val="1D2939"/>
        </w:rPr>
        <w:t>Define expert-expected leading, acceptable and unsuitable candidates for each benchmark scenario.</w:t>
      </w:r>
    </w:p>
    <w:p>
      <w:pPr>
        <w:pStyle w:val="ListNumber"/>
        <w:spacing w:after="40"/>
      </w:pPr>
      <w:r>
        <w:rPr>
          <w:rFonts w:ascii="Liberation Sans" w:hAnsi="Liberation Sans" w:eastAsia="Liberation Sans"/>
          <w:color w:val="1D2939"/>
        </w:rPr>
        <w:t>Run the deterministic engine using the seed rating and rule set.</w:t>
      </w:r>
    </w:p>
    <w:p>
      <w:pPr>
        <w:pStyle w:val="ListNumber"/>
        <w:spacing w:after="40"/>
      </w:pPr>
      <w:r>
        <w:rPr>
          <w:rFonts w:ascii="Liberation Sans" w:hAnsi="Liberation Sans" w:eastAsia="Liberation Sans"/>
          <w:color w:val="1D2939"/>
        </w:rPr>
        <w:t>Compare rank, exclusions, warnings and obligations with expert expectations.</w:t>
      </w:r>
    </w:p>
    <w:p>
      <w:pPr>
        <w:pStyle w:val="ListNumber"/>
        <w:spacing w:after="40"/>
      </w:pPr>
      <w:r>
        <w:rPr>
          <w:rFonts w:ascii="Liberation Sans" w:hAnsi="Liberation Sans" w:eastAsia="Liberation Sans"/>
          <w:color w:val="1D2939"/>
        </w:rPr>
        <w:t>Adjust ratings or rules only with explicit rationale and evidence; avoid tuning to a single scenario.</w:t>
      </w:r>
    </w:p>
    <w:p>
      <w:pPr>
        <w:pStyle w:val="ListNumber"/>
        <w:spacing w:after="40"/>
      </w:pPr>
      <w:r>
        <w:rPr>
          <w:rFonts w:ascii="Liberation Sans" w:hAnsi="Liberation Sans" w:eastAsia="Liberation Sans"/>
          <w:color w:val="1D2939"/>
        </w:rPr>
        <w:t>Repeat with varied weights and assumptions to measure sensitivity and stability.</w:t>
      </w:r>
    </w:p>
    <w:p>
      <w:pPr>
        <w:pStyle w:val="ListNumber"/>
        <w:spacing w:after="40"/>
      </w:pPr>
      <w:r>
        <w:rPr>
          <w:rFonts w:ascii="Liberation Sans" w:hAnsi="Liberation Sans" w:eastAsia="Liberation Sans"/>
          <w:color w:val="1D2939"/>
        </w:rPr>
        <w:t>Approve the knowledge and rule pack only after regression ranges are accepted.</w:t>
      </w:r>
    </w:p>
    <w:p>
      <w:pPr>
        <w:pStyle w:val="ListNumber"/>
        <w:spacing w:after="40"/>
      </w:pPr>
      <w:r>
        <w:rPr>
          <w:rFonts w:ascii="Liberation Sans" w:hAnsi="Liberation Sans" w:eastAsia="Liberation Sans"/>
          <w:color w:val="1D2939"/>
        </w:rPr>
        <w:t>Record known limitations and domains where recommendation confidence must be reduced.</w:t>
      </w:r>
    </w:p>
    <w:p>
      <w:pPr>
        <w:pStyle w:val="Heading2"/>
      </w:pPr>
      <w:r>
        <w:t>12.4 Benchmark scenarios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9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ID</w:t>
            </w:r>
          </w:p>
        </w:tc>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Scenario</w:t>
            </w:r>
          </w:p>
        </w:tc>
        <w:tc>
          <w:tcPr>
            <w:tcW w:type="dxa" w:w="34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Context</w:t>
            </w:r>
          </w:p>
        </w:tc>
        <w:tc>
          <w:tcPr>
            <w:tcW w:type="dxa" w:w="34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Expected behaviour</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BS-01</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Small departmental workflow application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Small team; moderate change; low operational maturity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Layered or modular monolith should lead; microservices warning.</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BS-02</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High-volume digital payments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Strict availability, security, auditability and throughput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Service-based/event-driven candidates; strong resilience and consistency obligations.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BS-03</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Regulated customer-information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Sensitive data; strong access, retention and residency constraints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Security/data controls dominate; unencrypted boundary crossings are critical.</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BS-04</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Event-driven order processing</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Burst scale; asynchronous workflows; eventual consistency acceptable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Event-driven leads; broker, idempotency, schema and DLQ obligations.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BS-05</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Cost-constrained startup product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Very small team; rapid delivery; uncertain scale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Modular monolith/serverless candidates; complexity penalties are visible.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BS-06</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High-availability banking service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Tight RTO/RPO; high transaction integrity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Redundancy, failover and audit obligations; single-zone deployment critical.</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BS-07</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Analytics and data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Batch + streaming; lineage; data quality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Pipeline/data patterns and governance controls should dominate.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BS-08</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Legacy monolith modernization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Incremental migration; business continuity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Strangler and anti-corruption patterns; migration risk and coexistence.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BS-09</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Intermittently connected field application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Offline-first; eventual synchronization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Local-first and sync conflict patterns; online-only assumptions warned.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BS-10</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Multi-region consumer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Global latency; residency; regional failure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Cell/multi-region patterns; data placement and consistency tensions surfaced.</w:t>
            </w:r>
          </w:p>
        </w:tc>
      </w:tr>
    </w:tbl>
    <w:p>
      <w:pPr>
        <w:pStyle w:val="Heading1"/>
      </w:pPr>
      <w:r>
        <w:t>13. Governance and extension model</w:t>
      </w:r>
    </w:p>
    <w:p>
      <w:pPr>
        <w:pStyle w:val="Heading2"/>
      </w:pPr>
      <w:r>
        <w:t>13.1 Knowledge change workflow</w:t>
      </w:r>
    </w:p>
    <w:p>
      <w:pPr>
        <w:pStyle w:val="ListNumber"/>
        <w:spacing w:after="40"/>
      </w:pPr>
      <w:r>
        <w:rPr>
          <w:rFonts w:ascii="Liberation Sans" w:hAnsi="Liberation Sans" w:eastAsia="Liberation Sans"/>
          <w:color w:val="1D2939"/>
        </w:rPr>
        <w:t>Discover from an approved source or submit an internal change proposal.</w:t>
      </w:r>
    </w:p>
    <w:p>
      <w:pPr>
        <w:pStyle w:val="ListNumber"/>
        <w:spacing w:after="40"/>
      </w:pPr>
      <w:r>
        <w:rPr>
          <w:rFonts w:ascii="Liberation Sans" w:hAnsi="Liberation Sans" w:eastAsia="Liberation Sans"/>
          <w:color w:val="1D2939"/>
        </w:rPr>
        <w:t>Extract proposed records and relationships into an isolated staging version.</w:t>
      </w:r>
    </w:p>
    <w:p>
      <w:pPr>
        <w:pStyle w:val="ListNumber"/>
        <w:spacing w:after="40"/>
      </w:pPr>
      <w:r>
        <w:rPr>
          <w:rFonts w:ascii="Liberation Sans" w:hAnsi="Liberation Sans" w:eastAsia="Liberation Sans"/>
          <w:color w:val="1D2939"/>
        </w:rPr>
        <w:t>Validate schema, duplicates, contradictions, licensing and provenance.</w:t>
      </w:r>
    </w:p>
    <w:p>
      <w:pPr>
        <w:pStyle w:val="ListNumber"/>
        <w:spacing w:after="40"/>
      </w:pPr>
      <w:r>
        <w:rPr>
          <w:rFonts w:ascii="Liberation Sans" w:hAnsi="Liberation Sans" w:eastAsia="Liberation Sans"/>
          <w:color w:val="1D2939"/>
        </w:rPr>
        <w:t>Review content and executable semantics by an architecture subject-matter expert.</w:t>
      </w:r>
    </w:p>
    <w:p>
      <w:pPr>
        <w:pStyle w:val="ListNumber"/>
        <w:spacing w:after="40"/>
      </w:pPr>
      <w:r>
        <w:rPr>
          <w:rFonts w:ascii="Liberation Sans" w:hAnsi="Liberation Sans" w:eastAsia="Liberation Sans"/>
          <w:color w:val="1D2939"/>
        </w:rPr>
        <w:t>Add or update rule and recommendation regression fixtures.</w:t>
      </w:r>
    </w:p>
    <w:p>
      <w:pPr>
        <w:pStyle w:val="ListNumber"/>
        <w:spacing w:after="40"/>
      </w:pPr>
      <w:r>
        <w:rPr>
          <w:rFonts w:ascii="Liberation Sans" w:hAnsi="Liberation Sans" w:eastAsia="Liberation Sans"/>
          <w:color w:val="1D2939"/>
        </w:rPr>
        <w:t>Approve, version and publish a signed knowledge/rule pack.</w:t>
      </w:r>
    </w:p>
    <w:p>
      <w:pPr>
        <w:pStyle w:val="ListNumber"/>
        <w:spacing w:after="40"/>
      </w:pPr>
      <w:r>
        <w:rPr>
          <w:rFonts w:ascii="Liberation Sans" w:hAnsi="Liberation Sans" w:eastAsia="Liberation Sans"/>
          <w:color w:val="1D2939"/>
        </w:rPr>
        <w:t>Roll out under controlled release and monitor recommendation feedback.</w:t>
      </w:r>
    </w:p>
    <w:p>
      <w:pPr>
        <w:pStyle w:val="ListNumber"/>
        <w:spacing w:after="40"/>
      </w:pPr>
      <w:r>
        <w:rPr>
          <w:rFonts w:ascii="Liberation Sans" w:hAnsi="Liberation Sans" w:eastAsia="Liberation Sans"/>
          <w:color w:val="1D2939"/>
        </w:rPr>
        <w:t>Deprecate or supersede records without deleting historical versions.</w:t>
      </w:r>
    </w:p>
    <w:p>
      <w:pPr>
        <w:pStyle w:val="Heading2"/>
      </w:pPr>
      <w:r>
        <w:t>13.2 Extension rules</w:t>
      </w:r>
    </w:p>
    <w:p>
      <w:pPr>
        <w:pStyle w:val="ListBullet"/>
        <w:spacing w:after="30"/>
        <w:ind w:left="331" w:hanging="173"/>
      </w:pPr>
      <w:r>
        <w:rPr>
          <w:rFonts w:ascii="Liberation Sans" w:hAnsi="Liberation Sans" w:eastAsia="Liberation Sans"/>
          <w:color w:val="1D2939"/>
        </w:rPr>
        <w:t>Custom entity properties use an organization or plugin namespace.</w:t>
      </w:r>
    </w:p>
    <w:p>
      <w:pPr>
        <w:pStyle w:val="ListBullet"/>
        <w:spacing w:after="30"/>
        <w:ind w:left="331" w:hanging="173"/>
      </w:pPr>
      <w:r>
        <w:rPr>
          <w:rFonts w:ascii="Liberation Sans" w:hAnsi="Liberation Sans" w:eastAsia="Liberation Sans"/>
          <w:color w:val="1D2939"/>
        </w:rPr>
        <w:t>Custom entity or relationship types require registered schemas and mapping behaviour.</w:t>
      </w:r>
    </w:p>
    <w:p>
      <w:pPr>
        <w:pStyle w:val="ListBullet"/>
        <w:spacing w:after="30"/>
        <w:ind w:left="331" w:hanging="173"/>
      </w:pPr>
      <w:r>
        <w:rPr>
          <w:rFonts w:ascii="Liberation Sans" w:hAnsi="Liberation Sans" w:eastAsia="Liberation Sans"/>
          <w:color w:val="1D2939"/>
        </w:rPr>
        <w:t>Extensions cannot weaken mandatory core validation without an approved policy override.</w:t>
      </w:r>
    </w:p>
    <w:p>
      <w:pPr>
        <w:pStyle w:val="ListBullet"/>
        <w:spacing w:after="30"/>
        <w:ind w:left="331" w:hanging="173"/>
      </w:pPr>
      <w:r>
        <w:rPr>
          <w:rFonts w:ascii="Liberation Sans" w:hAnsi="Liberation Sans" w:eastAsia="Liberation Sans"/>
          <w:color w:val="1D2939"/>
        </w:rPr>
        <w:t>Unknown extensions are preserved during round-trip exchange even when not interpreted.</w:t>
      </w:r>
    </w:p>
    <w:p>
      <w:pPr>
        <w:pStyle w:val="ListBullet"/>
        <w:spacing w:after="30"/>
        <w:ind w:left="331" w:hanging="173"/>
      </w:pPr>
      <w:r>
        <w:rPr>
          <w:rFonts w:ascii="Liberation Sans" w:hAnsi="Liberation Sans" w:eastAsia="Liberation Sans"/>
          <w:color w:val="1D2939"/>
        </w:rPr>
        <w:t>Generator plugins declare input entity/relationship support, target versions, required assumptions and validation status.</w:t>
      </w:r>
    </w:p>
    <w:p>
      <w:pPr>
        <w:pStyle w:val="Heading2"/>
      </w:pPr>
      <w:r>
        <w:t>13.3 Library status model</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Status</w:t>
            </w:r>
          </w:p>
        </w:tc>
        <w:tc>
          <w:tcPr>
            <w:tcW w:type="dxa" w:w="45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Meaning</w:t>
            </w:r>
          </w:p>
        </w:tc>
        <w:tc>
          <w:tcPr>
            <w:tcW w:type="dxa" w:w="388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Executable use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Draft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Incomplete working content.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Not available to standard recommendation or rules.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Proposed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Complete enough for expert review.</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May run in sandbox comparison only.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Approved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Reviewed, evidenced and regression-tested.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Available in released knowledge/rule pack.</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Deprecated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Still interpretable but discouraged.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Existing designs remain valid; new use receives warning.</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Retired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No longer supported for new designs.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Historical snapshots remain reproducible.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Superseded</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Replaced by a named record/version.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Migration guidance must be present.</w:t>
            </w:r>
          </w:p>
        </w:tc>
      </w:tr>
    </w:tbl>
    <w:p>
      <w:pPr>
        <w:pStyle w:val="Heading1"/>
      </w:pPr>
      <w:r>
        <w:t>14. Conformance and implementation checklist</w:t>
      </w:r>
    </w:p>
    <w:p>
      <w:pPr>
        <w:pStyle w:val="ListBullet"/>
        <w:spacing w:after="30"/>
        <w:ind w:left="331" w:hanging="173"/>
      </w:pPr>
      <w:r>
        <w:rPr>
          <w:rFonts w:ascii="Liberation Sans" w:hAnsi="Liberation Sans" w:eastAsia="Liberation Sans"/>
          <w:color w:val="1D2939"/>
        </w:rPr>
        <w:t>All semantic objects persist as canonical node or edge types with stable IDs.</w:t>
      </w:r>
    </w:p>
    <w:p>
      <w:pPr>
        <w:pStyle w:val="ListBullet"/>
        <w:spacing w:after="30"/>
        <w:ind w:left="331" w:hanging="173"/>
      </w:pPr>
      <w:r>
        <w:rPr>
          <w:rFonts w:ascii="Liberation Sans" w:hAnsi="Liberation Sans" w:eastAsia="Liberation Sans"/>
          <w:color w:val="1D2939"/>
        </w:rPr>
        <w:t>Views reference canonical objects and do not store duplicate semantic copies.</w:t>
      </w:r>
    </w:p>
    <w:p>
      <w:pPr>
        <w:pStyle w:val="ListBullet"/>
        <w:spacing w:after="30"/>
        <w:ind w:left="331" w:hanging="173"/>
      </w:pPr>
      <w:r>
        <w:rPr>
          <w:rFonts w:ascii="Liberation Sans" w:hAnsi="Liberation Sans" w:eastAsia="Liberation Sans"/>
          <w:color w:val="1D2939"/>
        </w:rPr>
        <w:t>Model exports validate against the published JSON Schema.</w:t>
      </w:r>
    </w:p>
    <w:p>
      <w:pPr>
        <w:pStyle w:val="ListBullet"/>
        <w:spacing w:after="30"/>
        <w:ind w:left="331" w:hanging="173"/>
      </w:pPr>
      <w:r>
        <w:rPr>
          <w:rFonts w:ascii="Liberation Sans" w:hAnsi="Liberation Sans" w:eastAsia="Liberation Sans"/>
          <w:color w:val="1D2939"/>
        </w:rPr>
        <w:t>Every recommendation run identifies snapshot, driver set, engine, knowledge and rule versions.</w:t>
      </w:r>
    </w:p>
    <w:p>
      <w:pPr>
        <w:pStyle w:val="ListBullet"/>
        <w:spacing w:after="30"/>
        <w:ind w:left="331" w:hanging="173"/>
      </w:pPr>
      <w:r>
        <w:rPr>
          <w:rFonts w:ascii="Liberation Sans" w:hAnsi="Liberation Sans" w:eastAsia="Liberation Sans"/>
          <w:color w:val="1D2939"/>
        </w:rPr>
        <w:t>Hard constraints, incompatibilities, advisories and obligations have distinct executable semantics.</w:t>
      </w:r>
    </w:p>
    <w:p>
      <w:pPr>
        <w:pStyle w:val="ListBullet"/>
        <w:spacing w:after="30"/>
        <w:ind w:left="331" w:hanging="173"/>
      </w:pPr>
      <w:r>
        <w:rPr>
          <w:rFonts w:ascii="Liberation Sans" w:hAnsi="Liberation Sans" w:eastAsia="Liberation Sans"/>
          <w:color w:val="1D2939"/>
        </w:rPr>
        <w:t>Many-to-many realization lineage works across application and technology stages.</w:t>
      </w:r>
    </w:p>
    <w:p>
      <w:pPr>
        <w:pStyle w:val="ListBullet"/>
        <w:spacing w:after="30"/>
        <w:ind w:left="331" w:hanging="173"/>
      </w:pPr>
      <w:r>
        <w:rPr>
          <w:rFonts w:ascii="Liberation Sans" w:hAnsi="Liberation Sans" w:eastAsia="Liberation Sans"/>
          <w:color w:val="1D2939"/>
        </w:rPr>
        <w:t>AI proposals are isolated change sets and require user authorization to commit.</w:t>
      </w:r>
    </w:p>
    <w:p>
      <w:pPr>
        <w:pStyle w:val="ListBullet"/>
        <w:spacing w:after="30"/>
        <w:ind w:left="331" w:hanging="173"/>
      </w:pPr>
      <w:r>
        <w:rPr>
          <w:rFonts w:ascii="Liberation Sans" w:hAnsi="Liberation Sans" w:eastAsia="Liberation Sans"/>
          <w:color w:val="1D2939"/>
        </w:rPr>
        <w:t>Published snapshots, decisions and approvals are immutable and reproducible.</w:t>
      </w:r>
    </w:p>
    <w:p>
      <w:pPr>
        <w:pStyle w:val="ListBullet"/>
        <w:spacing w:after="30"/>
        <w:ind w:left="331" w:hanging="173"/>
      </w:pPr>
      <w:r>
        <w:rPr>
          <w:rFonts w:ascii="Liberation Sans" w:hAnsi="Liberation Sans" w:eastAsia="Liberation Sans"/>
          <w:color w:val="1D2939"/>
        </w:rPr>
        <w:t>Offline edits use globally unique IDs and typed change sets.</w:t>
      </w:r>
    </w:p>
    <w:p>
      <w:pPr>
        <w:pStyle w:val="ListBullet"/>
        <w:spacing w:after="30"/>
        <w:ind w:left="331" w:hanging="173"/>
      </w:pPr>
      <w:r>
        <w:rPr>
          <w:rFonts w:ascii="Liberation Sans" w:hAnsi="Liberation Sans" w:eastAsia="Liberation Sans"/>
          <w:color w:val="1D2939"/>
        </w:rPr>
        <w:t>Knowledge and rule updates are staged, reviewed, tested, versioned and releasable independently.</w:t>
      </w:r>
    </w:p>
    <w:p>
      <w:pPr>
        <w:pStyle w:val="ListBullet"/>
        <w:spacing w:after="30"/>
        <w:ind w:left="331" w:hanging="173"/>
      </w:pPr>
      <w:r>
        <w:rPr>
          <w:rFonts w:ascii="Liberation Sans" w:hAnsi="Liberation Sans" w:eastAsia="Liberation Sans"/>
          <w:color w:val="1D2939"/>
        </w:rPr>
        <w:t>Generated artifacts identify their source snapshot and generator version.</w:t>
      </w:r>
    </w:p>
    <w:p>
      <w:pPr>
        <w:pStyle w:val="ListBullet"/>
        <w:spacing w:after="30"/>
        <w:ind w:left="331" w:hanging="173"/>
      </w:pPr>
      <w:r>
        <w:rPr>
          <w:rFonts w:ascii="Liberation Sans" w:hAnsi="Liberation Sans" w:eastAsia="Liberation Sans"/>
          <w:color w:val="1D2939"/>
        </w:rPr>
        <w:t>The benchmark regression suite runs before a recommendation-bearing release.</w:t>
      </w:r>
    </w:p>
    <w:p>
      <w:pPr>
        <w:pStyle w:val="Callout"/>
        <w:shd w:fill="FEE4E2"/>
        <w:pBdr>
          <w:left w:val="single" w:sz="18" w:space="4" w:color="B42318"/>
        </w:pBdr>
      </w:pPr>
      <w:r>
        <w:rPr>
          <w:rFonts w:ascii="Liberation Sans" w:hAnsi="Liberation Sans" w:eastAsia="Liberation Sans"/>
          <w:b/>
          <w:color w:val="B42318"/>
          <w:sz w:val="20"/>
        </w:rPr>
        <w:t>Implementation gate</w:t>
        <w:br/>
      </w:r>
      <w:r>
        <w:rPr>
          <w:rFonts w:ascii="Liberation Sans" w:hAnsi="Liberation Sans" w:eastAsia="Liberation Sans"/>
          <w:color w:val="1D2939"/>
          <w:sz w:val="19"/>
        </w:rPr>
        <w:t>A canvas demonstration that cannot export and re-import the same canonical semantics is not conformant, even if its diagrams look correct.</w:t>
      </w:r>
    </w:p>
    <w:p>
      <w:pPr>
        <w:pStyle w:val="Heading1"/>
      </w:pPr>
      <w:r>
        <w:t>Appendix A. Enumerations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Enumeration</w:t>
            </w:r>
          </w:p>
        </w:tc>
        <w:tc>
          <w:tcPr>
            <w:tcW w:type="dxa" w:w="76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Allowed values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Stage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designIntent; logicalApplication; applicationRealization; logicalTechnology; physicalTechnology; crossCutting</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ProjectLifecycle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draft; inDesign; underReview; approved; implemented; superseded; retired</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ObjectLifecycle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proposed; selected; approved; deprecated; retired</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FindingSeverity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critical; high; medium; low; info</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FindingStatus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open; mitigated; accepted; waived; resolved; falsePositive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ObligationStatus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open; satisfied; waived; notApplicable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DecisionStatus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proposed; accepted; rejected; superseded; deprecated</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KnowledgeStatus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draft; proposed; approved; deprecated; retired; superseded</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ChangeOperation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add; update; remove; move; map; unmap</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ChangeSetSource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user; ruleEngine; aiAudit; import; synchronization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RuleClass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hardConstraint; significantIncompatibility; advisory; completeness; obligation; policy</w:t>
            </w:r>
          </w:p>
        </w:tc>
      </w:tr>
    </w:tbl>
    <w:p>
      <w:pPr>
        <w:pStyle w:val="Heading1"/>
      </w:pPr>
      <w:r>
        <w:t>Appendix B. Canonical JSON example</w:t>
      </w:r>
    </w:p>
    <w:p>
      <w:pPr>
        <w:pStyle w:val="CodeBlock"/>
        <w:shd w:fill="F8FAFC"/>
        <w:pBdr>
          <w:left w:val="single" w:sz="18" w:space="4" w:color="2C5F8A"/>
        </w:pBdr>
      </w:pPr>
      <w:r>
        <w:rPr>
          <w:rFonts w:ascii="DejaVu Sans Mono" w:hAnsi="DejaVu Sans Mono" w:eastAsia="DejaVu Sans Mono"/>
          <w:color w:val="1D2939"/>
          <w:sz w:val="15"/>
        </w:rPr>
        <w:t>{</w:t>
      </w:r>
    </w:p>
    <w:p>
      <w:pPr>
        <w:pStyle w:val="CodeBlock"/>
        <w:shd w:fill="F8FAFC"/>
        <w:pBdr>
          <w:left w:val="single" w:sz="18" w:space="4" w:color="2C5F8A"/>
        </w:pBdr>
      </w:pPr>
      <w:r>
        <w:rPr>
          <w:rFonts w:ascii="DejaVu Sans Mono" w:hAnsi="DejaVu Sans Mono" w:eastAsia="DejaVu Sans Mono"/>
          <w:color w:val="1D2939"/>
          <w:sz w:val="15"/>
        </w:rPr>
        <w:t xml:space="preserve">  "schemaVersion": "0.1.0",</w:t>
      </w:r>
    </w:p>
    <w:p>
      <w:pPr>
        <w:pStyle w:val="CodeBlock"/>
        <w:shd w:fill="F8FAFC"/>
        <w:pBdr>
          <w:left w:val="single" w:sz="18" w:space="4" w:color="2C5F8A"/>
        </w:pBdr>
      </w:pPr>
      <w:r>
        <w:rPr>
          <w:rFonts w:ascii="DejaVu Sans Mono" w:hAnsi="DejaVu Sans Mono" w:eastAsia="DejaVu Sans Mono"/>
          <w:color w:val="1D2939"/>
          <w:sz w:val="15"/>
        </w:rPr>
        <w:t xml:space="preserve">  "projectId": "PRJ-001",</w:t>
      </w:r>
    </w:p>
    <w:p>
      <w:pPr>
        <w:pStyle w:val="CodeBlock"/>
        <w:shd w:fill="F8FAFC"/>
        <w:pBdr>
          <w:left w:val="single" w:sz="18" w:space="4" w:color="2C5F8A"/>
        </w:pBdr>
      </w:pPr>
      <w:r>
        <w:rPr>
          <w:rFonts w:ascii="DejaVu Sans Mono" w:hAnsi="DejaVu Sans Mono" w:eastAsia="DejaVu Sans Mono"/>
          <w:color w:val="1D2939"/>
          <w:sz w:val="15"/>
        </w:rPr>
        <w:t xml:space="preserve">  "modelVersion": "12",</w:t>
      </w:r>
    </w:p>
    <w:p>
      <w:pPr>
        <w:pStyle w:val="CodeBlock"/>
        <w:shd w:fill="F8FAFC"/>
        <w:pBdr>
          <w:left w:val="single" w:sz="18" w:space="4" w:color="2C5F8A"/>
        </w:pBdr>
      </w:pPr>
      <w:r>
        <w:rPr>
          <w:rFonts w:ascii="DejaVu Sans Mono" w:hAnsi="DejaVu Sans Mono" w:eastAsia="DejaVu Sans Mono"/>
          <w:color w:val="1D2939"/>
          <w:sz w:val="15"/>
        </w:rPr>
        <w:t xml:space="preserve">  "knowledgeRelease": "KB-0.1.0",</w:t>
      </w:r>
    </w:p>
    <w:p>
      <w:pPr>
        <w:pStyle w:val="CodeBlock"/>
        <w:shd w:fill="F8FAFC"/>
        <w:pBdr>
          <w:left w:val="single" w:sz="18" w:space="4" w:color="2C5F8A"/>
        </w:pBdr>
      </w:pPr>
      <w:r>
        <w:rPr>
          <w:rFonts w:ascii="DejaVu Sans Mono" w:hAnsi="DejaVu Sans Mono" w:eastAsia="DejaVu Sans Mono"/>
          <w:color w:val="1D2939"/>
          <w:sz w:val="15"/>
        </w:rPr>
        <w:t xml:space="preserve">  "driverSet": "DRV-4",</w:t>
      </w:r>
    </w:p>
    <w:p>
      <w:pPr>
        <w:pStyle w:val="CodeBlock"/>
        <w:shd w:fill="F8FAFC"/>
        <w:pBdr>
          <w:left w:val="single" w:sz="18" w:space="4" w:color="2C5F8A"/>
        </w:pBdr>
      </w:pPr>
      <w:r>
        <w:rPr>
          <w:rFonts w:ascii="DejaVu Sans Mono" w:hAnsi="DejaVu Sans Mono" w:eastAsia="DejaVu Sans Mono"/>
          <w:color w:val="1D2939"/>
          <w:sz w:val="15"/>
        </w:rPr>
        <w:t xml:space="preserve">  "nodes": [</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"id": "LAS-ORDER",</w:t>
      </w:r>
    </w:p>
    <w:p>
      <w:pPr>
        <w:pStyle w:val="CodeBlock"/>
        <w:shd w:fill="F8FAFC"/>
        <w:pBdr>
          <w:left w:val="single" w:sz="18" w:space="4" w:color="2C5F8A"/>
        </w:pBdr>
      </w:pPr>
      <w:r>
        <w:rPr>
          <w:rFonts w:ascii="DejaVu Sans Mono" w:hAnsi="DejaVu Sans Mono" w:eastAsia="DejaVu Sans Mono"/>
          <w:color w:val="1D2939"/>
          <w:sz w:val="15"/>
        </w:rPr>
        <w:t xml:space="preserve">      "type": "LogicalService",</w:t>
      </w:r>
    </w:p>
    <w:p>
      <w:pPr>
        <w:pStyle w:val="CodeBlock"/>
        <w:shd w:fill="F8FAFC"/>
        <w:pBdr>
          <w:left w:val="single" w:sz="18" w:space="4" w:color="2C5F8A"/>
        </w:pBdr>
      </w:pPr>
      <w:r>
        <w:rPr>
          <w:rFonts w:ascii="DejaVu Sans Mono" w:hAnsi="DejaVu Sans Mono" w:eastAsia="DejaVu Sans Mono"/>
          <w:color w:val="1D2939"/>
          <w:sz w:val="15"/>
        </w:rPr>
        <w:t xml:space="preserve">      "name": "Order Management",</w:t>
      </w:r>
    </w:p>
    <w:p>
      <w:pPr>
        <w:pStyle w:val="CodeBlock"/>
        <w:shd w:fill="F8FAFC"/>
        <w:pBdr>
          <w:left w:val="single" w:sz="18" w:space="4" w:color="2C5F8A"/>
        </w:pBdr>
      </w:pPr>
      <w:r>
        <w:rPr>
          <w:rFonts w:ascii="DejaVu Sans Mono" w:hAnsi="DejaVu Sans Mono" w:eastAsia="DejaVu Sans Mono"/>
          <w:color w:val="1D2939"/>
          <w:sz w:val="15"/>
        </w:rPr>
        <w:t xml:space="preserve">      "stage": "logicalApplication",</w:t>
      </w:r>
    </w:p>
    <w:p>
      <w:pPr>
        <w:pStyle w:val="CodeBlock"/>
        <w:shd w:fill="F8FAFC"/>
        <w:pBdr>
          <w:left w:val="single" w:sz="18" w:space="4" w:color="2C5F8A"/>
        </w:pBdr>
      </w:pPr>
      <w:r>
        <w:rPr>
          <w:rFonts w:ascii="DejaVu Sans Mono" w:hAnsi="DejaVu Sans Mono" w:eastAsia="DejaVu Sans Mono"/>
          <w:color w:val="1D2939"/>
          <w:sz w:val="15"/>
        </w:rPr>
        <w:t xml:space="preserve">      "properties": {"criticality": "high"}</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"id": "DEP-ORDER-API",</w:t>
      </w:r>
    </w:p>
    <w:p>
      <w:pPr>
        <w:pStyle w:val="CodeBlock"/>
        <w:shd w:fill="F8FAFC"/>
        <w:pBdr>
          <w:left w:val="single" w:sz="18" w:space="4" w:color="2C5F8A"/>
        </w:pBdr>
      </w:pPr>
      <w:r>
        <w:rPr>
          <w:rFonts w:ascii="DejaVu Sans Mono" w:hAnsi="DejaVu Sans Mono" w:eastAsia="DejaVu Sans Mono"/>
          <w:color w:val="1D2939"/>
          <w:sz w:val="15"/>
        </w:rPr>
        <w:t xml:space="preserve">      "type": "DeployableUnit",</w:t>
      </w:r>
    </w:p>
    <w:p>
      <w:pPr>
        <w:pStyle w:val="CodeBlock"/>
        <w:shd w:fill="F8FAFC"/>
        <w:pBdr>
          <w:left w:val="single" w:sz="18" w:space="4" w:color="2C5F8A"/>
        </w:pBdr>
      </w:pPr>
      <w:r>
        <w:rPr>
          <w:rFonts w:ascii="DejaVu Sans Mono" w:hAnsi="DejaVu Sans Mono" w:eastAsia="DejaVu Sans Mono"/>
          <w:color w:val="1D2939"/>
          <w:sz w:val="15"/>
        </w:rPr>
        <w:t xml:space="preserve">      "name": "Order API",</w:t>
      </w:r>
    </w:p>
    <w:p>
      <w:pPr>
        <w:pStyle w:val="CodeBlock"/>
        <w:shd w:fill="F8FAFC"/>
        <w:pBdr>
          <w:left w:val="single" w:sz="18" w:space="4" w:color="2C5F8A"/>
        </w:pBdr>
      </w:pPr>
      <w:r>
        <w:rPr>
          <w:rFonts w:ascii="DejaVu Sans Mono" w:hAnsi="DejaVu Sans Mono" w:eastAsia="DejaVu Sans Mono"/>
          <w:color w:val="1D2939"/>
          <w:sz w:val="15"/>
        </w:rPr>
        <w:t xml:space="preserve">      "stage": "applicationRealization",</w:t>
      </w:r>
    </w:p>
    <w:p>
      <w:pPr>
        <w:pStyle w:val="CodeBlock"/>
        <w:shd w:fill="F8FAFC"/>
        <w:pBdr>
          <w:left w:val="single" w:sz="18" w:space="4" w:color="2C5F8A"/>
        </w:pBdr>
      </w:pPr>
      <w:r>
        <w:rPr>
          <w:rFonts w:ascii="DejaVu Sans Mono" w:hAnsi="DejaVu Sans Mono" w:eastAsia="DejaVu Sans Mono"/>
          <w:color w:val="1D2939"/>
          <w:sz w:val="15"/>
        </w:rPr>
        <w:t xml:space="preserve">      "properties": {"statefulness": "stateless"}</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"relationships": [</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"id": "REL-1001",</w:t>
      </w:r>
    </w:p>
    <w:p>
      <w:pPr>
        <w:pStyle w:val="CodeBlock"/>
        <w:shd w:fill="F8FAFC"/>
        <w:pBdr>
          <w:left w:val="single" w:sz="18" w:space="4" w:color="2C5F8A"/>
        </w:pBdr>
      </w:pPr>
      <w:r>
        <w:rPr>
          <w:rFonts w:ascii="DejaVu Sans Mono" w:hAnsi="DejaVu Sans Mono" w:eastAsia="DejaVu Sans Mono"/>
          <w:color w:val="1D2939"/>
          <w:sz w:val="15"/>
        </w:rPr>
        <w:t xml:space="preserve">      "type": "realizes",</w:t>
      </w:r>
    </w:p>
    <w:p>
      <w:pPr>
        <w:pStyle w:val="CodeBlock"/>
        <w:shd w:fill="F8FAFC"/>
        <w:pBdr>
          <w:left w:val="single" w:sz="18" w:space="4" w:color="2C5F8A"/>
        </w:pBdr>
      </w:pPr>
      <w:r>
        <w:rPr>
          <w:rFonts w:ascii="DejaVu Sans Mono" w:hAnsi="DejaVu Sans Mono" w:eastAsia="DejaVu Sans Mono"/>
          <w:color w:val="1D2939"/>
          <w:sz w:val="15"/>
        </w:rPr>
        <w:t xml:space="preserve">      "source": "DEP-ORDER-API",</w:t>
      </w:r>
    </w:p>
    <w:p>
      <w:pPr>
        <w:pStyle w:val="CodeBlock"/>
        <w:shd w:fill="F8FAFC"/>
        <w:pBdr>
          <w:left w:val="single" w:sz="18" w:space="4" w:color="2C5F8A"/>
        </w:pBdr>
      </w:pPr>
      <w:r>
        <w:rPr>
          <w:rFonts w:ascii="DejaVu Sans Mono" w:hAnsi="DejaVu Sans Mono" w:eastAsia="DejaVu Sans Mono"/>
          <w:color w:val="1D2939"/>
          <w:sz w:val="15"/>
        </w:rPr>
        <w:t xml:space="preserve">      "target": "LAS-ORDER"</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"decisions": ["ADR-0007"],</w:t>
      </w:r>
    </w:p>
    <w:p>
      <w:pPr>
        <w:pStyle w:val="CodeBlock"/>
        <w:shd w:fill="F8FAFC"/>
        <w:pBdr>
          <w:left w:val="single" w:sz="18" w:space="4" w:color="2C5F8A"/>
        </w:pBdr>
      </w:pPr>
      <w:r>
        <w:rPr>
          <w:rFonts w:ascii="DejaVu Sans Mono" w:hAnsi="DejaVu Sans Mono" w:eastAsia="DejaVu Sans Mono"/>
          <w:color w:val="1D2939"/>
          <w:sz w:val="15"/>
        </w:rPr>
        <w:t xml:space="preserve">  "findings": []</w:t>
      </w:r>
    </w:p>
    <w:p>
      <w:pPr>
        <w:pStyle w:val="CodeBlock"/>
        <w:shd w:fill="F8FAFC"/>
        <w:pBdr>
          <w:left w:val="single" w:sz="18" w:space="4" w:color="2C5F8A"/>
        </w:pBdr>
      </w:pPr>
      <w:r>
        <w:rPr>
          <w:rFonts w:ascii="DejaVu Sans Mono" w:hAnsi="DejaVu Sans Mono" w:eastAsia="DejaVu Sans Mono"/>
          <w:color w:val="1D2939"/>
          <w:sz w:val="15"/>
        </w:rPr>
        <w:t>}</w:t>
      </w:r>
    </w:p>
    <w:p>
      <w:pPr>
        <w:spacing w:before="40" w:after="80"/>
      </w:pPr>
      <w:r>
        <w:rPr>
          <w:rFonts w:ascii="Liberation Sans" w:hAnsi="Liberation Sans" w:eastAsia="Liberation Sans"/>
          <w:i/>
          <w:color w:val="667085"/>
          <w:sz w:val="16"/>
        </w:rPr>
        <w:t>The accompanying JSON Schema is the normative machine-readable contract. This example is illustrative and intentionally small.</w:t>
      </w:r>
    </w:p>
    <w:p>
      <w:pPr>
        <w:pStyle w:val="Heading1"/>
      </w:pPr>
      <w:r>
        <w:t>Appendix C. Rule DSL example</w:t>
      </w:r>
    </w:p>
    <w:p>
      <w:pPr>
        <w:pStyle w:val="CodeBlock"/>
        <w:shd w:fill="F8FAFC"/>
        <w:pBdr>
          <w:left w:val="single" w:sz="18" w:space="4" w:color="2C5F8A"/>
        </w:pBdr>
      </w:pPr>
      <w:r>
        <w:rPr>
          <w:rFonts w:ascii="DejaVu Sans Mono" w:hAnsi="DejaVu Sans Mono" w:eastAsia="DejaVu Sans Mono"/>
          <w:color w:val="1D2939"/>
          <w:sz w:val="15"/>
        </w:rPr>
        <w:t>{</w:t>
      </w:r>
    </w:p>
    <w:p>
      <w:pPr>
        <w:pStyle w:val="CodeBlock"/>
        <w:shd w:fill="F8FAFC"/>
        <w:pBdr>
          <w:left w:val="single" w:sz="18" w:space="4" w:color="2C5F8A"/>
        </w:pBdr>
      </w:pPr>
      <w:r>
        <w:rPr>
          <w:rFonts w:ascii="DejaVu Sans Mono" w:hAnsi="DejaVu Sans Mono" w:eastAsia="DejaVu Sans Mono"/>
          <w:color w:val="1D2939"/>
          <w:sz w:val="15"/>
        </w:rPr>
        <w:t xml:space="preserve">  "id": "RULE-EDA-CONSISTENCY-001",</w:t>
      </w:r>
    </w:p>
    <w:p>
      <w:pPr>
        <w:pStyle w:val="CodeBlock"/>
        <w:shd w:fill="F8FAFC"/>
        <w:pBdr>
          <w:left w:val="single" w:sz="18" w:space="4" w:color="2C5F8A"/>
        </w:pBdr>
      </w:pPr>
      <w:r>
        <w:rPr>
          <w:rFonts w:ascii="DejaVu Sans Mono" w:hAnsi="DejaVu Sans Mono" w:eastAsia="DejaVu Sans Mono"/>
          <w:color w:val="1D2939"/>
          <w:sz w:val="15"/>
        </w:rPr>
        <w:t xml:space="preserve">  "version": "1.0.0",</w:t>
      </w:r>
    </w:p>
    <w:p>
      <w:pPr>
        <w:pStyle w:val="CodeBlock"/>
        <w:shd w:fill="F8FAFC"/>
        <w:pBdr>
          <w:left w:val="single" w:sz="18" w:space="4" w:color="2C5F8A"/>
        </w:pBdr>
      </w:pPr>
      <w:r>
        <w:rPr>
          <w:rFonts w:ascii="DejaVu Sans Mono" w:hAnsi="DejaVu Sans Mono" w:eastAsia="DejaVu Sans Mono"/>
          <w:color w:val="1D2939"/>
          <w:sz w:val="15"/>
        </w:rPr>
        <w:t xml:space="preserve">  "scope": ["logicalApplication", "applicationRealization"],</w:t>
      </w:r>
    </w:p>
    <w:p>
      <w:pPr>
        <w:pStyle w:val="CodeBlock"/>
        <w:shd w:fill="F8FAFC"/>
        <w:pBdr>
          <w:left w:val="single" w:sz="18" w:space="4" w:color="2C5F8A"/>
        </w:pBdr>
      </w:pPr>
      <w:r>
        <w:rPr>
          <w:rFonts w:ascii="DejaVu Sans Mono" w:hAnsi="DejaVu Sans Mono" w:eastAsia="DejaVu Sans Mono"/>
          <w:color w:val="1D2939"/>
          <w:sz w:val="15"/>
        </w:rPr>
        <w:t xml:space="preserve">  "severity": "significantIncompatibility",</w:t>
      </w:r>
    </w:p>
    <w:p>
      <w:pPr>
        <w:pStyle w:val="CodeBlock"/>
        <w:shd w:fill="F8FAFC"/>
        <w:pBdr>
          <w:left w:val="single" w:sz="18" w:space="4" w:color="2C5F8A"/>
        </w:pBdr>
      </w:pPr>
      <w:r>
        <w:rPr>
          <w:rFonts w:ascii="DejaVu Sans Mono" w:hAnsi="DejaVu Sans Mono" w:eastAsia="DejaVu Sans Mono"/>
          <w:color w:val="1D2939"/>
          <w:sz w:val="15"/>
        </w:rPr>
        <w:t xml:space="preserve">  "when": {</w:t>
      </w:r>
    </w:p>
    <w:p>
      <w:pPr>
        <w:pStyle w:val="CodeBlock"/>
        <w:shd w:fill="F8FAFC"/>
        <w:pBdr>
          <w:left w:val="single" w:sz="18" w:space="4" w:color="2C5F8A"/>
        </w:pBdr>
      </w:pPr>
      <w:r>
        <w:rPr>
          <w:rFonts w:ascii="DejaVu Sans Mono" w:hAnsi="DejaVu Sans Mono" w:eastAsia="DejaVu Sans Mono"/>
          <w:color w:val="1D2939"/>
          <w:sz w:val="15"/>
        </w:rPr>
        <w:t xml:space="preserve">    "all": [</w:t>
      </w:r>
    </w:p>
    <w:p>
      <w:pPr>
        <w:pStyle w:val="CodeBlock"/>
        <w:shd w:fill="F8FAFC"/>
        <w:pBdr>
          <w:left w:val="single" w:sz="18" w:space="4" w:color="2C5F8A"/>
        </w:pBdr>
      </w:pPr>
      <w:r>
        <w:rPr>
          <w:rFonts w:ascii="DejaVu Sans Mono" w:hAnsi="DejaVu Sans Mono" w:eastAsia="DejaVu Sans Mono"/>
          <w:color w:val="1D2939"/>
          <w:sz w:val="15"/>
        </w:rPr>
        <w:t xml:space="preserve">      {"selectedKnowledge": "STYLE-EVENT-DRIVEN"},</w:t>
      </w:r>
    </w:p>
    <w:p>
      <w:pPr>
        <w:pStyle w:val="CodeBlock"/>
        <w:shd w:fill="F8FAFC"/>
        <w:pBdr>
          <w:left w:val="single" w:sz="18" w:space="4" w:color="2C5F8A"/>
        </w:pBdr>
      </w:pPr>
      <w:r>
        <w:rPr>
          <w:rFonts w:ascii="DejaVu Sans Mono" w:hAnsi="DejaVu Sans Mono" w:eastAsia="DejaVu Sans Mono"/>
          <w:color w:val="1D2939"/>
          <w:sz w:val="15"/>
        </w:rPr>
        <w:t xml:space="preserve">      {"driver": "QA-07", "operator": "&gt;=", "value": 4},</w:t>
      </w:r>
    </w:p>
    <w:p>
      <w:pPr>
        <w:pStyle w:val="CodeBlock"/>
        <w:shd w:fill="F8FAFC"/>
        <w:pBdr>
          <w:left w:val="single" w:sz="18" w:space="4" w:color="2C5F8A"/>
        </w:pBdr>
      </w:pPr>
      <w:r>
        <w:rPr>
          <w:rFonts w:ascii="DejaVu Sans Mono" w:hAnsi="DejaVu Sans Mono" w:eastAsia="DejaVu Sans Mono"/>
          <w:color w:val="1D2939"/>
          <w:sz w:val="15"/>
        </w:rPr>
        <w:t xml:space="preserve">      {"scenarioTag": "cross-service-immediate-consistency"}</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"unless": {</w:t>
      </w:r>
    </w:p>
    <w:p>
      <w:pPr>
        <w:pStyle w:val="CodeBlock"/>
        <w:shd w:fill="F8FAFC"/>
        <w:pBdr>
          <w:left w:val="single" w:sz="18" w:space="4" w:color="2C5F8A"/>
        </w:pBdr>
      </w:pPr>
      <w:r>
        <w:rPr>
          <w:rFonts w:ascii="DejaVu Sans Mono" w:hAnsi="DejaVu Sans Mono" w:eastAsia="DejaVu Sans Mono"/>
          <w:color w:val="1D2939"/>
          <w:sz w:val="15"/>
        </w:rPr>
        <w:t xml:space="preserve">    "any": [</w:t>
      </w:r>
    </w:p>
    <w:p>
      <w:pPr>
        <w:pStyle w:val="CodeBlock"/>
        <w:shd w:fill="F8FAFC"/>
        <w:pBdr>
          <w:left w:val="single" w:sz="18" w:space="4" w:color="2C5F8A"/>
        </w:pBdr>
      </w:pPr>
      <w:r>
        <w:rPr>
          <w:rFonts w:ascii="DejaVu Sans Mono" w:hAnsi="DejaVu Sans Mono" w:eastAsia="DejaVu Sans Mono"/>
          <w:color w:val="1D2939"/>
          <w:sz w:val="15"/>
        </w:rPr>
        <w:t xml:space="preserve">      {"selectedPattern": "PAT-SAGA"},</w:t>
      </w:r>
    </w:p>
    <w:p>
      <w:pPr>
        <w:pStyle w:val="CodeBlock"/>
        <w:shd w:fill="F8FAFC"/>
        <w:pBdr>
          <w:left w:val="single" w:sz="18" w:space="4" w:color="2C5F8A"/>
        </w:pBdr>
      </w:pPr>
      <w:r>
        <w:rPr>
          <w:rFonts w:ascii="DejaVu Sans Mono" w:hAnsi="DejaVu Sans Mono" w:eastAsia="DejaVu Sans Mono"/>
          <w:color w:val="1D2939"/>
          <w:sz w:val="15"/>
        </w:rPr>
        <w:t xml:space="preserve">      {"selectedPattern": "PAT-OUTBOX"},</w:t>
      </w:r>
    </w:p>
    <w:p>
      <w:pPr>
        <w:pStyle w:val="CodeBlock"/>
        <w:shd w:fill="F8FAFC"/>
        <w:pBdr>
          <w:left w:val="single" w:sz="18" w:space="4" w:color="2C5F8A"/>
        </w:pBdr>
      </w:pPr>
      <w:r>
        <w:rPr>
          <w:rFonts w:ascii="DejaVu Sans Mono" w:hAnsi="DejaVu Sans Mono" w:eastAsia="DejaVu Sans Mono"/>
          <w:color w:val="1D2939"/>
          <w:sz w:val="15"/>
        </w:rPr>
        <w:t xml:space="preserve">      {"decisionTag": "bounded-strong-consistency"}</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 xml:space="preserve">  "then": {</w:t>
      </w:r>
    </w:p>
    <w:p>
      <w:pPr>
        <w:pStyle w:val="CodeBlock"/>
        <w:shd w:fill="F8FAFC"/>
        <w:pBdr>
          <w:left w:val="single" w:sz="18" w:space="4" w:color="2C5F8A"/>
        </w:pBdr>
      </w:pPr>
      <w:r>
        <w:rPr>
          <w:rFonts w:ascii="DejaVu Sans Mono" w:hAnsi="DejaVu Sans Mono" w:eastAsia="DejaVu Sans Mono"/>
          <w:color w:val="1D2939"/>
          <w:sz w:val="15"/>
        </w:rPr>
        <w:t xml:space="preserve">    "findingType": "tension",</w:t>
      </w:r>
    </w:p>
    <w:p>
      <w:pPr>
        <w:pStyle w:val="CodeBlock"/>
        <w:shd w:fill="F8FAFC"/>
        <w:pBdr>
          <w:left w:val="single" w:sz="18" w:space="4" w:color="2C5F8A"/>
        </w:pBdr>
      </w:pPr>
      <w:r>
        <w:rPr>
          <w:rFonts w:ascii="DejaVu Sans Mono" w:hAnsi="DejaVu Sans Mono" w:eastAsia="DejaVu Sans Mono"/>
          <w:color w:val="1D2939"/>
          <w:sz w:val="15"/>
        </w:rPr>
        <w:t xml:space="preserve">    "message": "The design introduces eventual consistency across service boundaries.",</w:t>
      </w:r>
    </w:p>
    <w:p>
      <w:pPr>
        <w:pStyle w:val="CodeBlock"/>
        <w:shd w:fill="F8FAFC"/>
        <w:pBdr>
          <w:left w:val="single" w:sz="18" w:space="4" w:color="2C5F8A"/>
        </w:pBdr>
      </w:pPr>
      <w:r>
        <w:rPr>
          <w:rFonts w:ascii="DejaVu Sans Mono" w:hAnsi="DejaVu Sans Mono" w:eastAsia="DejaVu Sans Mono"/>
          <w:color w:val="1D2939"/>
          <w:sz w:val="15"/>
        </w:rPr>
        <w:t xml:space="preserve">    "recommend": ["PAT-SAGA", "PAT-OUTBOX", "TACTIC-COMPENSATION"]</w:t>
      </w:r>
    </w:p>
    <w:p>
      <w:pPr>
        <w:pStyle w:val="CodeBlock"/>
        <w:shd w:fill="F8FAFC"/>
        <w:pBdr>
          <w:left w:val="single" w:sz="18" w:space="4" w:color="2C5F8A"/>
        </w:pBdr>
      </w:pPr>
      <w:r>
        <w:rPr>
          <w:rFonts w:ascii="DejaVu Sans Mono" w:hAnsi="DejaVu Sans Mono" w:eastAsia="DejaVu Sans Mono"/>
          <w:color w:val="1D2939"/>
          <w:sz w:val="15"/>
        </w:rPr>
        <w:t xml:space="preserve">  }</w:t>
      </w:r>
    </w:p>
    <w:p>
      <w:pPr>
        <w:pStyle w:val="CodeBlock"/>
        <w:shd w:fill="F8FAFC"/>
        <w:pBdr>
          <w:left w:val="single" w:sz="18" w:space="4" w:color="2C5F8A"/>
        </w:pBdr>
      </w:pPr>
      <w:r>
        <w:rPr>
          <w:rFonts w:ascii="DejaVu Sans Mono" w:hAnsi="DejaVu Sans Mono" w:eastAsia="DejaVu Sans Mono"/>
          <w:color w:val="1D2939"/>
          <w:sz w:val="15"/>
        </w:rPr>
        <w:t>}</w:t>
      </w:r>
    </w:p>
    <w:p>
      <w:pPr>
        <w:pStyle w:val="Heading1"/>
      </w:pPr>
      <w:r>
        <w:t>Appendix D. Relationship catalogue</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7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ID</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Relationship</w:t>
            </w:r>
          </w:p>
        </w:tc>
        <w:tc>
          <w:tcPr>
            <w:tcW w:type="dxa" w:w="19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Source</w:t>
            </w:r>
          </w:p>
        </w:tc>
        <w:tc>
          <w:tcPr>
            <w:tcW w:type="dxa" w:w="19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Target</w:t>
            </w:r>
          </w:p>
        </w:tc>
        <w:tc>
          <w:tcPr>
            <w:tcW w:type="dxa" w:w="10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Cardinality</w:t>
            </w:r>
          </w:p>
        </w:tc>
        <w:tc>
          <w:tcPr>
            <w:tcW w:type="dxa" w:w="266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Meaning</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REL-001</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hasStakeholder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System/Project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Stakeholder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Associates interested parties with scope.</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REL-002</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hasConcern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Stakeholder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Concern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1:N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Captures stakeholder concerns.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REL-003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motivates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Objective/Requirement/Concern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Decision/Style/Pattern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Records why a selection exists.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REL-004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satisfies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Objective/Requirement/QualityScenario</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Links design elements to drivers.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REL-005</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constrains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Constraint/Policy/Principle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ArchitectureElement/Decision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Limits or guides choices.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REL-006</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contains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ContainerElement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1:N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Defines hierarchical containment.</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REL-007</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composes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Defines structural composition.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REL-008</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realizes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ApplicationComponent/DeployableUnit/TechnologyProduct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LogicalService/TechnologyCapability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Maps concrete realization to abstraction.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REL-009</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mapsTo</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Generic trace between stages.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REL-010</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dependsOn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Declares functional/operational dependency.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REL-011</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communicatesWith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ApplicationComponent/System</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ApplicationComponent/System</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Declares interaction endpoints.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REL-012</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exposes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ApplicationComponent/System</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Interface/API/Event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1:N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Declares exposed contract.</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REL-013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consumes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ApplicationComponent/System</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Interface/API/Event/DataProduct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Declares consumed contract/product.</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REL-014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publishes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ApplicationComponent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Event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Declares event production.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REL-015</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subscribesTo</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ApplicationComponent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Event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Declares event consumption.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REL-016</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reads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ApplicationComponent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DataEntity/DataStore/DataProduct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Declares read access.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REL-017</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writes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ApplicationComponent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DataEntity/DataStore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Declares write access.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REL-018</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flowsTo</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DataFlow</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Defines data-flow endpoints.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REL-019</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deployedOn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DeployableUnit/TechnologyComponent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Runtime/DeploymentNode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Maps software/technology to execution.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REL-020</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locatedIn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DeploymentNode/TechnologyComponent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Location/NetworkZone/Environment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Maps physical components to boundaries.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REL-021</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applies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Style/Pattern/Tactic</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Applies knowledge to model elements.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REL-022</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requires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KnowledgeRecord/ArchitectureElement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KnowledgeRecord/ArchitectureElement/Obligation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Defines prerequisites.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REL-023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excludes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KnowledgeRecord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KnowledgeRecord/ArchitectureElement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Defines hard incompatibility.</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REL-024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tensionWith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KnowledgeRecord/Decision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KnowledgeRecord/QualityAttribute/Decision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Defines contextual trade-off.</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REL-025</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pairsWith</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KnowledgeRecord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KnowledgeRecord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Defines supportive combination.</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REL-026</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introduces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Decision/Pattern/Style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Risk/Obligation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Captures consequences.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REL-027</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mitigates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Control/Tactic/Pattern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Risk/Finding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Links mitigations.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REL-028</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supports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ArchitectureElement/Tactic</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QualityAttribute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Expresses positive quality impact.</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REL-029</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weakens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ArchitectureElement/Pattern/Style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QualityAttribute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Expresses negative quality impact.</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REL-030</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evidencedBy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KnowledgeRecord/Decision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EvidenceSource/Artifact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Provides support/proof.</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REL-031</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decides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Decision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Alternative/KnowledgeRecord/ArchitectureElement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1:N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Identifies selected/rejected options.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REL-032</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supersedes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ModelVersion/Decision/KnowledgeRecord</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Same type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0:1</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Links replacement versions.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REL-033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generatedFrom</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Artifact/RecommendationRun/Finding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ModelVersion/DriverSet/KnowledgeRelease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Pins outputs to inputs.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REL-034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containsMutation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ChangeSet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Mutation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1:N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Groups atomic operations.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REL-035</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commentsOn</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Comment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ArchitectureElement/Decision/Finding/Review</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Anchors collaboration.</w:t>
            </w:r>
          </w:p>
        </w:tc>
      </w:tr>
    </w:tbl>
    <w:sectPr w:rsidR="00FC693F" w:rsidRPr="0006063C" w:rsidSect="00034616">
      <w:headerReference w:type="default" r:id="rId9"/>
      <w:footerReference w:type="default" r:id="rId10"/>
      <w:pgSz w:w="12240" w:h="15840"/>
      <w:pgMar w:top="979"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67085"/>
        <w:sz w:val="15"/>
      </w:rPr>
      <w:t xml:space="preserve">Architecture Intelligence Workbench  •  Confidential product definition  |  </w:t>
    </w:r>
    <w:r>
      <w:rPr>
        <w:rFonts w:ascii="Liberation Sans" w:hAnsi="Liberation Sans" w:eastAsia="Liberation Sans"/>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0" w:space="6" w:color="D99A1B"/>
      </w:pBdr>
    </w:pPr>
    <w:r>
      <w:rPr>
        <w:rFonts w:ascii="Liberation Sans" w:hAnsi="Liberation Sans" w:eastAsia="Liberation Sans"/>
        <w:b/>
        <w:color w:val="0B1F3A"/>
        <w:sz w:val="16"/>
      </w:rPr>
      <w:t>AIW Canonical Metamodel Specification</w:t>
    </w:r>
    <w:r>
      <w:rPr>
        <w:rFonts w:ascii="Liberation Sans" w:hAnsi="Liberation Sans" w:eastAsia="Liberation Sans"/>
        <w:color w:val="667085"/>
        <w:sz w:val="16"/>
      </w:rPr>
      <w:t xml:space="preserve">  |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color w:val="1D29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D7C80"/>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2C5F8A"/>
      <w:sz w:val="23"/>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Liberation Sans" w:hAnsi="Liberation Sans"/>
      <w:b/>
      <w:bCs/>
      <w:i/>
      <w:iCs/>
      <w:color w:val="6941C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00"/>
      <w:ind w:left="259" w:right="259"/>
    </w:pPr>
    <w:rPr>
      <w:rFonts w:ascii="Liberation Sans" w:hAnsi="Liberation Sans"/>
      <w:sz w:val="20"/>
    </w:rPr>
  </w:style>
  <w:style w:type="paragraph" w:customStyle="1" w:styleId="CodeBlock">
    <w:name w:val="CodeBlock"/>
    <w:pPr>
      <w:spacing w:after="0"/>
      <w:ind w:left="259" w:right="259"/>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Intelligence Workbench — Canonical Metamodel Specification</dc:title>
  <dc:subject>Framework-neutral architecture graph, ontology, rules and contracts</dc:subject>
  <dc:creator>OpenAI</dc:creator>
  <cp:keywords>architecture, workbench, product requirements, metamodel</cp:keywords>
  <dc:description>generated by python-docx</dc:description>
  <cp:lastModifiedBy/>
  <cp:revision>1</cp:revision>
  <dcterms:created xsi:type="dcterms:W3CDTF">2013-12-23T23:15:00Z</dcterms:created>
  <dcterms:modified xsi:type="dcterms:W3CDTF">2013-12-23T23:15:00Z</dcterms:modified>
  <cp:category/>
</cp:coreProperties>
</file>